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C35D0">
      <w:pPr>
        <w:pStyle w:val="13"/>
        <w:widowControl/>
      </w:pPr>
      <w:r>
        <w:t>猪全产业链 23 部位一体化量化套利 &amp; AI 决策系统 - 全指标计算文档</w:t>
      </w:r>
    </w:p>
    <w:p w14:paraId="75B0FB17">
      <w:pPr>
        <w:pStyle w:val="11"/>
        <w:widowControl/>
        <w:rPr>
          <w:color w:val="000000"/>
        </w:rPr>
      </w:pPr>
      <w:r>
        <w:rPr>
          <w:b/>
          <w:color w:val="000000"/>
        </w:rPr>
        <w:t>文档版本</w:t>
      </w:r>
      <w:r>
        <w:rPr>
          <w:color w:val="000000"/>
        </w:rPr>
        <w:t>：V1.0</w:t>
      </w:r>
    </w:p>
    <w:p w14:paraId="670B84E3">
      <w:pPr>
        <w:pStyle w:val="11"/>
        <w:widowControl/>
        <w:rPr>
          <w:color w:val="000000"/>
        </w:rPr>
      </w:pPr>
      <w:r>
        <w:rPr>
          <w:b/>
          <w:color w:val="000000"/>
        </w:rPr>
        <w:t>文档用途</w:t>
      </w:r>
      <w:r>
        <w:rPr>
          <w:color w:val="000000"/>
        </w:rPr>
        <w:t>：明确系统所有核心指标的计算逻辑、数据来源、更新频率及业务用途，支撑</w:t>
      </w:r>
      <w:r>
        <w:rPr>
          <w:b/>
          <w:color w:val="000000"/>
        </w:rPr>
        <w:t>时间 / 空间 / 实体一体化套利、AI 价格预测、多目标优化、自动调度决策</w:t>
      </w:r>
      <w:r>
        <w:rPr>
          <w:color w:val="000000"/>
        </w:rPr>
        <w:t>全功能落地，实现全</w:t>
      </w:r>
      <w:bookmarkStart w:id="0" w:name="_GoBack"/>
      <w:bookmarkEnd w:id="0"/>
      <w:r>
        <w:rPr>
          <w:color w:val="000000"/>
        </w:rPr>
        <w:t>局风险调整后收益最大化</w:t>
      </w:r>
    </w:p>
    <w:p w14:paraId="104DF40E">
      <w:pPr>
        <w:pStyle w:val="11"/>
        <w:widowControl/>
        <w:rPr>
          <w:color w:val="000000"/>
        </w:rPr>
      </w:pPr>
      <w:r>
        <w:rPr>
          <w:b/>
          <w:color w:val="000000"/>
        </w:rPr>
        <w:t>适用范围</w:t>
      </w:r>
      <w:r>
        <w:rPr>
          <w:color w:val="000000"/>
        </w:rPr>
        <w:t>：数据开发、算法开发、业务执行、管理层监控</w:t>
      </w:r>
    </w:p>
    <w:p w14:paraId="2A505F8A">
      <w:pPr>
        <w:pStyle w:val="11"/>
        <w:widowControl/>
        <w:rPr>
          <w:color w:val="000000"/>
        </w:rPr>
      </w:pPr>
      <w:r>
        <w:rPr>
          <w:b/>
          <w:color w:val="000000"/>
        </w:rPr>
        <w:t>核心原则</w:t>
      </w:r>
      <w:r>
        <w:rPr>
          <w:color w:val="000000"/>
        </w:rPr>
        <w:t>：</w:t>
      </w:r>
      <w:r>
        <w:rPr>
          <w:b/>
          <w:color w:val="000000"/>
        </w:rPr>
        <w:t>部位级精细化计算、全成本覆盖、风险与收益并重、实时动态更新</w:t>
      </w:r>
    </w:p>
    <w:p w14:paraId="69506F4B">
      <w:pPr>
        <w:widowControl/>
        <w:spacing w:after="0" w:line="240" w:lineRule="auto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25" o:spt="1" style="height:0.05pt;width:415.3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9D222C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指标体系总览</w:t>
      </w:r>
    </w:p>
    <w:p w14:paraId="786B1D59">
      <w:pPr>
        <w:pStyle w:val="11"/>
        <w:widowControl/>
        <w:rPr>
          <w:color w:val="000000"/>
        </w:rPr>
      </w:pPr>
      <w:r>
        <w:rPr>
          <w:color w:val="000000"/>
        </w:rPr>
        <w:t>本指标体系共分为</w:t>
      </w:r>
      <w:r>
        <w:rPr>
          <w:b/>
          <w:color w:val="000000"/>
        </w:rPr>
        <w:t>7 大模块、126 个核心指标</w:t>
      </w:r>
      <w:r>
        <w:rPr>
          <w:color w:val="000000"/>
        </w:rPr>
        <w:t>，覆盖从基础成本核算到全局效益评估的全流程：</w:t>
      </w:r>
    </w:p>
    <w:p w14:paraId="7DDF377F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基础成本与保本指标（所有计算的底层基础）</w:t>
      </w:r>
    </w:p>
    <w:p w14:paraId="2E4754E9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时间套利专项指标（周期价差收益）</w:t>
      </w:r>
    </w:p>
    <w:p w14:paraId="4793DB62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空间套利专项指标（区位价差收益）</w:t>
      </w:r>
    </w:p>
    <w:p w14:paraId="52E58A83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实体套利专项指标（部位 / 深加工增值收益）</w:t>
      </w:r>
    </w:p>
    <w:p w14:paraId="2188312F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产能瓶颈与调度指标（资源最优配置）</w:t>
      </w:r>
    </w:p>
    <w:p w14:paraId="16A9264A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AI 决策与模型效果指标（算法精度验证）</w:t>
      </w:r>
    </w:p>
    <w:p w14:paraId="516971CE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执行效果与闭环指标（落地效率监控）</w:t>
      </w:r>
    </w:p>
    <w:p w14:paraId="77F1E80D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风险控制指标（系统性风险防范）</w:t>
      </w:r>
    </w:p>
    <w:p w14:paraId="5E8B3B55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全局效益与 ROI 指标（最终价值评估）</w:t>
      </w:r>
    </w:p>
    <w:p w14:paraId="4B01EAAA">
      <w:pPr>
        <w:pStyle w:val="11"/>
        <w:widowControl/>
        <w:rPr>
          <w:color w:val="000000"/>
        </w:rPr>
      </w:pPr>
      <w:r>
        <w:rPr>
          <w:color w:val="000000"/>
        </w:rPr>
        <w:t>所有指标均支持</w:t>
      </w:r>
      <w:r>
        <w:rPr>
          <w:b/>
          <w:color w:val="000000"/>
        </w:rPr>
        <w:t>23 个部位独立计算、分区域计算、分工厂计算</w:t>
      </w:r>
      <w:r>
        <w:rPr>
          <w:color w:val="000000"/>
        </w:rPr>
        <w:t>，满足精细化决策需求。</w:t>
      </w:r>
    </w:p>
    <w:p w14:paraId="2D65F61A">
      <w:pPr>
        <w:widowControl/>
        <w:spacing w:after="0" w:line="240" w:lineRule="auto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26" o:spt="1" style="height:0.05pt;width:415.3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02CA91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基础成本与保本指标（底层核心）</w:t>
      </w:r>
    </w:p>
    <w:p w14:paraId="54095347">
      <w:pPr>
        <w:pStyle w:val="3"/>
        <w:widowControl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部位级全成本核算（所有套利的成本基准）</w:t>
      </w:r>
    </w:p>
    <w:p w14:paraId="69715921">
      <w:pPr>
        <w:pStyle w:val="11"/>
        <w:widowControl/>
        <w:rPr>
          <w:rFonts w:hint="eastAsia" w:eastAsia="宋体"/>
          <w:color w:val="000000"/>
          <w:lang w:eastAsia="zh-CN"/>
        </w:rPr>
      </w:pPr>
    </w:p>
    <w:tbl>
      <w:tblPr>
        <w:tblStyle w:val="14"/>
        <w:tblW w:w="5000" w:type="pct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9"/>
        <w:gridCol w:w="5248"/>
        <w:gridCol w:w="1051"/>
        <w:gridCol w:w="418"/>
        <w:gridCol w:w="970"/>
      </w:tblGrid>
      <w:tr w14:paraId="7C3E4A14">
        <w:trPr>
          <w:tblHeader/>
          <w:tblCellSpacing w:w="15" w:type="dxa"/>
        </w:trPr>
        <w:tc>
          <w:tcPr>
            <w:tcW w:w="379" w:type="pct"/>
            <w:vAlign w:val="center"/>
          </w:tcPr>
          <w:p w14:paraId="774F9CF5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指标名称</w:t>
            </w:r>
          </w:p>
        </w:tc>
        <w:tc>
          <w:tcPr>
            <w:tcW w:w="3117" w:type="pct"/>
            <w:vAlign w:val="center"/>
          </w:tcPr>
          <w:p w14:paraId="77C4B5B7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计算公式</w:t>
            </w:r>
          </w:p>
        </w:tc>
        <w:tc>
          <w:tcPr>
            <w:tcW w:w="610" w:type="pct"/>
            <w:vAlign w:val="center"/>
          </w:tcPr>
          <w:p w14:paraId="22A72C0F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数据来源</w:t>
            </w:r>
          </w:p>
        </w:tc>
        <w:tc>
          <w:tcPr>
            <w:tcW w:w="232" w:type="pct"/>
            <w:vAlign w:val="center"/>
          </w:tcPr>
          <w:p w14:paraId="02AC9C5C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计算频率</w:t>
            </w:r>
          </w:p>
        </w:tc>
        <w:tc>
          <w:tcPr>
            <w:tcW w:w="552" w:type="pct"/>
            <w:vAlign w:val="center"/>
          </w:tcPr>
          <w:p w14:paraId="29F59DF6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指标用途</w:t>
            </w:r>
          </w:p>
        </w:tc>
      </w:tr>
      <w:tr w14:paraId="0D077CC5">
        <w:trPr>
          <w:tblCellSpacing w:w="15" w:type="dxa"/>
        </w:trPr>
        <w:tc>
          <w:tcPr>
            <w:tcW w:w="379" w:type="pct"/>
            <w:vAlign w:val="center"/>
          </w:tcPr>
          <w:p w14:paraId="41C27824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单猪养殖成本</w:t>
            </w:r>
          </w:p>
        </w:tc>
        <w:tc>
          <w:tcPr>
            <w:tcW w:w="3117" w:type="pct"/>
            <w:vAlign w:val="center"/>
          </w:tcPr>
          <w:p w14:paraId="42B782C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（饲料成本 + 人工成本 + 防疫成本 + 折旧摊销）/ 出栏头数</w:t>
            </w:r>
          </w:p>
        </w:tc>
        <w:tc>
          <w:tcPr>
            <w:tcW w:w="610" w:type="pct"/>
            <w:vAlign w:val="center"/>
          </w:tcPr>
          <w:p w14:paraId="6E88649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财务部成本表、猪场出栏表</w:t>
            </w:r>
          </w:p>
        </w:tc>
        <w:tc>
          <w:tcPr>
            <w:tcW w:w="232" w:type="pct"/>
            <w:vAlign w:val="center"/>
          </w:tcPr>
          <w:p w14:paraId="064C1E1E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552" w:type="pct"/>
            <w:vAlign w:val="center"/>
          </w:tcPr>
          <w:p w14:paraId="0D608D6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基础成本核算</w:t>
            </w:r>
          </w:p>
        </w:tc>
      </w:tr>
      <w:tr w14:paraId="33D296A8">
        <w:trPr>
          <w:tblCellSpacing w:w="15" w:type="dxa"/>
        </w:trPr>
        <w:tc>
          <w:tcPr>
            <w:tcW w:w="379" w:type="pct"/>
            <w:vAlign w:val="center"/>
          </w:tcPr>
          <w:p w14:paraId="2F630AD4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单位屠宰成本</w:t>
            </w:r>
          </w:p>
        </w:tc>
        <w:tc>
          <w:tcPr>
            <w:tcW w:w="3117" w:type="pct"/>
            <w:vAlign w:val="center"/>
          </w:tcPr>
          <w:p w14:paraId="208282B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（屠宰人工 + 设备折旧 + 水电 + 辅料）/ 实际屠宰量（kg）</w:t>
            </w:r>
          </w:p>
        </w:tc>
        <w:tc>
          <w:tcPr>
            <w:tcW w:w="610" w:type="pct"/>
            <w:vAlign w:val="center"/>
          </w:tcPr>
          <w:p w14:paraId="3E29B50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全成本核算表、屠宰生产表</w:t>
            </w:r>
          </w:p>
        </w:tc>
        <w:tc>
          <w:tcPr>
            <w:tcW w:w="232" w:type="pct"/>
            <w:vAlign w:val="center"/>
          </w:tcPr>
          <w:p w14:paraId="2E3DAA4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552" w:type="pct"/>
            <w:vAlign w:val="center"/>
          </w:tcPr>
          <w:p w14:paraId="7A0D6DA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屠宰环节成本分摊</w:t>
            </w:r>
          </w:p>
        </w:tc>
      </w:tr>
      <w:tr w14:paraId="1CFC3C8C">
        <w:trPr>
          <w:tblCellSpacing w:w="15" w:type="dxa"/>
        </w:trPr>
        <w:tc>
          <w:tcPr>
            <w:tcW w:w="379" w:type="pct"/>
            <w:vAlign w:val="center"/>
          </w:tcPr>
          <w:p w14:paraId="78B46FC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单位分割成本</w:t>
            </w:r>
          </w:p>
        </w:tc>
        <w:tc>
          <w:tcPr>
            <w:tcW w:w="3117" w:type="pct"/>
            <w:vAlign w:val="center"/>
          </w:tcPr>
          <w:p w14:paraId="10FA87E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（分割人工 + 设备折旧 + 水电 + 包装）/ 23 部位总产出（kg）</w:t>
            </w:r>
          </w:p>
        </w:tc>
        <w:tc>
          <w:tcPr>
            <w:tcW w:w="610" w:type="pct"/>
            <w:vAlign w:val="center"/>
          </w:tcPr>
          <w:p w14:paraId="00135A1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全成本核算表、分割出品表</w:t>
            </w:r>
          </w:p>
        </w:tc>
        <w:tc>
          <w:tcPr>
            <w:tcW w:w="232" w:type="pct"/>
            <w:vAlign w:val="center"/>
          </w:tcPr>
          <w:p w14:paraId="2B8562A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552" w:type="pct"/>
            <w:vAlign w:val="center"/>
          </w:tcPr>
          <w:p w14:paraId="44D9A72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分割环节成本分摊</w:t>
            </w:r>
          </w:p>
        </w:tc>
      </w:tr>
      <w:tr w14:paraId="0A23CA35">
        <w:trPr>
          <w:tblCellSpacing w:w="15" w:type="dxa"/>
        </w:trPr>
        <w:tc>
          <w:tcPr>
            <w:tcW w:w="379" w:type="pct"/>
            <w:vAlign w:val="center"/>
          </w:tcPr>
          <w:p w14:paraId="70736C2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单位速冻成本</w:t>
            </w:r>
          </w:p>
        </w:tc>
        <w:tc>
          <w:tcPr>
            <w:tcW w:w="3117" w:type="pct"/>
            <w:vAlign w:val="center"/>
          </w:tcPr>
          <w:p w14:paraId="3A8AF12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（速冻电费 + 人工 + 设备折旧）/ 速冻量（kg）</w:t>
            </w:r>
          </w:p>
        </w:tc>
        <w:tc>
          <w:tcPr>
            <w:tcW w:w="610" w:type="pct"/>
            <w:vAlign w:val="center"/>
          </w:tcPr>
          <w:p w14:paraId="1200E30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全成本核算表、速冻产能表</w:t>
            </w:r>
          </w:p>
        </w:tc>
        <w:tc>
          <w:tcPr>
            <w:tcW w:w="232" w:type="pct"/>
            <w:vAlign w:val="center"/>
          </w:tcPr>
          <w:p w14:paraId="315DB38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552" w:type="pct"/>
            <w:vAlign w:val="center"/>
          </w:tcPr>
          <w:p w14:paraId="744EC75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速冻环节成本分摊</w:t>
            </w:r>
          </w:p>
        </w:tc>
      </w:tr>
      <w:tr w14:paraId="492E0885">
        <w:trPr>
          <w:tblCellSpacing w:w="15" w:type="dxa"/>
        </w:trPr>
        <w:tc>
          <w:tcPr>
            <w:tcW w:w="379" w:type="pct"/>
            <w:vAlign w:val="center"/>
          </w:tcPr>
          <w:p w14:paraId="5B79CEE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单位日仓储成本</w:t>
            </w:r>
          </w:p>
        </w:tc>
        <w:tc>
          <w:tcPr>
            <w:tcW w:w="3117" w:type="pct"/>
            <w:vAlign w:val="center"/>
          </w:tcPr>
          <w:p w14:paraId="0ABA13B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（冷库租金 + 人工 + 电费 + 维护）/ 平均库存（吨）/ 30</w:t>
            </w:r>
          </w:p>
        </w:tc>
        <w:tc>
          <w:tcPr>
            <w:tcW w:w="610" w:type="pct"/>
            <w:vAlign w:val="center"/>
          </w:tcPr>
          <w:p w14:paraId="5435C5A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全成本核算表、冷库信息表</w:t>
            </w:r>
          </w:p>
        </w:tc>
        <w:tc>
          <w:tcPr>
            <w:tcW w:w="232" w:type="pct"/>
            <w:vAlign w:val="center"/>
          </w:tcPr>
          <w:p w14:paraId="440EB13E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552" w:type="pct"/>
            <w:vAlign w:val="center"/>
          </w:tcPr>
          <w:p w14:paraId="7E094BF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时间套利持有成本</w:t>
            </w:r>
          </w:p>
        </w:tc>
      </w:tr>
      <w:tr w14:paraId="1FD9E97A">
        <w:trPr>
          <w:tblCellSpacing w:w="15" w:type="dxa"/>
        </w:trPr>
        <w:tc>
          <w:tcPr>
            <w:tcW w:w="379" w:type="pct"/>
            <w:vAlign w:val="center"/>
          </w:tcPr>
          <w:p w14:paraId="199051E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单位运输成本</w:t>
            </w:r>
          </w:p>
        </w:tc>
        <w:tc>
          <w:tcPr>
            <w:tcW w:w="3117" w:type="pct"/>
            <w:vAlign w:val="center"/>
          </w:tcPr>
          <w:p w14:paraId="503B227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（运费 + 油费 + 过路费 + 人工）/ 运输量（吨</w:t>
            </w:r>
            <w:r>
              <w:rPr>
                <w:rFonts w:ascii="微软雅黑" w:hAnsi="微软雅黑" w:eastAsia="微软雅黑" w:cs="微软雅黑"/>
                <w:color w:val="000000"/>
                <w:kern w:val="0"/>
                <w:sz w:val="24"/>
                <w14:ligatures w14:val="none"/>
              </w:rPr>
              <w:t>・</w:t>
            </w: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km）</w:t>
            </w:r>
          </w:p>
        </w:tc>
        <w:tc>
          <w:tcPr>
            <w:tcW w:w="610" w:type="pct"/>
            <w:vAlign w:val="center"/>
          </w:tcPr>
          <w:p w14:paraId="72E73ED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运输路线成本表、冷链调度表</w:t>
            </w:r>
          </w:p>
        </w:tc>
        <w:tc>
          <w:tcPr>
            <w:tcW w:w="232" w:type="pct"/>
            <w:vAlign w:val="center"/>
          </w:tcPr>
          <w:p w14:paraId="7CC5421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552" w:type="pct"/>
            <w:vAlign w:val="center"/>
          </w:tcPr>
          <w:p w14:paraId="7970FC3E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空间套利成本</w:t>
            </w:r>
          </w:p>
        </w:tc>
      </w:tr>
      <w:tr w14:paraId="223874D7">
        <w:trPr>
          <w:tblCellSpacing w:w="15" w:type="dxa"/>
        </w:trPr>
        <w:tc>
          <w:tcPr>
            <w:tcW w:w="379" w:type="pct"/>
            <w:vAlign w:val="center"/>
          </w:tcPr>
          <w:p w14:paraId="5DFCF62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单位日资金成本</w:t>
            </w:r>
          </w:p>
        </w:tc>
        <w:tc>
          <w:tcPr>
            <w:tcW w:w="3117" w:type="pct"/>
            <w:vAlign w:val="center"/>
          </w:tcPr>
          <w:p w14:paraId="2D7B249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年化资金利率 / 365</w:t>
            </w:r>
          </w:p>
        </w:tc>
        <w:tc>
          <w:tcPr>
            <w:tcW w:w="610" w:type="pct"/>
            <w:vAlign w:val="center"/>
          </w:tcPr>
          <w:p w14:paraId="3A0FA55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资金利率表</w:t>
            </w:r>
          </w:p>
        </w:tc>
        <w:tc>
          <w:tcPr>
            <w:tcW w:w="232" w:type="pct"/>
            <w:vAlign w:val="center"/>
          </w:tcPr>
          <w:p w14:paraId="4D00012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月</w:t>
            </w:r>
          </w:p>
        </w:tc>
        <w:tc>
          <w:tcPr>
            <w:tcW w:w="552" w:type="pct"/>
            <w:vAlign w:val="center"/>
          </w:tcPr>
          <w:p w14:paraId="183B9B6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持有成本、金融套利</w:t>
            </w:r>
          </w:p>
        </w:tc>
      </w:tr>
      <w:tr w14:paraId="56BF16A8">
        <w:trPr>
          <w:tblCellSpacing w:w="15" w:type="dxa"/>
        </w:trPr>
        <w:tc>
          <w:tcPr>
            <w:tcW w:w="379" w:type="pct"/>
            <w:vAlign w:val="center"/>
          </w:tcPr>
          <w:p w14:paraId="0E3F9E6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部位级单位损耗成本</w:t>
            </w:r>
          </w:p>
        </w:tc>
        <w:tc>
          <w:tcPr>
            <w:tcW w:w="3117" w:type="pct"/>
            <w:vAlign w:val="center"/>
          </w:tcPr>
          <w:p w14:paraId="515560F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部位库存价值 × 部位日损耗率</w:t>
            </w:r>
          </w:p>
        </w:tc>
        <w:tc>
          <w:tcPr>
            <w:tcW w:w="610" w:type="pct"/>
            <w:vAlign w:val="center"/>
          </w:tcPr>
          <w:p w14:paraId="029398E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库存明细表、损耗率标准表</w:t>
            </w:r>
          </w:p>
        </w:tc>
        <w:tc>
          <w:tcPr>
            <w:tcW w:w="232" w:type="pct"/>
            <w:vAlign w:val="center"/>
          </w:tcPr>
          <w:p w14:paraId="3F435FD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552" w:type="pct"/>
            <w:vAlign w:val="center"/>
          </w:tcPr>
          <w:p w14:paraId="718B76D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库龄贬值成本</w:t>
            </w:r>
          </w:p>
        </w:tc>
      </w:tr>
      <w:tr w14:paraId="2FD31A6D">
        <w:trPr>
          <w:tblCellSpacing w:w="15" w:type="dxa"/>
        </w:trPr>
        <w:tc>
          <w:tcPr>
            <w:tcW w:w="379" w:type="pct"/>
            <w:vAlign w:val="center"/>
          </w:tcPr>
          <w:p w14:paraId="28E8F63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部位级单位全成本</w:t>
            </w:r>
          </w:p>
        </w:tc>
        <w:tc>
          <w:tcPr>
            <w:tcW w:w="3117" w:type="pct"/>
            <w:vAlign w:val="center"/>
          </w:tcPr>
          <w:p w14:paraId="6E86F84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单猪养殖成本 × 部位出品率 + 单位屠宰成本 × 部位出品率 + 单位分割成本 + 单位速冻成本 + 单位日仓储成本 × 库存天数 + 单位运输成本 × 运输距离 + 单位日资金成本 × 库存天数 + 部位级单位损耗成本</w:t>
            </w:r>
          </w:p>
        </w:tc>
        <w:tc>
          <w:tcPr>
            <w:tcW w:w="610" w:type="pct"/>
            <w:vAlign w:val="center"/>
          </w:tcPr>
          <w:p w14:paraId="65DAC73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上述所有成本表、分割出品表</w:t>
            </w:r>
          </w:p>
        </w:tc>
        <w:tc>
          <w:tcPr>
            <w:tcW w:w="232" w:type="pct"/>
            <w:vAlign w:val="center"/>
          </w:tcPr>
          <w:p w14:paraId="6FED7D1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552" w:type="pct"/>
            <w:vAlign w:val="center"/>
          </w:tcPr>
          <w:p w14:paraId="62A3B09E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所有套利收益计算的基准</w:t>
            </w:r>
          </w:p>
        </w:tc>
      </w:tr>
    </w:tbl>
    <w:p w14:paraId="65128E91">
      <w:pPr>
        <w:pStyle w:val="3"/>
        <w:widowControl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保本与阈值指标（决策触发基准）</w:t>
      </w:r>
    </w:p>
    <w:p w14:paraId="330E5FDE">
      <w:pPr>
        <w:pStyle w:val="21"/>
        <w:widowControl/>
        <w:rPr>
          <w:rFonts w:hint="eastAsia" w:eastAsia="宋体"/>
          <w:lang w:eastAsia="zh-CN"/>
        </w:rPr>
      </w:pPr>
    </w:p>
    <w:tbl>
      <w:tblPr>
        <w:tblStyle w:val="14"/>
        <w:tblW w:w="5000" w:type="pct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16"/>
        <w:gridCol w:w="5283"/>
        <w:gridCol w:w="1011"/>
        <w:gridCol w:w="370"/>
        <w:gridCol w:w="586"/>
      </w:tblGrid>
      <w:tr w14:paraId="4B282DB5">
        <w:trPr>
          <w:tblHeader/>
          <w:tblCellSpacing w:w="15" w:type="dxa"/>
        </w:trPr>
        <w:tc>
          <w:tcPr>
            <w:tcW w:w="640" w:type="pct"/>
            <w:vAlign w:val="center"/>
          </w:tcPr>
          <w:p w14:paraId="37D9263C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指标名称</w:t>
            </w:r>
          </w:p>
        </w:tc>
        <w:tc>
          <w:tcPr>
            <w:tcW w:w="3138" w:type="pct"/>
            <w:vAlign w:val="center"/>
          </w:tcPr>
          <w:p w14:paraId="2864A64B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计算公式</w:t>
            </w:r>
          </w:p>
        </w:tc>
        <w:tc>
          <w:tcPr>
            <w:tcW w:w="586" w:type="pct"/>
            <w:vAlign w:val="center"/>
          </w:tcPr>
          <w:p w14:paraId="05F66CD2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数据来源</w:t>
            </w:r>
          </w:p>
        </w:tc>
        <w:tc>
          <w:tcPr>
            <w:tcW w:w="203" w:type="pct"/>
            <w:vAlign w:val="center"/>
          </w:tcPr>
          <w:p w14:paraId="72F42F1A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计算频率</w:t>
            </w:r>
          </w:p>
        </w:tc>
        <w:tc>
          <w:tcPr>
            <w:tcW w:w="323" w:type="pct"/>
            <w:vAlign w:val="center"/>
          </w:tcPr>
          <w:p w14:paraId="666ACF35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指标用途</w:t>
            </w:r>
          </w:p>
        </w:tc>
      </w:tr>
      <w:tr w14:paraId="79A68D27">
        <w:trPr>
          <w:tblCellSpacing w:w="15" w:type="dxa"/>
        </w:trPr>
        <w:tc>
          <w:tcPr>
            <w:tcW w:w="640" w:type="pct"/>
            <w:vAlign w:val="center"/>
          </w:tcPr>
          <w:p w14:paraId="322588B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部位即时保本价</w:t>
            </w:r>
          </w:p>
        </w:tc>
        <w:tc>
          <w:tcPr>
            <w:tcW w:w="3138" w:type="pct"/>
            <w:vAlign w:val="center"/>
          </w:tcPr>
          <w:p w14:paraId="3C505A1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部位级单位全成本（截至当日）</w:t>
            </w:r>
          </w:p>
        </w:tc>
        <w:tc>
          <w:tcPr>
            <w:tcW w:w="586" w:type="pct"/>
            <w:vAlign w:val="center"/>
          </w:tcPr>
          <w:p w14:paraId="3D28DA3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上述全成本指标</w:t>
            </w:r>
          </w:p>
        </w:tc>
        <w:tc>
          <w:tcPr>
            <w:tcW w:w="203" w:type="pct"/>
            <w:vAlign w:val="center"/>
          </w:tcPr>
          <w:p w14:paraId="5F22BEB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323" w:type="pct"/>
            <w:vAlign w:val="center"/>
          </w:tcPr>
          <w:p w14:paraId="78B0E5D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即时出货决策</w:t>
            </w:r>
          </w:p>
        </w:tc>
      </w:tr>
      <w:tr w14:paraId="35107C44">
        <w:trPr>
          <w:tblCellSpacing w:w="15" w:type="dxa"/>
        </w:trPr>
        <w:tc>
          <w:tcPr>
            <w:tcW w:w="640" w:type="pct"/>
            <w:vAlign w:val="center"/>
          </w:tcPr>
          <w:p w14:paraId="57E3F63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部位持有 T 天保本价</w:t>
            </w:r>
          </w:p>
        </w:tc>
        <w:tc>
          <w:tcPr>
            <w:tcW w:w="3138" w:type="pct"/>
            <w:vAlign w:val="center"/>
          </w:tcPr>
          <w:p w14:paraId="656B2056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部位级单位全成本 + 单位日仓储成本 ×T + 单位日资金成本 ×T + 部位损耗成本 ×T</w:t>
            </w:r>
          </w:p>
        </w:tc>
        <w:tc>
          <w:tcPr>
            <w:tcW w:w="586" w:type="pct"/>
            <w:vAlign w:val="center"/>
          </w:tcPr>
          <w:p w14:paraId="1DD354A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上述全成本指标</w:t>
            </w:r>
          </w:p>
        </w:tc>
        <w:tc>
          <w:tcPr>
            <w:tcW w:w="203" w:type="pct"/>
            <w:vAlign w:val="center"/>
          </w:tcPr>
          <w:p w14:paraId="5F7B6B6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323" w:type="pct"/>
            <w:vAlign w:val="center"/>
          </w:tcPr>
          <w:p w14:paraId="055ADAC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时间套利周期决策</w:t>
            </w:r>
          </w:p>
        </w:tc>
      </w:tr>
      <w:tr w14:paraId="5ED72F4F">
        <w:trPr>
          <w:tblCellSpacing w:w="15" w:type="dxa"/>
        </w:trPr>
        <w:tc>
          <w:tcPr>
            <w:tcW w:w="640" w:type="pct"/>
            <w:vAlign w:val="center"/>
          </w:tcPr>
          <w:p w14:paraId="6445957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期货隐含公允价（CoC 模型）</w:t>
            </w:r>
          </w:p>
        </w:tc>
        <w:tc>
          <w:tcPr>
            <w:tcW w:w="3138" w:type="pct"/>
            <w:vAlign w:val="center"/>
          </w:tcPr>
          <w:p w14:paraId="6818B5B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9"/>
                <w:szCs w:val="29"/>
                <w14:ligatures w14:val="none"/>
              </w:rPr>
              <w:t>Fi,t,T​=Si,t​</w:t>
            </w:r>
            <w:r>
              <w:rPr>
                <w:rFonts w:ascii="Cambria Math" w:hAnsi="Cambria Math" w:eastAsia="宋体" w:cs="Cambria Math"/>
                <w:color w:val="000000"/>
                <w:kern w:val="0"/>
                <w:sz w:val="29"/>
                <w:szCs w:val="29"/>
                <w14:ligatures w14:val="none"/>
              </w:rPr>
              <w:t>⋅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9"/>
                <w:szCs w:val="29"/>
                <w14:ligatures w14:val="none"/>
              </w:rPr>
              <w:t>e(r+w+s)</w:t>
            </w:r>
            <w:r>
              <w:rPr>
                <w:rFonts w:ascii="Cambria Math" w:hAnsi="Cambria Math" w:eastAsia="宋体" w:cs="Cambria Math"/>
                <w:color w:val="000000"/>
                <w:kern w:val="0"/>
                <w:sz w:val="29"/>
                <w:szCs w:val="29"/>
                <w14:ligatures w14:val="none"/>
              </w:rPr>
              <w:t>⋅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9"/>
                <w:szCs w:val="29"/>
                <w14:ligatures w14:val="none"/>
              </w:rPr>
              <w:t>T−yi,t,T​</w:t>
            </w:r>
          </w:p>
          <w:p w14:paraId="4457777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其中：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9"/>
                <w:szCs w:val="29"/>
                <w14:ligatures w14:val="none"/>
              </w:rPr>
              <w:t>Si,t​</w:t>
            </w: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= 部位 i 当日现货价，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9"/>
                <w:szCs w:val="29"/>
                <w14:ligatures w14:val="none"/>
              </w:rPr>
              <w:t>r</w:t>
            </w: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= 日资金利率，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9"/>
                <w:szCs w:val="29"/>
                <w14:ligatures w14:val="none"/>
              </w:rPr>
              <w:t>w</w:t>
            </w: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= 日仓储成本，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9"/>
                <w:szCs w:val="29"/>
                <w14:ligatures w14:val="none"/>
              </w:rPr>
              <w:t>s</w:t>
            </w: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= 日损耗率，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9"/>
                <w:szCs w:val="29"/>
                <w14:ligatures w14:val="none"/>
              </w:rPr>
              <w:t>yi,t,T​</w:t>
            </w: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= 便利收益</w:t>
            </w:r>
          </w:p>
        </w:tc>
        <w:tc>
          <w:tcPr>
            <w:tcW w:w="586" w:type="pct"/>
            <w:vAlign w:val="center"/>
          </w:tcPr>
          <w:p w14:paraId="110C66F4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实时价格表、资金利率表、仓储成本表</w:t>
            </w:r>
          </w:p>
        </w:tc>
        <w:tc>
          <w:tcPr>
            <w:tcW w:w="203" w:type="pct"/>
            <w:vAlign w:val="center"/>
          </w:tcPr>
          <w:p w14:paraId="3BA614F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分钟</w:t>
            </w:r>
          </w:p>
        </w:tc>
        <w:tc>
          <w:tcPr>
            <w:tcW w:w="323" w:type="pct"/>
            <w:vAlign w:val="center"/>
          </w:tcPr>
          <w:p w14:paraId="077D3D56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时间套利核心定价基准</w:t>
            </w:r>
          </w:p>
        </w:tc>
      </w:tr>
      <w:tr w14:paraId="73DB4D6A">
        <w:trPr>
          <w:tblCellSpacing w:w="15" w:type="dxa"/>
        </w:trPr>
        <w:tc>
          <w:tcPr>
            <w:tcW w:w="640" w:type="pct"/>
            <w:vAlign w:val="center"/>
          </w:tcPr>
          <w:p w14:paraId="7A86184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储备启动阈值</w:t>
            </w:r>
          </w:p>
        </w:tc>
        <w:tc>
          <w:tcPr>
            <w:tcW w:w="3138" w:type="pct"/>
            <w:vAlign w:val="center"/>
          </w:tcPr>
          <w:p w14:paraId="5F03BF2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毛猪现货价 &lt;社会平均成本（13.8 元 /kg）且 部位期货隐含公允价&gt; 部位持有 30 天保本价</w:t>
            </w:r>
          </w:p>
        </w:tc>
        <w:tc>
          <w:tcPr>
            <w:tcW w:w="586" w:type="pct"/>
            <w:vAlign w:val="center"/>
          </w:tcPr>
          <w:p w14:paraId="2A5F4ED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实时价格表、成本表</w:t>
            </w:r>
          </w:p>
        </w:tc>
        <w:tc>
          <w:tcPr>
            <w:tcW w:w="203" w:type="pct"/>
            <w:vAlign w:val="center"/>
          </w:tcPr>
          <w:p w14:paraId="7F13092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分钟</w:t>
            </w:r>
          </w:p>
        </w:tc>
        <w:tc>
          <w:tcPr>
            <w:tcW w:w="323" w:type="pct"/>
            <w:vAlign w:val="center"/>
          </w:tcPr>
          <w:p w14:paraId="4CFECFD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全面储备触发</w:t>
            </w:r>
          </w:p>
        </w:tc>
      </w:tr>
      <w:tr w14:paraId="6E8A5EA4">
        <w:trPr>
          <w:tblCellSpacing w:w="15" w:type="dxa"/>
        </w:trPr>
        <w:tc>
          <w:tcPr>
            <w:tcW w:w="640" w:type="pct"/>
            <w:vAlign w:val="center"/>
          </w:tcPr>
          <w:p w14:paraId="164C180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强制出货阈值</w:t>
            </w:r>
          </w:p>
        </w:tc>
        <w:tc>
          <w:tcPr>
            <w:tcW w:w="3138" w:type="pct"/>
            <w:vAlign w:val="center"/>
          </w:tcPr>
          <w:p w14:paraId="65A096E6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部位库龄≥120 天 或 部位持有收益≤0 或 部位价格跌破保本价</w:t>
            </w:r>
          </w:p>
        </w:tc>
        <w:tc>
          <w:tcPr>
            <w:tcW w:w="586" w:type="pct"/>
            <w:vAlign w:val="center"/>
          </w:tcPr>
          <w:p w14:paraId="3348EBA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库存明细表、价格表</w:t>
            </w:r>
          </w:p>
        </w:tc>
        <w:tc>
          <w:tcPr>
            <w:tcW w:w="203" w:type="pct"/>
            <w:vAlign w:val="center"/>
          </w:tcPr>
          <w:p w14:paraId="6C8C055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分钟</w:t>
            </w:r>
          </w:p>
        </w:tc>
        <w:tc>
          <w:tcPr>
            <w:tcW w:w="323" w:type="pct"/>
            <w:vAlign w:val="center"/>
          </w:tcPr>
          <w:p w14:paraId="572B1AA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风险止损</w:t>
            </w:r>
          </w:p>
        </w:tc>
      </w:tr>
    </w:tbl>
    <w:p w14:paraId="36401C2B">
      <w:pPr>
        <w:widowControl/>
        <w:spacing w:after="0" w:line="240" w:lineRule="auto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27" o:spt="1" style="height:0.05pt;width:415.3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4ED3C889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时间套利专项指标（周期价差收益）</w:t>
      </w:r>
    </w:p>
    <w:p w14:paraId="4D345953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核心收益指标</w:t>
      </w:r>
    </w:p>
    <w:p w14:paraId="32DE1AB1">
      <w:pPr>
        <w:pStyle w:val="21"/>
        <w:widowControl/>
        <w:rPr>
          <w:rFonts w:hint="eastAsia" w:eastAsia="宋体"/>
          <w:lang w:eastAsia="zh-CN"/>
        </w:rPr>
      </w:pPr>
    </w:p>
    <w:tbl>
      <w:tblPr>
        <w:tblStyle w:val="14"/>
        <w:tblW w:w="5000" w:type="pct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05"/>
        <w:gridCol w:w="2966"/>
        <w:gridCol w:w="1588"/>
        <w:gridCol w:w="519"/>
        <w:gridCol w:w="1688"/>
      </w:tblGrid>
      <w:tr w14:paraId="612D1FB2">
        <w:trPr>
          <w:tblHeader/>
          <w:tblCellSpacing w:w="15" w:type="dxa"/>
        </w:trPr>
        <w:tc>
          <w:tcPr>
            <w:tcW w:w="932" w:type="pct"/>
            <w:vAlign w:val="center"/>
          </w:tcPr>
          <w:p w14:paraId="6598FC4F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指标名称</w:t>
            </w:r>
          </w:p>
        </w:tc>
        <w:tc>
          <w:tcPr>
            <w:tcW w:w="1754" w:type="pct"/>
            <w:vAlign w:val="center"/>
          </w:tcPr>
          <w:p w14:paraId="1A9588A4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计算公式</w:t>
            </w:r>
          </w:p>
        </w:tc>
        <w:tc>
          <w:tcPr>
            <w:tcW w:w="931" w:type="pct"/>
            <w:vAlign w:val="center"/>
          </w:tcPr>
          <w:p w14:paraId="71F97BAA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数据来源</w:t>
            </w:r>
          </w:p>
        </w:tc>
        <w:tc>
          <w:tcPr>
            <w:tcW w:w="292" w:type="pct"/>
            <w:vAlign w:val="center"/>
          </w:tcPr>
          <w:p w14:paraId="3C546BFA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计算频率</w:t>
            </w:r>
          </w:p>
        </w:tc>
        <w:tc>
          <w:tcPr>
            <w:tcW w:w="981" w:type="pct"/>
            <w:vAlign w:val="center"/>
          </w:tcPr>
          <w:p w14:paraId="24DA5F36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指标用途</w:t>
            </w:r>
          </w:p>
        </w:tc>
      </w:tr>
      <w:tr w14:paraId="525E63C3">
        <w:trPr>
          <w:tblCellSpacing w:w="15" w:type="dxa"/>
        </w:trPr>
        <w:tc>
          <w:tcPr>
            <w:tcW w:w="932" w:type="pct"/>
            <w:vAlign w:val="center"/>
          </w:tcPr>
          <w:p w14:paraId="5487194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部位持有收益</w:t>
            </w:r>
          </w:p>
        </w:tc>
        <w:tc>
          <w:tcPr>
            <w:tcW w:w="1754" w:type="pct"/>
            <w:vAlign w:val="center"/>
          </w:tcPr>
          <w:p w14:paraId="44C6A91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（当前部位冻品价 - 部位级单位全成本）× 部位库存量</w:t>
            </w:r>
          </w:p>
        </w:tc>
        <w:tc>
          <w:tcPr>
            <w:tcW w:w="931" w:type="pct"/>
            <w:vAlign w:val="center"/>
          </w:tcPr>
          <w:p w14:paraId="2BB2554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实时价格表、库存明细表、成本表</w:t>
            </w:r>
          </w:p>
        </w:tc>
        <w:tc>
          <w:tcPr>
            <w:tcW w:w="292" w:type="pct"/>
            <w:vAlign w:val="center"/>
          </w:tcPr>
          <w:p w14:paraId="4D56FBF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分钟</w:t>
            </w:r>
          </w:p>
        </w:tc>
        <w:tc>
          <w:tcPr>
            <w:tcW w:w="981" w:type="pct"/>
            <w:vAlign w:val="center"/>
          </w:tcPr>
          <w:p w14:paraId="72B349F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实时收益监控</w:t>
            </w:r>
          </w:p>
        </w:tc>
      </w:tr>
      <w:tr w14:paraId="4D006607">
        <w:trPr>
          <w:tblCellSpacing w:w="15" w:type="dxa"/>
        </w:trPr>
        <w:tc>
          <w:tcPr>
            <w:tcW w:w="932" w:type="pct"/>
            <w:vAlign w:val="center"/>
          </w:tcPr>
          <w:p w14:paraId="084C4A0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部位预期持有收益</w:t>
            </w:r>
          </w:p>
        </w:tc>
        <w:tc>
          <w:tcPr>
            <w:tcW w:w="1754" w:type="pct"/>
            <w:vAlign w:val="center"/>
          </w:tcPr>
          <w:p w14:paraId="7E691EA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（部位 T 天预测价 - 部位持有 T 天保本价）× 部位可储备量</w:t>
            </w:r>
          </w:p>
        </w:tc>
        <w:tc>
          <w:tcPr>
            <w:tcW w:w="931" w:type="pct"/>
            <w:vAlign w:val="center"/>
          </w:tcPr>
          <w:p w14:paraId="24C067C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价格预测表、保本价表、产能表</w:t>
            </w:r>
          </w:p>
        </w:tc>
        <w:tc>
          <w:tcPr>
            <w:tcW w:w="292" w:type="pct"/>
            <w:vAlign w:val="center"/>
          </w:tcPr>
          <w:p w14:paraId="470E4D9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981" w:type="pct"/>
            <w:vAlign w:val="center"/>
          </w:tcPr>
          <w:p w14:paraId="6AB427C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未来收益预测</w:t>
            </w:r>
          </w:p>
        </w:tc>
      </w:tr>
      <w:tr w14:paraId="731A1941">
        <w:trPr>
          <w:tblCellSpacing w:w="15" w:type="dxa"/>
        </w:trPr>
        <w:tc>
          <w:tcPr>
            <w:tcW w:w="932" w:type="pct"/>
            <w:vAlign w:val="center"/>
          </w:tcPr>
          <w:p w14:paraId="0D24850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部位年化持有收益率</w:t>
            </w:r>
          </w:p>
        </w:tc>
        <w:tc>
          <w:tcPr>
            <w:tcW w:w="1754" w:type="pct"/>
            <w:vAlign w:val="center"/>
          </w:tcPr>
          <w:p w14:paraId="3692CCC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（部位预期持有收益 / 部位库存成本）/（持有天数 / 365）×100%</w:t>
            </w:r>
          </w:p>
        </w:tc>
        <w:tc>
          <w:tcPr>
            <w:tcW w:w="931" w:type="pct"/>
            <w:vAlign w:val="center"/>
          </w:tcPr>
          <w:p w14:paraId="66381BA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上述收益指标</w:t>
            </w:r>
          </w:p>
        </w:tc>
        <w:tc>
          <w:tcPr>
            <w:tcW w:w="292" w:type="pct"/>
            <w:vAlign w:val="center"/>
          </w:tcPr>
          <w:p w14:paraId="684E5F1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981" w:type="pct"/>
            <w:vAlign w:val="center"/>
          </w:tcPr>
          <w:p w14:paraId="40FC64D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不同部位收益对比</w:t>
            </w:r>
          </w:p>
        </w:tc>
      </w:tr>
      <w:tr w14:paraId="60A1E830">
        <w:trPr>
          <w:tblCellSpacing w:w="15" w:type="dxa"/>
        </w:trPr>
        <w:tc>
          <w:tcPr>
            <w:tcW w:w="932" w:type="pct"/>
            <w:vAlign w:val="center"/>
          </w:tcPr>
          <w:p w14:paraId="408D2DF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部位风险调整后收益（夏普比率）</w:t>
            </w:r>
          </w:p>
        </w:tc>
        <w:tc>
          <w:tcPr>
            <w:tcW w:w="1754" w:type="pct"/>
            <w:vAlign w:val="center"/>
          </w:tcPr>
          <w:p w14:paraId="11F9E95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（部位年化持有收益率 - 无风险收益率）/ 部位价格波动率</w:t>
            </w:r>
          </w:p>
        </w:tc>
        <w:tc>
          <w:tcPr>
            <w:tcW w:w="931" w:type="pct"/>
            <w:vAlign w:val="center"/>
          </w:tcPr>
          <w:p w14:paraId="2B66734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上述收益率指标、价格波动率表</w:t>
            </w:r>
          </w:p>
        </w:tc>
        <w:tc>
          <w:tcPr>
            <w:tcW w:w="292" w:type="pct"/>
            <w:vAlign w:val="center"/>
          </w:tcPr>
          <w:p w14:paraId="7B4E9A2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周</w:t>
            </w:r>
          </w:p>
        </w:tc>
        <w:tc>
          <w:tcPr>
            <w:tcW w:w="981" w:type="pct"/>
            <w:vAlign w:val="center"/>
          </w:tcPr>
          <w:p w14:paraId="364CE7A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风险收益权衡，优先配置高夏普部位</w:t>
            </w:r>
          </w:p>
        </w:tc>
      </w:tr>
      <w:tr w14:paraId="5E2CC642">
        <w:trPr>
          <w:tblCellSpacing w:w="15" w:type="dxa"/>
        </w:trPr>
        <w:tc>
          <w:tcPr>
            <w:tcW w:w="932" w:type="pct"/>
            <w:vAlign w:val="center"/>
          </w:tcPr>
          <w:p w14:paraId="597FDB0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时间套利总收益</w:t>
            </w:r>
          </w:p>
        </w:tc>
        <w:tc>
          <w:tcPr>
            <w:tcW w:w="1754" w:type="pct"/>
            <w:vAlign w:val="center"/>
          </w:tcPr>
          <w:p w14:paraId="48E85EB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Σ（各部位持有收益）</w:t>
            </w:r>
          </w:p>
        </w:tc>
        <w:tc>
          <w:tcPr>
            <w:tcW w:w="931" w:type="pct"/>
            <w:vAlign w:val="center"/>
          </w:tcPr>
          <w:p w14:paraId="21DAE70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各部位收益指标</w:t>
            </w:r>
          </w:p>
        </w:tc>
        <w:tc>
          <w:tcPr>
            <w:tcW w:w="292" w:type="pct"/>
            <w:vAlign w:val="center"/>
          </w:tcPr>
          <w:p w14:paraId="3B64DDE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981" w:type="pct"/>
            <w:vAlign w:val="center"/>
          </w:tcPr>
          <w:p w14:paraId="4C49194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时间套利整体收益</w:t>
            </w:r>
          </w:p>
        </w:tc>
      </w:tr>
      <w:tr w14:paraId="679127C3">
        <w:trPr>
          <w:tblCellSpacing w:w="15" w:type="dxa"/>
        </w:trPr>
        <w:tc>
          <w:tcPr>
            <w:tcW w:w="932" w:type="pct"/>
            <w:vAlign w:val="center"/>
          </w:tcPr>
          <w:p w14:paraId="62624FD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时间套利贡献占比</w:t>
            </w:r>
          </w:p>
        </w:tc>
        <w:tc>
          <w:tcPr>
            <w:tcW w:w="1754" w:type="pct"/>
            <w:vAlign w:val="center"/>
          </w:tcPr>
          <w:p w14:paraId="010A68F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时间套利总收益 / 全局总套利收益 ×100%</w:t>
            </w:r>
          </w:p>
        </w:tc>
        <w:tc>
          <w:tcPr>
            <w:tcW w:w="931" w:type="pct"/>
            <w:vAlign w:val="center"/>
          </w:tcPr>
          <w:p w14:paraId="1FFF51A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时间套利收益、全局收益</w:t>
            </w:r>
          </w:p>
        </w:tc>
        <w:tc>
          <w:tcPr>
            <w:tcW w:w="292" w:type="pct"/>
            <w:vAlign w:val="center"/>
          </w:tcPr>
          <w:p w14:paraId="7E227FD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月</w:t>
            </w:r>
          </w:p>
        </w:tc>
        <w:tc>
          <w:tcPr>
            <w:tcW w:w="981" w:type="pct"/>
            <w:vAlign w:val="center"/>
          </w:tcPr>
          <w:p w14:paraId="3F95C0C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各套利模式价值评估</w:t>
            </w:r>
          </w:p>
        </w:tc>
      </w:tr>
    </w:tbl>
    <w:p w14:paraId="370B3F63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库龄与周期管理指标</w:t>
      </w:r>
    </w:p>
    <w:p w14:paraId="342B1E99">
      <w:pPr>
        <w:pStyle w:val="11"/>
        <w:widowControl/>
        <w:rPr>
          <w:rFonts w:hint="eastAsia" w:eastAsia="宋体"/>
          <w:color w:val="000000"/>
          <w:lang w:eastAsia="zh-CN"/>
        </w:rPr>
      </w:pPr>
    </w:p>
    <w:tbl>
      <w:tblPr>
        <w:tblStyle w:val="14"/>
        <w:tblW w:w="5000" w:type="pct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7"/>
        <w:gridCol w:w="4314"/>
        <w:gridCol w:w="1406"/>
        <w:gridCol w:w="529"/>
        <w:gridCol w:w="1230"/>
      </w:tblGrid>
      <w:tr w14:paraId="2AF4A316">
        <w:trPr>
          <w:tblHeader/>
          <w:tblCellSpacing w:w="15" w:type="dxa"/>
        </w:trPr>
        <w:tc>
          <w:tcPr>
            <w:tcW w:w="503" w:type="pct"/>
            <w:vAlign w:val="center"/>
          </w:tcPr>
          <w:p w14:paraId="11C8EF07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指标名称</w:t>
            </w:r>
          </w:p>
        </w:tc>
        <w:tc>
          <w:tcPr>
            <w:tcW w:w="2559" w:type="pct"/>
            <w:vAlign w:val="center"/>
          </w:tcPr>
          <w:p w14:paraId="6CDB0A88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计算公式</w:t>
            </w:r>
          </w:p>
        </w:tc>
        <w:tc>
          <w:tcPr>
            <w:tcW w:w="822" w:type="pct"/>
            <w:vAlign w:val="center"/>
          </w:tcPr>
          <w:p w14:paraId="1FA8333E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数据来源</w:t>
            </w:r>
          </w:p>
        </w:tc>
        <w:tc>
          <w:tcPr>
            <w:tcW w:w="298" w:type="pct"/>
            <w:vAlign w:val="center"/>
          </w:tcPr>
          <w:p w14:paraId="0F1F5F43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计算频率</w:t>
            </w:r>
          </w:p>
        </w:tc>
        <w:tc>
          <w:tcPr>
            <w:tcW w:w="708" w:type="pct"/>
            <w:vAlign w:val="center"/>
          </w:tcPr>
          <w:p w14:paraId="73F3B5A5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指标用途</w:t>
            </w:r>
          </w:p>
        </w:tc>
      </w:tr>
      <w:tr w14:paraId="0B8F8455">
        <w:trPr>
          <w:tblCellSpacing w:w="15" w:type="dxa"/>
        </w:trPr>
        <w:tc>
          <w:tcPr>
            <w:tcW w:w="503" w:type="pct"/>
            <w:vAlign w:val="center"/>
          </w:tcPr>
          <w:p w14:paraId="788C041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部位平均库龄</w:t>
            </w:r>
          </w:p>
        </w:tc>
        <w:tc>
          <w:tcPr>
            <w:tcW w:w="2559" w:type="pct"/>
            <w:vAlign w:val="center"/>
          </w:tcPr>
          <w:p w14:paraId="533A001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Σ（部位库存数量 × 库存天数）/ 部位总库存量</w:t>
            </w:r>
          </w:p>
        </w:tc>
        <w:tc>
          <w:tcPr>
            <w:tcW w:w="822" w:type="pct"/>
            <w:vAlign w:val="center"/>
          </w:tcPr>
          <w:p w14:paraId="40F2F52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库存明细表</w:t>
            </w:r>
          </w:p>
        </w:tc>
        <w:tc>
          <w:tcPr>
            <w:tcW w:w="298" w:type="pct"/>
            <w:vAlign w:val="center"/>
          </w:tcPr>
          <w:p w14:paraId="500E688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708" w:type="pct"/>
            <w:vAlign w:val="center"/>
          </w:tcPr>
          <w:p w14:paraId="5426701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库存健康度监控</w:t>
            </w:r>
          </w:p>
        </w:tc>
      </w:tr>
      <w:tr w14:paraId="19766541">
        <w:trPr>
          <w:tblCellSpacing w:w="15" w:type="dxa"/>
        </w:trPr>
        <w:tc>
          <w:tcPr>
            <w:tcW w:w="503" w:type="pct"/>
            <w:vAlign w:val="center"/>
          </w:tcPr>
          <w:p w14:paraId="217711C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部位库龄分布</w:t>
            </w:r>
          </w:p>
        </w:tc>
        <w:tc>
          <w:tcPr>
            <w:tcW w:w="2559" w:type="pct"/>
            <w:vAlign w:val="center"/>
          </w:tcPr>
          <w:p w14:paraId="2178069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0-30 天 / 30-60 天 / 60-90 天 / 90-120 天 / 120 天以上库存占比</w:t>
            </w:r>
          </w:p>
        </w:tc>
        <w:tc>
          <w:tcPr>
            <w:tcW w:w="822" w:type="pct"/>
            <w:vAlign w:val="center"/>
          </w:tcPr>
          <w:p w14:paraId="3B87B376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库存明细表</w:t>
            </w:r>
          </w:p>
        </w:tc>
        <w:tc>
          <w:tcPr>
            <w:tcW w:w="298" w:type="pct"/>
            <w:vAlign w:val="center"/>
          </w:tcPr>
          <w:p w14:paraId="7FD90B3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708" w:type="pct"/>
            <w:vAlign w:val="center"/>
          </w:tcPr>
          <w:p w14:paraId="49F50194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库龄结构优化</w:t>
            </w:r>
          </w:p>
        </w:tc>
      </w:tr>
      <w:tr w14:paraId="67376D74">
        <w:trPr>
          <w:tblCellSpacing w:w="15" w:type="dxa"/>
        </w:trPr>
        <w:tc>
          <w:tcPr>
            <w:tcW w:w="503" w:type="pct"/>
            <w:vAlign w:val="center"/>
          </w:tcPr>
          <w:p w14:paraId="14749D1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部位最优持有天数</w:t>
            </w:r>
          </w:p>
        </w:tc>
        <w:tc>
          <w:tcPr>
            <w:tcW w:w="2559" w:type="pct"/>
            <w:vAlign w:val="center"/>
          </w:tcPr>
          <w:p w14:paraId="692563D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使部位风险调整后收益最大化的持有天数</w:t>
            </w:r>
          </w:p>
        </w:tc>
        <w:tc>
          <w:tcPr>
            <w:tcW w:w="822" w:type="pct"/>
            <w:vAlign w:val="center"/>
          </w:tcPr>
          <w:p w14:paraId="7B68178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AI 价格预测模型、收益指标</w:t>
            </w:r>
          </w:p>
        </w:tc>
        <w:tc>
          <w:tcPr>
            <w:tcW w:w="298" w:type="pct"/>
            <w:vAlign w:val="center"/>
          </w:tcPr>
          <w:p w14:paraId="0921623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708" w:type="pct"/>
            <w:vAlign w:val="center"/>
          </w:tcPr>
          <w:p w14:paraId="6B27E77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每个部位独立决策储存周期</w:t>
            </w:r>
          </w:p>
        </w:tc>
      </w:tr>
      <w:tr w14:paraId="5140CDF3">
        <w:trPr>
          <w:tblCellSpacing w:w="15" w:type="dxa"/>
        </w:trPr>
        <w:tc>
          <w:tcPr>
            <w:tcW w:w="503" w:type="pct"/>
            <w:vAlign w:val="center"/>
          </w:tcPr>
          <w:p w14:paraId="574FD22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库龄贬值损失</w:t>
            </w:r>
          </w:p>
        </w:tc>
        <w:tc>
          <w:tcPr>
            <w:tcW w:w="2559" w:type="pct"/>
            <w:vAlign w:val="center"/>
          </w:tcPr>
          <w:p w14:paraId="7AF438D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部位库存价值 ×（1 - 库龄贬值系数）</w:t>
            </w:r>
          </w:p>
          <w:p w14:paraId="39D6982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贬值系数：0-30 天 100%、30-60 天 98%、60-90 天 95%、90-120 天 90%、120 天以上 80%</w:t>
            </w:r>
          </w:p>
        </w:tc>
        <w:tc>
          <w:tcPr>
            <w:tcW w:w="822" w:type="pct"/>
            <w:vAlign w:val="center"/>
          </w:tcPr>
          <w:p w14:paraId="72B9305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库存明细表、贬值系数表</w:t>
            </w:r>
          </w:p>
        </w:tc>
        <w:tc>
          <w:tcPr>
            <w:tcW w:w="298" w:type="pct"/>
            <w:vAlign w:val="center"/>
          </w:tcPr>
          <w:p w14:paraId="15871E7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708" w:type="pct"/>
            <w:vAlign w:val="center"/>
          </w:tcPr>
          <w:p w14:paraId="3304627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超期库存预警</w:t>
            </w:r>
          </w:p>
        </w:tc>
      </w:tr>
    </w:tbl>
    <w:p w14:paraId="7AB608AA">
      <w:pPr>
        <w:widowControl/>
        <w:spacing w:after="0" w:line="240" w:lineRule="auto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28" o:spt="1" style="height:0.05pt;width:415.3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5E855E45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空间套利专项指标（区位价差收益）</w:t>
      </w:r>
    </w:p>
    <w:p w14:paraId="414CB8FF">
      <w:pPr>
        <w:pStyle w:val="3"/>
        <w:widowControl/>
        <w:numPr>
          <w:ilvl w:val="0"/>
          <w:numId w:val="5"/>
        </w:numPr>
        <w:ind w:left="0" w:leftChars="0" w:firstLine="0" w:firstLineChars="0"/>
        <w:rPr>
          <w:b w:val="0"/>
          <w:bdr w:val="none" w:sz="0" w:space="0"/>
        </w:rPr>
      </w:pPr>
      <w:r>
        <w:t>核心收益指标</w:t>
      </w:r>
    </w:p>
    <w:p w14:paraId="18FA62FF">
      <w:pPr>
        <w:pStyle w:val="11"/>
        <w:widowControl/>
        <w:rPr>
          <w:rFonts w:hint="eastAsia" w:eastAsia="宋体"/>
          <w:color w:val="000000"/>
          <w:lang w:eastAsia="zh-CN"/>
        </w:rPr>
      </w:pPr>
    </w:p>
    <w:tbl>
      <w:tblPr>
        <w:tblStyle w:val="14"/>
        <w:tblW w:w="5000" w:type="pct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3585"/>
        <w:gridCol w:w="1838"/>
        <w:gridCol w:w="603"/>
        <w:gridCol w:w="1170"/>
      </w:tblGrid>
      <w:tr w14:paraId="1C4C5214">
        <w:trPr>
          <w:tblHeader/>
          <w:tblCellSpacing w:w="15" w:type="dxa"/>
        </w:trPr>
        <w:tc>
          <w:tcPr>
            <w:tcW w:w="672" w:type="pct"/>
            <w:vAlign w:val="center"/>
          </w:tcPr>
          <w:p w14:paraId="0B6891B8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指标名称</w:t>
            </w:r>
          </w:p>
        </w:tc>
        <w:tc>
          <w:tcPr>
            <w:tcW w:w="2123" w:type="pct"/>
            <w:vAlign w:val="center"/>
          </w:tcPr>
          <w:p w14:paraId="29B99D15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计算公式</w:t>
            </w:r>
          </w:p>
        </w:tc>
        <w:tc>
          <w:tcPr>
            <w:tcW w:w="1080" w:type="pct"/>
            <w:vAlign w:val="center"/>
          </w:tcPr>
          <w:p w14:paraId="48C11ABC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数据来源</w:t>
            </w:r>
          </w:p>
        </w:tc>
        <w:tc>
          <w:tcPr>
            <w:tcW w:w="342" w:type="pct"/>
            <w:vAlign w:val="center"/>
          </w:tcPr>
          <w:p w14:paraId="6455FF9A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计算频率</w:t>
            </w:r>
          </w:p>
        </w:tc>
        <w:tc>
          <w:tcPr>
            <w:tcW w:w="672" w:type="pct"/>
            <w:vAlign w:val="center"/>
          </w:tcPr>
          <w:p w14:paraId="3EFB5BEB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指标用途</w:t>
            </w:r>
          </w:p>
        </w:tc>
      </w:tr>
      <w:tr w14:paraId="34928AE8">
        <w:trPr>
          <w:tblCellSpacing w:w="15" w:type="dxa"/>
        </w:trPr>
        <w:tc>
          <w:tcPr>
            <w:tcW w:w="672" w:type="pct"/>
            <w:vAlign w:val="center"/>
          </w:tcPr>
          <w:p w14:paraId="0E294C7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部位区域价差</w:t>
            </w:r>
          </w:p>
        </w:tc>
        <w:tc>
          <w:tcPr>
            <w:tcW w:w="2123" w:type="pct"/>
            <w:vAlign w:val="center"/>
          </w:tcPr>
          <w:p w14:paraId="7603CA5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销地部位价 - 产地部位价</w:t>
            </w:r>
          </w:p>
        </w:tc>
        <w:tc>
          <w:tcPr>
            <w:tcW w:w="1080" w:type="pct"/>
            <w:vAlign w:val="center"/>
          </w:tcPr>
          <w:p w14:paraId="03242C9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实时价格表（分区域）</w:t>
            </w:r>
          </w:p>
        </w:tc>
        <w:tc>
          <w:tcPr>
            <w:tcW w:w="342" w:type="pct"/>
            <w:vAlign w:val="center"/>
          </w:tcPr>
          <w:p w14:paraId="590D81F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分钟</w:t>
            </w:r>
          </w:p>
        </w:tc>
        <w:tc>
          <w:tcPr>
            <w:tcW w:w="672" w:type="pct"/>
            <w:vAlign w:val="center"/>
          </w:tcPr>
          <w:p w14:paraId="5033051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跨区调配触发</w:t>
            </w:r>
          </w:p>
        </w:tc>
      </w:tr>
      <w:tr w14:paraId="5B3ACD56">
        <w:trPr>
          <w:tblCellSpacing w:w="15" w:type="dxa"/>
        </w:trPr>
        <w:tc>
          <w:tcPr>
            <w:tcW w:w="672" w:type="pct"/>
            <w:vAlign w:val="center"/>
          </w:tcPr>
          <w:p w14:paraId="11B1D24E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部位跨区净收益</w:t>
            </w:r>
          </w:p>
        </w:tc>
        <w:tc>
          <w:tcPr>
            <w:tcW w:w="2123" w:type="pct"/>
            <w:vAlign w:val="center"/>
          </w:tcPr>
          <w:p w14:paraId="03C7340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部位区域价差 - 单位运输成本 × 运输距离 - 在途损耗成本</w:t>
            </w:r>
          </w:p>
        </w:tc>
        <w:tc>
          <w:tcPr>
            <w:tcW w:w="1080" w:type="pct"/>
            <w:vAlign w:val="center"/>
          </w:tcPr>
          <w:p w14:paraId="36A25836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区域价差、运输成本表、损耗表</w:t>
            </w:r>
          </w:p>
        </w:tc>
        <w:tc>
          <w:tcPr>
            <w:tcW w:w="342" w:type="pct"/>
            <w:vAlign w:val="center"/>
          </w:tcPr>
          <w:p w14:paraId="76F6380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分钟</w:t>
            </w:r>
          </w:p>
        </w:tc>
        <w:tc>
          <w:tcPr>
            <w:tcW w:w="672" w:type="pct"/>
            <w:vAlign w:val="center"/>
          </w:tcPr>
          <w:p w14:paraId="1AF0BEE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跨区调配决策</w:t>
            </w:r>
          </w:p>
        </w:tc>
      </w:tr>
      <w:tr w14:paraId="11A049A4">
        <w:trPr>
          <w:tblCellSpacing w:w="15" w:type="dxa"/>
        </w:trPr>
        <w:tc>
          <w:tcPr>
            <w:tcW w:w="672" w:type="pct"/>
            <w:vAlign w:val="center"/>
          </w:tcPr>
          <w:p w14:paraId="5A7B8F6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跨区调配年化收益率</w:t>
            </w:r>
          </w:p>
        </w:tc>
        <w:tc>
          <w:tcPr>
            <w:tcW w:w="2123" w:type="pct"/>
            <w:vAlign w:val="center"/>
          </w:tcPr>
          <w:p w14:paraId="0047030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（部位跨区净收益 / 部位库存成本）/（运输时长 / 365）×100%</w:t>
            </w:r>
          </w:p>
        </w:tc>
        <w:tc>
          <w:tcPr>
            <w:tcW w:w="1080" w:type="pct"/>
            <w:vAlign w:val="center"/>
          </w:tcPr>
          <w:p w14:paraId="755934D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跨区净收益、库存成本表</w:t>
            </w:r>
          </w:p>
        </w:tc>
        <w:tc>
          <w:tcPr>
            <w:tcW w:w="342" w:type="pct"/>
            <w:vAlign w:val="center"/>
          </w:tcPr>
          <w:p w14:paraId="65F0402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分钟</w:t>
            </w:r>
          </w:p>
        </w:tc>
        <w:tc>
          <w:tcPr>
            <w:tcW w:w="672" w:type="pct"/>
            <w:vAlign w:val="center"/>
          </w:tcPr>
          <w:p w14:paraId="283C2DD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跨区收益对比</w:t>
            </w:r>
          </w:p>
        </w:tc>
      </w:tr>
      <w:tr w14:paraId="3146BB38">
        <w:trPr>
          <w:tblCellSpacing w:w="15" w:type="dxa"/>
        </w:trPr>
        <w:tc>
          <w:tcPr>
            <w:tcW w:w="672" w:type="pct"/>
            <w:vAlign w:val="center"/>
          </w:tcPr>
          <w:p w14:paraId="534D540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空间套利总收益</w:t>
            </w:r>
          </w:p>
        </w:tc>
        <w:tc>
          <w:tcPr>
            <w:tcW w:w="2123" w:type="pct"/>
            <w:vAlign w:val="center"/>
          </w:tcPr>
          <w:p w14:paraId="733A06C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Σ（各部位跨区净收益 × 实际调配量）</w:t>
            </w:r>
          </w:p>
        </w:tc>
        <w:tc>
          <w:tcPr>
            <w:tcW w:w="1080" w:type="pct"/>
            <w:vAlign w:val="center"/>
          </w:tcPr>
          <w:p w14:paraId="1E31DDA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跨区净收益、调度执行表</w:t>
            </w:r>
          </w:p>
        </w:tc>
        <w:tc>
          <w:tcPr>
            <w:tcW w:w="342" w:type="pct"/>
            <w:vAlign w:val="center"/>
          </w:tcPr>
          <w:p w14:paraId="1A958BA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672" w:type="pct"/>
            <w:vAlign w:val="center"/>
          </w:tcPr>
          <w:p w14:paraId="1815781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空间套利整体收益</w:t>
            </w:r>
          </w:p>
        </w:tc>
      </w:tr>
      <w:tr w14:paraId="6DDEF558">
        <w:trPr>
          <w:tblCellSpacing w:w="15" w:type="dxa"/>
        </w:trPr>
        <w:tc>
          <w:tcPr>
            <w:tcW w:w="672" w:type="pct"/>
            <w:vAlign w:val="center"/>
          </w:tcPr>
          <w:p w14:paraId="4141225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空间套利贡献占比</w:t>
            </w:r>
          </w:p>
        </w:tc>
        <w:tc>
          <w:tcPr>
            <w:tcW w:w="2123" w:type="pct"/>
            <w:vAlign w:val="center"/>
          </w:tcPr>
          <w:p w14:paraId="3D2292E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空间套利总收益 / 全局总套利收益 ×100%</w:t>
            </w:r>
          </w:p>
        </w:tc>
        <w:tc>
          <w:tcPr>
            <w:tcW w:w="1080" w:type="pct"/>
            <w:vAlign w:val="center"/>
          </w:tcPr>
          <w:p w14:paraId="03C32F5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空间套利收益、全局收益</w:t>
            </w:r>
          </w:p>
        </w:tc>
        <w:tc>
          <w:tcPr>
            <w:tcW w:w="342" w:type="pct"/>
            <w:vAlign w:val="center"/>
          </w:tcPr>
          <w:p w14:paraId="767A496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月</w:t>
            </w:r>
          </w:p>
        </w:tc>
        <w:tc>
          <w:tcPr>
            <w:tcW w:w="672" w:type="pct"/>
            <w:vAlign w:val="center"/>
          </w:tcPr>
          <w:p w14:paraId="1D5B9F5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各套利模式价值评估</w:t>
            </w:r>
          </w:p>
        </w:tc>
      </w:tr>
    </w:tbl>
    <w:p w14:paraId="39107B83">
      <w:pPr>
        <w:pStyle w:val="3"/>
        <w:widowControl/>
        <w:numPr>
          <w:ilvl w:val="0"/>
          <w:numId w:val="5"/>
        </w:numPr>
        <w:ind w:left="0" w:leftChars="0" w:firstLine="0" w:firstLineChars="0"/>
        <w:rPr>
          <w:b w:val="0"/>
          <w:bdr w:val="none" w:sz="0" w:space="0"/>
        </w:rPr>
      </w:pPr>
      <w:r>
        <w:t>调度与物流指标</w:t>
      </w:r>
    </w:p>
    <w:p w14:paraId="3A15B03C">
      <w:pPr>
        <w:pStyle w:val="11"/>
        <w:widowControl/>
        <w:rPr>
          <w:rFonts w:hint="eastAsia" w:eastAsia="宋体"/>
          <w:color w:val="000000"/>
          <w:lang w:eastAsia="zh-CN"/>
        </w:rPr>
      </w:pPr>
    </w:p>
    <w:tbl>
      <w:tblPr>
        <w:tblStyle w:val="14"/>
        <w:tblW w:w="5000" w:type="pct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3244"/>
        <w:gridCol w:w="2045"/>
        <w:gridCol w:w="690"/>
        <w:gridCol w:w="984"/>
      </w:tblGrid>
      <w:tr w14:paraId="10E907EA">
        <w:trPr>
          <w:tblHeader/>
          <w:tblCellSpacing w:w="15" w:type="dxa"/>
        </w:trPr>
        <w:tc>
          <w:tcPr>
            <w:tcW w:w="811" w:type="pct"/>
            <w:vAlign w:val="center"/>
          </w:tcPr>
          <w:p w14:paraId="2183FF65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指标名称</w:t>
            </w:r>
          </w:p>
        </w:tc>
        <w:tc>
          <w:tcPr>
            <w:tcW w:w="1920" w:type="pct"/>
            <w:vAlign w:val="center"/>
          </w:tcPr>
          <w:p w14:paraId="69C9F767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计算公式</w:t>
            </w:r>
          </w:p>
        </w:tc>
        <w:tc>
          <w:tcPr>
            <w:tcW w:w="1204" w:type="pct"/>
            <w:vAlign w:val="center"/>
          </w:tcPr>
          <w:p w14:paraId="75D88E45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数据来源</w:t>
            </w:r>
          </w:p>
        </w:tc>
        <w:tc>
          <w:tcPr>
            <w:tcW w:w="394" w:type="pct"/>
            <w:vAlign w:val="center"/>
          </w:tcPr>
          <w:p w14:paraId="7FEDD7C2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计算频率</w:t>
            </w:r>
          </w:p>
        </w:tc>
        <w:tc>
          <w:tcPr>
            <w:tcW w:w="561" w:type="pct"/>
            <w:vAlign w:val="center"/>
          </w:tcPr>
          <w:p w14:paraId="09CCBECD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指标用途</w:t>
            </w:r>
          </w:p>
        </w:tc>
      </w:tr>
      <w:tr w14:paraId="45878DB9">
        <w:trPr>
          <w:tblCellSpacing w:w="15" w:type="dxa"/>
        </w:trPr>
        <w:tc>
          <w:tcPr>
            <w:tcW w:w="811" w:type="pct"/>
            <w:vAlign w:val="center"/>
          </w:tcPr>
          <w:p w14:paraId="7AE9D5D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最优调配路线净收益</w:t>
            </w:r>
          </w:p>
        </w:tc>
        <w:tc>
          <w:tcPr>
            <w:tcW w:w="1920" w:type="pct"/>
            <w:vAlign w:val="center"/>
          </w:tcPr>
          <w:p w14:paraId="32A1DD74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所有可行路线中跨区净收益最大值</w:t>
            </w:r>
          </w:p>
        </w:tc>
        <w:tc>
          <w:tcPr>
            <w:tcW w:w="1204" w:type="pct"/>
            <w:vAlign w:val="center"/>
          </w:tcPr>
          <w:p w14:paraId="2354B90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运输路线成本表、区域价格表</w:t>
            </w:r>
          </w:p>
        </w:tc>
        <w:tc>
          <w:tcPr>
            <w:tcW w:w="394" w:type="pct"/>
            <w:vAlign w:val="center"/>
          </w:tcPr>
          <w:p w14:paraId="0804B95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分钟</w:t>
            </w:r>
          </w:p>
        </w:tc>
        <w:tc>
          <w:tcPr>
            <w:tcW w:w="561" w:type="pct"/>
            <w:vAlign w:val="center"/>
          </w:tcPr>
          <w:p w14:paraId="682A6A6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自动调度决策</w:t>
            </w:r>
          </w:p>
        </w:tc>
      </w:tr>
      <w:tr w14:paraId="6E0E4145">
        <w:trPr>
          <w:tblCellSpacing w:w="15" w:type="dxa"/>
        </w:trPr>
        <w:tc>
          <w:tcPr>
            <w:tcW w:w="811" w:type="pct"/>
            <w:vAlign w:val="center"/>
          </w:tcPr>
          <w:p w14:paraId="1A045AA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物流成本占比</w:t>
            </w:r>
          </w:p>
        </w:tc>
        <w:tc>
          <w:tcPr>
            <w:tcW w:w="1920" w:type="pct"/>
            <w:vAlign w:val="center"/>
          </w:tcPr>
          <w:p w14:paraId="5AC27D4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总运输成本 / 空间套利总收益 ×100%</w:t>
            </w:r>
          </w:p>
        </w:tc>
        <w:tc>
          <w:tcPr>
            <w:tcW w:w="1204" w:type="pct"/>
            <w:vAlign w:val="center"/>
          </w:tcPr>
          <w:p w14:paraId="5CEE16B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运输成本表、空间套利收益</w:t>
            </w:r>
          </w:p>
        </w:tc>
        <w:tc>
          <w:tcPr>
            <w:tcW w:w="394" w:type="pct"/>
            <w:vAlign w:val="center"/>
          </w:tcPr>
          <w:p w14:paraId="29C0C1E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561" w:type="pct"/>
            <w:vAlign w:val="center"/>
          </w:tcPr>
          <w:p w14:paraId="71ECD52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物流效率监控</w:t>
            </w:r>
          </w:p>
        </w:tc>
      </w:tr>
      <w:tr w14:paraId="619665B3">
        <w:trPr>
          <w:tblCellSpacing w:w="15" w:type="dxa"/>
        </w:trPr>
        <w:tc>
          <w:tcPr>
            <w:tcW w:w="811" w:type="pct"/>
            <w:vAlign w:val="center"/>
          </w:tcPr>
          <w:p w14:paraId="677B0EE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冷链在途损耗率</w:t>
            </w:r>
          </w:p>
        </w:tc>
        <w:tc>
          <w:tcPr>
            <w:tcW w:w="1920" w:type="pct"/>
            <w:vAlign w:val="center"/>
          </w:tcPr>
          <w:p w14:paraId="2508317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在途损耗量 / 总运输量 ×100%</w:t>
            </w:r>
          </w:p>
        </w:tc>
        <w:tc>
          <w:tcPr>
            <w:tcW w:w="1204" w:type="pct"/>
            <w:vAlign w:val="center"/>
          </w:tcPr>
          <w:p w14:paraId="0BDFE524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冷链调度表、出入库记录表</w:t>
            </w:r>
          </w:p>
        </w:tc>
        <w:tc>
          <w:tcPr>
            <w:tcW w:w="394" w:type="pct"/>
            <w:vAlign w:val="center"/>
          </w:tcPr>
          <w:p w14:paraId="5D8C052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561" w:type="pct"/>
            <w:vAlign w:val="center"/>
          </w:tcPr>
          <w:p w14:paraId="0D327E8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物流质量监控</w:t>
            </w:r>
          </w:p>
        </w:tc>
      </w:tr>
      <w:tr w14:paraId="3C3D2D82">
        <w:trPr>
          <w:tblCellSpacing w:w="15" w:type="dxa"/>
        </w:trPr>
        <w:tc>
          <w:tcPr>
            <w:tcW w:w="811" w:type="pct"/>
            <w:vAlign w:val="center"/>
          </w:tcPr>
          <w:p w14:paraId="52B8E8C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区域价差收敛速度</w:t>
            </w:r>
          </w:p>
        </w:tc>
        <w:tc>
          <w:tcPr>
            <w:tcW w:w="1920" w:type="pct"/>
            <w:vAlign w:val="center"/>
          </w:tcPr>
          <w:p w14:paraId="693E8AC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（初始价差 - 调配后价差）/ 初始价差 ×100%</w:t>
            </w:r>
          </w:p>
        </w:tc>
        <w:tc>
          <w:tcPr>
            <w:tcW w:w="1204" w:type="pct"/>
            <w:vAlign w:val="center"/>
          </w:tcPr>
          <w:p w14:paraId="7730B7A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区域价格表、调度执行表</w:t>
            </w:r>
          </w:p>
        </w:tc>
        <w:tc>
          <w:tcPr>
            <w:tcW w:w="394" w:type="pct"/>
            <w:vAlign w:val="center"/>
          </w:tcPr>
          <w:p w14:paraId="185E8D1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周</w:t>
            </w:r>
          </w:p>
        </w:tc>
        <w:tc>
          <w:tcPr>
            <w:tcW w:w="561" w:type="pct"/>
            <w:vAlign w:val="center"/>
          </w:tcPr>
          <w:p w14:paraId="42E3E544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市场效率评估</w:t>
            </w:r>
          </w:p>
        </w:tc>
      </w:tr>
    </w:tbl>
    <w:p w14:paraId="6EF07954">
      <w:pPr>
        <w:widowControl/>
        <w:spacing w:after="0" w:line="240" w:lineRule="auto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29" o:spt="1" style="height:0.05pt;width:415.3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267152D4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实体套利专项指标（部位 / 深加工增值收益）</w:t>
      </w:r>
    </w:p>
    <w:p w14:paraId="0C842B17">
      <w:pPr>
        <w:pStyle w:val="3"/>
        <w:widowControl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r>
        <w:t>部位差异化价值指标</w:t>
      </w:r>
    </w:p>
    <w:p w14:paraId="3A113D29">
      <w:pPr>
        <w:pStyle w:val="11"/>
        <w:widowControl/>
        <w:rPr>
          <w:rFonts w:hint="eastAsia" w:eastAsia="宋体"/>
          <w:color w:val="000000"/>
          <w:lang w:eastAsia="zh-CN"/>
        </w:rPr>
      </w:pPr>
    </w:p>
    <w:tbl>
      <w:tblPr>
        <w:tblStyle w:val="14"/>
        <w:tblW w:w="5000" w:type="pct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2"/>
        <w:gridCol w:w="3315"/>
        <w:gridCol w:w="1984"/>
        <w:gridCol w:w="586"/>
        <w:gridCol w:w="1339"/>
      </w:tblGrid>
      <w:tr w14:paraId="2ECD3BCE">
        <w:trPr>
          <w:tblHeader/>
          <w:tblCellSpacing w:w="15" w:type="dxa"/>
        </w:trPr>
        <w:tc>
          <w:tcPr>
            <w:tcW w:w="655" w:type="pct"/>
            <w:vAlign w:val="center"/>
          </w:tcPr>
          <w:p w14:paraId="2F00FE33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指标名称</w:t>
            </w:r>
          </w:p>
        </w:tc>
        <w:tc>
          <w:tcPr>
            <w:tcW w:w="1962" w:type="pct"/>
            <w:vAlign w:val="center"/>
          </w:tcPr>
          <w:p w14:paraId="58DD07AA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计算公式</w:t>
            </w:r>
          </w:p>
        </w:tc>
        <w:tc>
          <w:tcPr>
            <w:tcW w:w="1167" w:type="pct"/>
            <w:vAlign w:val="center"/>
          </w:tcPr>
          <w:p w14:paraId="073DA835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数据来源</w:t>
            </w:r>
          </w:p>
        </w:tc>
        <w:tc>
          <w:tcPr>
            <w:tcW w:w="332" w:type="pct"/>
            <w:vAlign w:val="center"/>
          </w:tcPr>
          <w:p w14:paraId="22D08A3B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计算频率</w:t>
            </w:r>
          </w:p>
        </w:tc>
        <w:tc>
          <w:tcPr>
            <w:tcW w:w="773" w:type="pct"/>
            <w:vAlign w:val="center"/>
          </w:tcPr>
          <w:p w14:paraId="08175133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指标用途</w:t>
            </w:r>
          </w:p>
        </w:tc>
      </w:tr>
      <w:tr w14:paraId="2244193D">
        <w:trPr>
          <w:tblCellSpacing w:w="15" w:type="dxa"/>
        </w:trPr>
        <w:tc>
          <w:tcPr>
            <w:tcW w:w="655" w:type="pct"/>
            <w:vAlign w:val="center"/>
          </w:tcPr>
          <w:p w14:paraId="2AF75B0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部位鲜销收益</w:t>
            </w:r>
          </w:p>
        </w:tc>
        <w:tc>
          <w:tcPr>
            <w:tcW w:w="1962" w:type="pct"/>
            <w:vAlign w:val="center"/>
          </w:tcPr>
          <w:p w14:paraId="382E19E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（部位鲜品价 - 部位即时成本）× 部位鲜销量</w:t>
            </w:r>
          </w:p>
        </w:tc>
        <w:tc>
          <w:tcPr>
            <w:tcW w:w="1167" w:type="pct"/>
            <w:vAlign w:val="center"/>
          </w:tcPr>
          <w:p w14:paraId="288E3A7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实时价格表、销售订单表、成本表</w:t>
            </w:r>
          </w:p>
        </w:tc>
        <w:tc>
          <w:tcPr>
            <w:tcW w:w="332" w:type="pct"/>
            <w:vAlign w:val="center"/>
          </w:tcPr>
          <w:p w14:paraId="4E27BF1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773" w:type="pct"/>
            <w:vAlign w:val="center"/>
          </w:tcPr>
          <w:p w14:paraId="48C2939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鲜销 vs 冻储决策</w:t>
            </w:r>
          </w:p>
        </w:tc>
      </w:tr>
      <w:tr w14:paraId="5F0C94E9">
        <w:trPr>
          <w:tblCellSpacing w:w="15" w:type="dxa"/>
        </w:trPr>
        <w:tc>
          <w:tcPr>
            <w:tcW w:w="655" w:type="pct"/>
            <w:vAlign w:val="center"/>
          </w:tcPr>
          <w:p w14:paraId="68E86B54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部位冻储预期收益</w:t>
            </w:r>
          </w:p>
        </w:tc>
        <w:tc>
          <w:tcPr>
            <w:tcW w:w="1962" w:type="pct"/>
            <w:vAlign w:val="center"/>
          </w:tcPr>
          <w:p w14:paraId="31DBF6B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（部位 T 天预测价 - 部位持有 T 天成本）× 部位可冻储量</w:t>
            </w:r>
          </w:p>
        </w:tc>
        <w:tc>
          <w:tcPr>
            <w:tcW w:w="1167" w:type="pct"/>
            <w:vAlign w:val="center"/>
          </w:tcPr>
          <w:p w14:paraId="5E0BC6D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价格预测表、成本表、产能表</w:t>
            </w:r>
          </w:p>
        </w:tc>
        <w:tc>
          <w:tcPr>
            <w:tcW w:w="332" w:type="pct"/>
            <w:vAlign w:val="center"/>
          </w:tcPr>
          <w:p w14:paraId="6B4C513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773" w:type="pct"/>
            <w:vAlign w:val="center"/>
          </w:tcPr>
          <w:p w14:paraId="617594C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鲜销 vs 冻储决策</w:t>
            </w:r>
          </w:p>
        </w:tc>
      </w:tr>
      <w:tr w14:paraId="77738DE4">
        <w:trPr>
          <w:tblCellSpacing w:w="15" w:type="dxa"/>
        </w:trPr>
        <w:tc>
          <w:tcPr>
            <w:tcW w:w="655" w:type="pct"/>
            <w:vAlign w:val="center"/>
          </w:tcPr>
          <w:p w14:paraId="7BE71E8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部位深加工预期收益</w:t>
            </w:r>
          </w:p>
        </w:tc>
        <w:tc>
          <w:tcPr>
            <w:tcW w:w="1962" w:type="pct"/>
            <w:vAlign w:val="center"/>
          </w:tcPr>
          <w:p w14:paraId="7DD1903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（成品售价 - 部位原料成本 - 加工成本）× 部位可加工量</w:t>
            </w:r>
          </w:p>
        </w:tc>
        <w:tc>
          <w:tcPr>
            <w:tcW w:w="1167" w:type="pct"/>
            <w:vAlign w:val="center"/>
          </w:tcPr>
          <w:p w14:paraId="0418BA0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成品价格表、成本表、深加工产能表</w:t>
            </w:r>
          </w:p>
        </w:tc>
        <w:tc>
          <w:tcPr>
            <w:tcW w:w="332" w:type="pct"/>
            <w:vAlign w:val="center"/>
          </w:tcPr>
          <w:p w14:paraId="343A7AD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773" w:type="pct"/>
            <w:vAlign w:val="center"/>
          </w:tcPr>
          <w:p w14:paraId="046DC70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深加工 vs 直接销售决策</w:t>
            </w:r>
          </w:p>
        </w:tc>
      </w:tr>
      <w:tr w14:paraId="10FD5452">
        <w:trPr>
          <w:tblCellSpacing w:w="15" w:type="dxa"/>
        </w:trPr>
        <w:tc>
          <w:tcPr>
            <w:tcW w:w="655" w:type="pct"/>
            <w:vAlign w:val="center"/>
          </w:tcPr>
          <w:p w14:paraId="220F816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部位综合价值系数</w:t>
            </w:r>
          </w:p>
        </w:tc>
        <w:tc>
          <w:tcPr>
            <w:tcW w:w="1962" w:type="pct"/>
            <w:vAlign w:val="center"/>
          </w:tcPr>
          <w:p w14:paraId="124F450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α× 冻储收益 + β× 深加工收益 + γ× 鲜销收益 </w:t>
            </w:r>
          </w:p>
          <w:p w14:paraId="5E81ECB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权重：α=0.4、β=0.5、γ=0.1（动态调整）</w:t>
            </w:r>
          </w:p>
        </w:tc>
        <w:tc>
          <w:tcPr>
            <w:tcW w:w="1167" w:type="pct"/>
            <w:vAlign w:val="center"/>
          </w:tcPr>
          <w:p w14:paraId="123D29E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上述三类收益指标</w:t>
            </w:r>
          </w:p>
        </w:tc>
        <w:tc>
          <w:tcPr>
            <w:tcW w:w="332" w:type="pct"/>
            <w:vAlign w:val="center"/>
          </w:tcPr>
          <w:p w14:paraId="6A005A4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773" w:type="pct"/>
            <w:vAlign w:val="center"/>
          </w:tcPr>
          <w:p w14:paraId="47D0B95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部位处理方式优先级排序</w:t>
            </w:r>
          </w:p>
        </w:tc>
      </w:tr>
      <w:tr w14:paraId="6BFA3538">
        <w:trPr>
          <w:tblCellSpacing w:w="15" w:type="dxa"/>
        </w:trPr>
        <w:tc>
          <w:tcPr>
            <w:tcW w:w="655" w:type="pct"/>
            <w:vAlign w:val="center"/>
          </w:tcPr>
          <w:p w14:paraId="46D153D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23 部位价值排名</w:t>
            </w:r>
          </w:p>
        </w:tc>
        <w:tc>
          <w:tcPr>
            <w:tcW w:w="1962" w:type="pct"/>
            <w:vAlign w:val="center"/>
          </w:tcPr>
          <w:p w14:paraId="4FA9D27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按部位综合价值系数从高到低排序</w:t>
            </w:r>
          </w:p>
        </w:tc>
        <w:tc>
          <w:tcPr>
            <w:tcW w:w="1167" w:type="pct"/>
            <w:vAlign w:val="center"/>
          </w:tcPr>
          <w:p w14:paraId="5E7AC30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部位综合价值系数</w:t>
            </w:r>
          </w:p>
        </w:tc>
        <w:tc>
          <w:tcPr>
            <w:tcW w:w="332" w:type="pct"/>
            <w:vAlign w:val="center"/>
          </w:tcPr>
          <w:p w14:paraId="4B0A192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773" w:type="pct"/>
            <w:vAlign w:val="center"/>
          </w:tcPr>
          <w:p w14:paraId="58F3108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分割产能优先分配</w:t>
            </w:r>
          </w:p>
        </w:tc>
      </w:tr>
    </w:tbl>
    <w:p w14:paraId="6D600E04">
      <w:pPr>
        <w:pStyle w:val="3"/>
        <w:widowControl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r>
        <w:t>深加工增值指标</w:t>
      </w:r>
    </w:p>
    <w:p w14:paraId="7A91DDE6">
      <w:pPr>
        <w:pStyle w:val="11"/>
        <w:widowControl/>
        <w:rPr>
          <w:rFonts w:hint="eastAsia" w:eastAsia="宋体"/>
          <w:color w:val="000000"/>
          <w:lang w:eastAsia="zh-CN"/>
        </w:rPr>
      </w:pPr>
    </w:p>
    <w:tbl>
      <w:tblPr>
        <w:tblStyle w:val="14"/>
        <w:tblW w:w="5000" w:type="pct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8"/>
        <w:gridCol w:w="3268"/>
        <w:gridCol w:w="1641"/>
        <w:gridCol w:w="609"/>
        <w:gridCol w:w="1770"/>
      </w:tblGrid>
      <w:tr w14:paraId="7E41C02D">
        <w:trPr>
          <w:tblHeader/>
          <w:tblCellSpacing w:w="15" w:type="dxa"/>
        </w:trPr>
        <w:tc>
          <w:tcPr>
            <w:tcW w:w="617" w:type="pct"/>
            <w:vAlign w:val="center"/>
          </w:tcPr>
          <w:p w14:paraId="104B6D62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指标名称</w:t>
            </w:r>
          </w:p>
        </w:tc>
        <w:tc>
          <w:tcPr>
            <w:tcW w:w="1934" w:type="pct"/>
            <w:vAlign w:val="center"/>
          </w:tcPr>
          <w:p w14:paraId="5647B3B8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计算公式</w:t>
            </w:r>
          </w:p>
        </w:tc>
        <w:tc>
          <w:tcPr>
            <w:tcW w:w="962" w:type="pct"/>
            <w:vAlign w:val="center"/>
          </w:tcPr>
          <w:p w14:paraId="39EFC18D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数据来源</w:t>
            </w:r>
          </w:p>
        </w:tc>
        <w:tc>
          <w:tcPr>
            <w:tcW w:w="346" w:type="pct"/>
            <w:vAlign w:val="center"/>
          </w:tcPr>
          <w:p w14:paraId="22DC11A3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计算频率</w:t>
            </w:r>
          </w:p>
        </w:tc>
        <w:tc>
          <w:tcPr>
            <w:tcW w:w="1030" w:type="pct"/>
            <w:vAlign w:val="center"/>
          </w:tcPr>
          <w:p w14:paraId="00EAC792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指标用途</w:t>
            </w:r>
          </w:p>
        </w:tc>
      </w:tr>
      <w:tr w14:paraId="5C635825">
        <w:trPr>
          <w:tblCellSpacing w:w="15" w:type="dxa"/>
        </w:trPr>
        <w:tc>
          <w:tcPr>
            <w:tcW w:w="617" w:type="pct"/>
            <w:vAlign w:val="center"/>
          </w:tcPr>
          <w:p w14:paraId="5065968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单品深加工增值率</w:t>
            </w:r>
          </w:p>
        </w:tc>
        <w:tc>
          <w:tcPr>
            <w:tcW w:w="1934" w:type="pct"/>
            <w:vAlign w:val="center"/>
          </w:tcPr>
          <w:p w14:paraId="296B77F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（成品售价 - 原料成本 - 加工成本）/ 原料成本 ×100%</w:t>
            </w:r>
          </w:p>
        </w:tc>
        <w:tc>
          <w:tcPr>
            <w:tcW w:w="962" w:type="pct"/>
            <w:vAlign w:val="center"/>
          </w:tcPr>
          <w:p w14:paraId="209C23A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成品产出表、成本表</w:t>
            </w:r>
          </w:p>
        </w:tc>
        <w:tc>
          <w:tcPr>
            <w:tcW w:w="346" w:type="pct"/>
            <w:vAlign w:val="center"/>
          </w:tcPr>
          <w:p w14:paraId="01DF168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1030" w:type="pct"/>
            <w:vAlign w:val="center"/>
          </w:tcPr>
          <w:p w14:paraId="35A7F2C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深加工产品优先级</w:t>
            </w:r>
          </w:p>
        </w:tc>
      </w:tr>
      <w:tr w14:paraId="082AFF68">
        <w:trPr>
          <w:tblCellSpacing w:w="15" w:type="dxa"/>
        </w:trPr>
        <w:tc>
          <w:tcPr>
            <w:tcW w:w="617" w:type="pct"/>
            <w:vAlign w:val="center"/>
          </w:tcPr>
          <w:p w14:paraId="2A6B63E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深加工投入产出比</w:t>
            </w:r>
          </w:p>
        </w:tc>
        <w:tc>
          <w:tcPr>
            <w:tcW w:w="1934" w:type="pct"/>
            <w:vAlign w:val="center"/>
          </w:tcPr>
          <w:p w14:paraId="6937714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成品总产值 / （原料成本 + 加工成本）</w:t>
            </w:r>
          </w:p>
        </w:tc>
        <w:tc>
          <w:tcPr>
            <w:tcW w:w="962" w:type="pct"/>
            <w:vAlign w:val="center"/>
          </w:tcPr>
          <w:p w14:paraId="65FC8B1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成品产出表、成本表</w:t>
            </w:r>
          </w:p>
        </w:tc>
        <w:tc>
          <w:tcPr>
            <w:tcW w:w="346" w:type="pct"/>
            <w:vAlign w:val="center"/>
          </w:tcPr>
          <w:p w14:paraId="3A698E2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1030" w:type="pct"/>
            <w:vAlign w:val="center"/>
          </w:tcPr>
          <w:p w14:paraId="38129BF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深加工效率评估</w:t>
            </w:r>
          </w:p>
        </w:tc>
      </w:tr>
      <w:tr w14:paraId="375B78EE">
        <w:trPr>
          <w:tblCellSpacing w:w="15" w:type="dxa"/>
        </w:trPr>
        <w:tc>
          <w:tcPr>
            <w:tcW w:w="617" w:type="pct"/>
            <w:vAlign w:val="center"/>
          </w:tcPr>
          <w:p w14:paraId="3F25770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深加工原料满足率</w:t>
            </w:r>
          </w:p>
        </w:tc>
        <w:tc>
          <w:tcPr>
            <w:tcW w:w="1934" w:type="pct"/>
            <w:vAlign w:val="center"/>
          </w:tcPr>
          <w:p w14:paraId="22920B0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实际原料供应量 / 深加工满产原料需求量 ×100%</w:t>
            </w:r>
          </w:p>
        </w:tc>
        <w:tc>
          <w:tcPr>
            <w:tcW w:w="962" w:type="pct"/>
            <w:vAlign w:val="center"/>
          </w:tcPr>
          <w:p w14:paraId="2D6027C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原料消耗表、深加工产能表</w:t>
            </w:r>
          </w:p>
        </w:tc>
        <w:tc>
          <w:tcPr>
            <w:tcW w:w="346" w:type="pct"/>
            <w:vAlign w:val="center"/>
          </w:tcPr>
          <w:p w14:paraId="23FB46F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1030" w:type="pct"/>
            <w:vAlign w:val="center"/>
          </w:tcPr>
          <w:p w14:paraId="58AEDCE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反向瓶颈监控（最高优先级）</w:t>
            </w:r>
          </w:p>
        </w:tc>
      </w:tr>
      <w:tr w14:paraId="62CBA413">
        <w:trPr>
          <w:tblCellSpacing w:w="15" w:type="dxa"/>
        </w:trPr>
        <w:tc>
          <w:tcPr>
            <w:tcW w:w="617" w:type="pct"/>
            <w:vAlign w:val="center"/>
          </w:tcPr>
          <w:p w14:paraId="07B9EE6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深加工总增值收益</w:t>
            </w:r>
          </w:p>
        </w:tc>
        <w:tc>
          <w:tcPr>
            <w:tcW w:w="1934" w:type="pct"/>
            <w:vAlign w:val="center"/>
          </w:tcPr>
          <w:p w14:paraId="7A870BF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Σ（各单品深加工增值 × 产量）</w:t>
            </w:r>
          </w:p>
        </w:tc>
        <w:tc>
          <w:tcPr>
            <w:tcW w:w="962" w:type="pct"/>
            <w:vAlign w:val="center"/>
          </w:tcPr>
          <w:p w14:paraId="111982A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单品增值率、成品产出表</w:t>
            </w:r>
          </w:p>
        </w:tc>
        <w:tc>
          <w:tcPr>
            <w:tcW w:w="346" w:type="pct"/>
            <w:vAlign w:val="center"/>
          </w:tcPr>
          <w:p w14:paraId="4F91B2D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1030" w:type="pct"/>
            <w:vAlign w:val="center"/>
          </w:tcPr>
          <w:p w14:paraId="4FD25FD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实体套利核心收益</w:t>
            </w:r>
          </w:p>
        </w:tc>
      </w:tr>
      <w:tr w14:paraId="0911D34A">
        <w:trPr>
          <w:tblCellSpacing w:w="15" w:type="dxa"/>
        </w:trPr>
        <w:tc>
          <w:tcPr>
            <w:tcW w:w="617" w:type="pct"/>
            <w:vAlign w:val="center"/>
          </w:tcPr>
          <w:p w14:paraId="46DF123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实体套利总收益</w:t>
            </w:r>
          </w:p>
        </w:tc>
        <w:tc>
          <w:tcPr>
            <w:tcW w:w="1934" w:type="pct"/>
            <w:vAlign w:val="center"/>
          </w:tcPr>
          <w:p w14:paraId="5922942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深加工总增值收益 + 部位差异化处理收益</w:t>
            </w:r>
          </w:p>
        </w:tc>
        <w:tc>
          <w:tcPr>
            <w:tcW w:w="962" w:type="pct"/>
            <w:vAlign w:val="center"/>
          </w:tcPr>
          <w:p w14:paraId="7363FDB4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上述指标</w:t>
            </w:r>
          </w:p>
        </w:tc>
        <w:tc>
          <w:tcPr>
            <w:tcW w:w="346" w:type="pct"/>
            <w:vAlign w:val="center"/>
          </w:tcPr>
          <w:p w14:paraId="78B19B0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1030" w:type="pct"/>
            <w:vAlign w:val="center"/>
          </w:tcPr>
          <w:p w14:paraId="3F749AC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实体套利整体收益</w:t>
            </w:r>
          </w:p>
        </w:tc>
      </w:tr>
      <w:tr w14:paraId="6411A712">
        <w:trPr>
          <w:tblCellSpacing w:w="15" w:type="dxa"/>
        </w:trPr>
        <w:tc>
          <w:tcPr>
            <w:tcW w:w="617" w:type="pct"/>
            <w:vAlign w:val="center"/>
          </w:tcPr>
          <w:p w14:paraId="555D35E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实体套利贡献占比</w:t>
            </w:r>
          </w:p>
        </w:tc>
        <w:tc>
          <w:tcPr>
            <w:tcW w:w="1934" w:type="pct"/>
            <w:vAlign w:val="center"/>
          </w:tcPr>
          <w:p w14:paraId="65DF069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实体套利总收益 / 全局总套利收益 ×100%</w:t>
            </w:r>
          </w:p>
        </w:tc>
        <w:tc>
          <w:tcPr>
            <w:tcW w:w="962" w:type="pct"/>
            <w:vAlign w:val="center"/>
          </w:tcPr>
          <w:p w14:paraId="192DFBB6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实体套利收益、全局收益</w:t>
            </w:r>
          </w:p>
        </w:tc>
        <w:tc>
          <w:tcPr>
            <w:tcW w:w="346" w:type="pct"/>
            <w:vAlign w:val="center"/>
          </w:tcPr>
          <w:p w14:paraId="56BC9026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月</w:t>
            </w:r>
          </w:p>
        </w:tc>
        <w:tc>
          <w:tcPr>
            <w:tcW w:w="1030" w:type="pct"/>
            <w:vAlign w:val="center"/>
          </w:tcPr>
          <w:p w14:paraId="4BF064B6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各套利模式价值评估</w:t>
            </w:r>
          </w:p>
        </w:tc>
      </w:tr>
    </w:tbl>
    <w:p w14:paraId="0FF90412">
      <w:pPr>
        <w:widowControl/>
        <w:spacing w:after="0" w:line="240" w:lineRule="auto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30" o:spt="1" style="height:0.05pt;width:415.3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4C61B30C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产能瓶颈与调度指标（资源最优配置）</w:t>
      </w:r>
    </w:p>
    <w:p w14:paraId="73B18AED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正向产能瓶颈指标（出栏→仓储）</w:t>
      </w:r>
    </w:p>
    <w:p w14:paraId="1AA39A3F">
      <w:pPr>
        <w:pStyle w:val="11"/>
        <w:widowControl/>
        <w:rPr>
          <w:rFonts w:hint="eastAsia" w:eastAsia="宋体"/>
          <w:color w:val="000000"/>
          <w:lang w:eastAsia="zh-CN"/>
        </w:rPr>
      </w:pPr>
    </w:p>
    <w:tbl>
      <w:tblPr>
        <w:tblStyle w:val="14"/>
        <w:tblW w:w="5000" w:type="pct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3"/>
        <w:gridCol w:w="3627"/>
        <w:gridCol w:w="1765"/>
        <w:gridCol w:w="648"/>
        <w:gridCol w:w="1163"/>
      </w:tblGrid>
      <w:tr w14:paraId="04ADEDC2">
        <w:trPr>
          <w:tblHeader/>
          <w:tblCellSpacing w:w="15" w:type="dxa"/>
        </w:trPr>
        <w:tc>
          <w:tcPr>
            <w:tcW w:w="668" w:type="pct"/>
            <w:vAlign w:val="center"/>
          </w:tcPr>
          <w:p w14:paraId="4CF88F69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指标名称</w:t>
            </w:r>
          </w:p>
        </w:tc>
        <w:tc>
          <w:tcPr>
            <w:tcW w:w="2148" w:type="pct"/>
            <w:vAlign w:val="center"/>
          </w:tcPr>
          <w:p w14:paraId="1CF19C0B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计算公式</w:t>
            </w:r>
          </w:p>
        </w:tc>
        <w:tc>
          <w:tcPr>
            <w:tcW w:w="1036" w:type="pct"/>
            <w:vAlign w:val="center"/>
          </w:tcPr>
          <w:p w14:paraId="355C5753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数据来源</w:t>
            </w:r>
          </w:p>
        </w:tc>
        <w:tc>
          <w:tcPr>
            <w:tcW w:w="369" w:type="pct"/>
            <w:vAlign w:val="center"/>
          </w:tcPr>
          <w:p w14:paraId="6686838D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计算频率</w:t>
            </w:r>
          </w:p>
        </w:tc>
        <w:tc>
          <w:tcPr>
            <w:tcW w:w="668" w:type="pct"/>
            <w:vAlign w:val="center"/>
          </w:tcPr>
          <w:p w14:paraId="39601C8E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指标用途</w:t>
            </w:r>
          </w:p>
        </w:tc>
      </w:tr>
      <w:tr w14:paraId="4B441302">
        <w:trPr>
          <w:tblCellSpacing w:w="15" w:type="dxa"/>
        </w:trPr>
        <w:tc>
          <w:tcPr>
            <w:tcW w:w="668" w:type="pct"/>
            <w:vAlign w:val="center"/>
          </w:tcPr>
          <w:p w14:paraId="04F449A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屠宰产能利用率</w:t>
            </w:r>
          </w:p>
        </w:tc>
        <w:tc>
          <w:tcPr>
            <w:tcW w:w="2148" w:type="pct"/>
            <w:vAlign w:val="center"/>
          </w:tcPr>
          <w:p w14:paraId="31D517B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实际屠宰量 / 设计屠宰产能 ×100%</w:t>
            </w:r>
          </w:p>
        </w:tc>
        <w:tc>
          <w:tcPr>
            <w:tcW w:w="1036" w:type="pct"/>
            <w:vAlign w:val="center"/>
          </w:tcPr>
          <w:p w14:paraId="0802491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屠宰生产表、屠宰厂信息表</w:t>
            </w:r>
          </w:p>
        </w:tc>
        <w:tc>
          <w:tcPr>
            <w:tcW w:w="369" w:type="pct"/>
            <w:vAlign w:val="center"/>
          </w:tcPr>
          <w:p w14:paraId="6791EE9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668" w:type="pct"/>
            <w:vAlign w:val="center"/>
          </w:tcPr>
          <w:p w14:paraId="5446E4F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屠宰环节瓶颈识别</w:t>
            </w:r>
          </w:p>
        </w:tc>
      </w:tr>
      <w:tr w14:paraId="7DC628EA">
        <w:trPr>
          <w:tblCellSpacing w:w="15" w:type="dxa"/>
        </w:trPr>
        <w:tc>
          <w:tcPr>
            <w:tcW w:w="668" w:type="pct"/>
            <w:vAlign w:val="center"/>
          </w:tcPr>
          <w:p w14:paraId="0214A4B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分割产能利用率</w:t>
            </w:r>
          </w:p>
        </w:tc>
        <w:tc>
          <w:tcPr>
            <w:tcW w:w="2148" w:type="pct"/>
            <w:vAlign w:val="center"/>
          </w:tcPr>
          <w:p w14:paraId="50D5D61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实际分割量 / 设计分割产能 ×100%</w:t>
            </w:r>
          </w:p>
        </w:tc>
        <w:tc>
          <w:tcPr>
            <w:tcW w:w="1036" w:type="pct"/>
            <w:vAlign w:val="center"/>
          </w:tcPr>
          <w:p w14:paraId="39F57D6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分割出品表、屠宰厂信息表</w:t>
            </w:r>
          </w:p>
        </w:tc>
        <w:tc>
          <w:tcPr>
            <w:tcW w:w="369" w:type="pct"/>
            <w:vAlign w:val="center"/>
          </w:tcPr>
          <w:p w14:paraId="301A9A9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668" w:type="pct"/>
            <w:vAlign w:val="center"/>
          </w:tcPr>
          <w:p w14:paraId="462C4ACE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分割环节瓶颈识别</w:t>
            </w:r>
          </w:p>
        </w:tc>
      </w:tr>
      <w:tr w14:paraId="675C24D0">
        <w:trPr>
          <w:tblCellSpacing w:w="15" w:type="dxa"/>
        </w:trPr>
        <w:tc>
          <w:tcPr>
            <w:tcW w:w="668" w:type="pct"/>
            <w:vAlign w:val="center"/>
          </w:tcPr>
          <w:p w14:paraId="7448EF3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速冻产能利用率</w:t>
            </w:r>
          </w:p>
        </w:tc>
        <w:tc>
          <w:tcPr>
            <w:tcW w:w="2148" w:type="pct"/>
            <w:vAlign w:val="center"/>
          </w:tcPr>
          <w:p w14:paraId="14E59F7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实际速冻量 / 设计速冻产能 ×100%</w:t>
            </w:r>
          </w:p>
        </w:tc>
        <w:tc>
          <w:tcPr>
            <w:tcW w:w="1036" w:type="pct"/>
            <w:vAlign w:val="center"/>
          </w:tcPr>
          <w:p w14:paraId="5A6D74F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速冻产能表、屠宰生产表</w:t>
            </w:r>
          </w:p>
        </w:tc>
        <w:tc>
          <w:tcPr>
            <w:tcW w:w="369" w:type="pct"/>
            <w:vAlign w:val="center"/>
          </w:tcPr>
          <w:p w14:paraId="6CC9BD6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668" w:type="pct"/>
            <w:vAlign w:val="center"/>
          </w:tcPr>
          <w:p w14:paraId="075051A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速冻环节瓶颈识别</w:t>
            </w:r>
          </w:p>
        </w:tc>
      </w:tr>
      <w:tr w14:paraId="13F93F05">
        <w:trPr>
          <w:tblCellSpacing w:w="15" w:type="dxa"/>
        </w:trPr>
        <w:tc>
          <w:tcPr>
            <w:tcW w:w="668" w:type="pct"/>
            <w:vAlign w:val="center"/>
          </w:tcPr>
          <w:p w14:paraId="701BA20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库容利用率</w:t>
            </w:r>
          </w:p>
        </w:tc>
        <w:tc>
          <w:tcPr>
            <w:tcW w:w="2148" w:type="pct"/>
            <w:vAlign w:val="center"/>
          </w:tcPr>
          <w:p w14:paraId="708F1CE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实际库存量 / 总库容 ×100%</w:t>
            </w:r>
          </w:p>
        </w:tc>
        <w:tc>
          <w:tcPr>
            <w:tcW w:w="1036" w:type="pct"/>
            <w:vAlign w:val="center"/>
          </w:tcPr>
          <w:p w14:paraId="02B3EF4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库存明细表、冷库信息表</w:t>
            </w:r>
          </w:p>
        </w:tc>
        <w:tc>
          <w:tcPr>
            <w:tcW w:w="369" w:type="pct"/>
            <w:vAlign w:val="center"/>
          </w:tcPr>
          <w:p w14:paraId="3D4BB3D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668" w:type="pct"/>
            <w:vAlign w:val="center"/>
          </w:tcPr>
          <w:p w14:paraId="2C27294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仓储环节瓶颈识别</w:t>
            </w:r>
          </w:p>
        </w:tc>
      </w:tr>
      <w:tr w14:paraId="144A43DB">
        <w:trPr>
          <w:tblCellSpacing w:w="15" w:type="dxa"/>
        </w:trPr>
        <w:tc>
          <w:tcPr>
            <w:tcW w:w="668" w:type="pct"/>
            <w:vAlign w:val="center"/>
          </w:tcPr>
          <w:p w14:paraId="19BE582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环节瓶颈系数</w:t>
            </w:r>
          </w:p>
        </w:tc>
        <w:tc>
          <w:tcPr>
            <w:tcW w:w="2148" w:type="pct"/>
            <w:vAlign w:val="center"/>
          </w:tcPr>
          <w:p w14:paraId="03637B5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1 - 产能利用率（数值越大，瓶颈越严重）</w:t>
            </w:r>
          </w:p>
        </w:tc>
        <w:tc>
          <w:tcPr>
            <w:tcW w:w="1036" w:type="pct"/>
            <w:vAlign w:val="center"/>
          </w:tcPr>
          <w:p w14:paraId="4BBBBC4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上述产能利用率指标</w:t>
            </w:r>
          </w:p>
        </w:tc>
        <w:tc>
          <w:tcPr>
            <w:tcW w:w="369" w:type="pct"/>
            <w:vAlign w:val="center"/>
          </w:tcPr>
          <w:p w14:paraId="364ECA5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668" w:type="pct"/>
            <w:vAlign w:val="center"/>
          </w:tcPr>
          <w:p w14:paraId="7900CE9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全局瓶颈排序</w:t>
            </w:r>
          </w:p>
        </w:tc>
      </w:tr>
      <w:tr w14:paraId="2C91D260">
        <w:trPr>
          <w:tblCellSpacing w:w="15" w:type="dxa"/>
        </w:trPr>
        <w:tc>
          <w:tcPr>
            <w:tcW w:w="668" w:type="pct"/>
            <w:vAlign w:val="center"/>
          </w:tcPr>
          <w:p w14:paraId="36F7DF5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每日最大可储备量</w:t>
            </w:r>
          </w:p>
        </w:tc>
        <w:tc>
          <w:tcPr>
            <w:tcW w:w="2148" w:type="pct"/>
            <w:vAlign w:val="center"/>
          </w:tcPr>
          <w:p w14:paraId="29C4173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MIN (出栏量，屠宰产能，分割产能，速冻产能，剩余库容)</w:t>
            </w:r>
          </w:p>
        </w:tc>
        <w:tc>
          <w:tcPr>
            <w:tcW w:w="1036" w:type="pct"/>
            <w:vAlign w:val="center"/>
          </w:tcPr>
          <w:p w14:paraId="5C02E39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各环节产能表、库存表</w:t>
            </w:r>
          </w:p>
        </w:tc>
        <w:tc>
          <w:tcPr>
            <w:tcW w:w="369" w:type="pct"/>
            <w:vAlign w:val="center"/>
          </w:tcPr>
          <w:p w14:paraId="66F41AF6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668" w:type="pct"/>
            <w:vAlign w:val="center"/>
          </w:tcPr>
          <w:p w14:paraId="5A0D3E9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正向产能约束</w:t>
            </w:r>
          </w:p>
        </w:tc>
      </w:tr>
    </w:tbl>
    <w:p w14:paraId="28BA6A06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反向需求瓶颈指标（销售→深加工）</w:t>
      </w:r>
    </w:p>
    <w:p w14:paraId="751927CC">
      <w:pPr>
        <w:pStyle w:val="21"/>
        <w:widowControl/>
        <w:rPr>
          <w:rFonts w:hint="eastAsia" w:eastAsia="宋体"/>
          <w:lang w:eastAsia="zh-CN"/>
        </w:rPr>
      </w:pPr>
    </w:p>
    <w:tbl>
      <w:tblPr>
        <w:tblStyle w:val="14"/>
        <w:tblW w:w="5000" w:type="pct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2"/>
        <w:gridCol w:w="3385"/>
        <w:gridCol w:w="1806"/>
        <w:gridCol w:w="659"/>
        <w:gridCol w:w="1194"/>
      </w:tblGrid>
      <w:tr w14:paraId="7A3D28A8">
        <w:trPr>
          <w:tblHeader/>
          <w:tblCellSpacing w:w="15" w:type="dxa"/>
        </w:trPr>
        <w:tc>
          <w:tcPr>
            <w:tcW w:w="763" w:type="pct"/>
            <w:vAlign w:val="center"/>
          </w:tcPr>
          <w:p w14:paraId="6BB5F34E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指标名称</w:t>
            </w:r>
          </w:p>
        </w:tc>
        <w:tc>
          <w:tcPr>
            <w:tcW w:w="2004" w:type="pct"/>
            <w:vAlign w:val="center"/>
          </w:tcPr>
          <w:p w14:paraId="38738E0B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计算公式</w:t>
            </w:r>
          </w:p>
        </w:tc>
        <w:tc>
          <w:tcPr>
            <w:tcW w:w="1061" w:type="pct"/>
            <w:vAlign w:val="center"/>
          </w:tcPr>
          <w:p w14:paraId="3D700376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数据来源</w:t>
            </w:r>
          </w:p>
        </w:tc>
        <w:tc>
          <w:tcPr>
            <w:tcW w:w="376" w:type="pct"/>
            <w:vAlign w:val="center"/>
          </w:tcPr>
          <w:p w14:paraId="426181FD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计算频率</w:t>
            </w:r>
          </w:p>
        </w:tc>
        <w:tc>
          <w:tcPr>
            <w:tcW w:w="686" w:type="pct"/>
            <w:vAlign w:val="center"/>
          </w:tcPr>
          <w:p w14:paraId="3B74C774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指标用途</w:t>
            </w:r>
          </w:p>
        </w:tc>
      </w:tr>
      <w:tr w14:paraId="5ACCD81F">
        <w:trPr>
          <w:tblCellSpacing w:w="15" w:type="dxa"/>
        </w:trPr>
        <w:tc>
          <w:tcPr>
            <w:tcW w:w="763" w:type="pct"/>
            <w:vAlign w:val="center"/>
          </w:tcPr>
          <w:p w14:paraId="358D6C3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深加工原料需求缺口</w:t>
            </w:r>
          </w:p>
        </w:tc>
        <w:tc>
          <w:tcPr>
            <w:tcW w:w="2004" w:type="pct"/>
            <w:vAlign w:val="center"/>
          </w:tcPr>
          <w:p w14:paraId="25C91A5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深加工满产原料需求量 - 实际原料供应量</w:t>
            </w:r>
          </w:p>
        </w:tc>
        <w:tc>
          <w:tcPr>
            <w:tcW w:w="1061" w:type="pct"/>
            <w:vAlign w:val="center"/>
          </w:tcPr>
          <w:p w14:paraId="18464CB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深加工产能表、原料消耗表</w:t>
            </w:r>
          </w:p>
        </w:tc>
        <w:tc>
          <w:tcPr>
            <w:tcW w:w="376" w:type="pct"/>
            <w:vAlign w:val="center"/>
          </w:tcPr>
          <w:p w14:paraId="4001498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686" w:type="pct"/>
            <w:vAlign w:val="center"/>
          </w:tcPr>
          <w:p w14:paraId="795165B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最高优先级缺口</w:t>
            </w:r>
          </w:p>
        </w:tc>
      </w:tr>
      <w:tr w14:paraId="4E21FD53">
        <w:trPr>
          <w:tblCellSpacing w:w="15" w:type="dxa"/>
        </w:trPr>
        <w:tc>
          <w:tcPr>
            <w:tcW w:w="763" w:type="pct"/>
            <w:vAlign w:val="center"/>
          </w:tcPr>
          <w:p w14:paraId="20D86AC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冻品销售需求缺口</w:t>
            </w:r>
          </w:p>
        </w:tc>
        <w:tc>
          <w:tcPr>
            <w:tcW w:w="2004" w:type="pct"/>
            <w:vAlign w:val="center"/>
          </w:tcPr>
          <w:p w14:paraId="1B771BA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月度冻品销售目标 - 实际销售量</w:t>
            </w:r>
          </w:p>
        </w:tc>
        <w:tc>
          <w:tcPr>
            <w:tcW w:w="1061" w:type="pct"/>
            <w:vAlign w:val="center"/>
          </w:tcPr>
          <w:p w14:paraId="101CB6F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销售目标表、销售订单表</w:t>
            </w:r>
          </w:p>
        </w:tc>
        <w:tc>
          <w:tcPr>
            <w:tcW w:w="376" w:type="pct"/>
            <w:vAlign w:val="center"/>
          </w:tcPr>
          <w:p w14:paraId="0E2AC61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686" w:type="pct"/>
            <w:vAlign w:val="center"/>
          </w:tcPr>
          <w:p w14:paraId="7649885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销售环节瓶颈</w:t>
            </w:r>
          </w:p>
        </w:tc>
      </w:tr>
      <w:tr w14:paraId="469A64E4">
        <w:trPr>
          <w:tblCellSpacing w:w="15" w:type="dxa"/>
        </w:trPr>
        <w:tc>
          <w:tcPr>
            <w:tcW w:w="763" w:type="pct"/>
            <w:vAlign w:val="center"/>
          </w:tcPr>
          <w:p w14:paraId="25255584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每日最大可消化量</w:t>
            </w:r>
          </w:p>
        </w:tc>
        <w:tc>
          <w:tcPr>
            <w:tcW w:w="2004" w:type="pct"/>
            <w:vAlign w:val="center"/>
          </w:tcPr>
          <w:p w14:paraId="37DFB85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深加工日原料需求量 + 冻品日销售量 + 鲜品日销售量</w:t>
            </w:r>
          </w:p>
        </w:tc>
        <w:tc>
          <w:tcPr>
            <w:tcW w:w="1061" w:type="pct"/>
            <w:vAlign w:val="center"/>
          </w:tcPr>
          <w:p w14:paraId="1F6579A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上述指标</w:t>
            </w:r>
          </w:p>
        </w:tc>
        <w:tc>
          <w:tcPr>
            <w:tcW w:w="376" w:type="pct"/>
            <w:vAlign w:val="center"/>
          </w:tcPr>
          <w:p w14:paraId="3ED1D65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686" w:type="pct"/>
            <w:vAlign w:val="center"/>
          </w:tcPr>
          <w:p w14:paraId="39769BB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反向需求约束</w:t>
            </w:r>
          </w:p>
        </w:tc>
      </w:tr>
      <w:tr w14:paraId="3544A61C">
        <w:trPr>
          <w:tblCellSpacing w:w="15" w:type="dxa"/>
        </w:trPr>
        <w:tc>
          <w:tcPr>
            <w:tcW w:w="763" w:type="pct"/>
            <w:vAlign w:val="center"/>
          </w:tcPr>
          <w:p w14:paraId="2958F68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全局最优储备量</w:t>
            </w:r>
          </w:p>
        </w:tc>
        <w:tc>
          <w:tcPr>
            <w:tcW w:w="2004" w:type="pct"/>
            <w:vAlign w:val="center"/>
          </w:tcPr>
          <w:p w14:paraId="49298A7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MIN (每日最大可储备量，每日最大可消化量)</w:t>
            </w:r>
          </w:p>
        </w:tc>
        <w:tc>
          <w:tcPr>
            <w:tcW w:w="1061" w:type="pct"/>
            <w:vAlign w:val="center"/>
          </w:tcPr>
          <w:p w14:paraId="74AB0AE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正向 / 反向瓶颈指标</w:t>
            </w:r>
          </w:p>
        </w:tc>
        <w:tc>
          <w:tcPr>
            <w:tcW w:w="376" w:type="pct"/>
            <w:vAlign w:val="center"/>
          </w:tcPr>
          <w:p w14:paraId="4008675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686" w:type="pct"/>
            <w:vAlign w:val="center"/>
          </w:tcPr>
          <w:p w14:paraId="2A6937C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每日实际储备目标</w:t>
            </w:r>
          </w:p>
        </w:tc>
      </w:tr>
    </w:tbl>
    <w:p w14:paraId="112132AF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智能调度指标</w:t>
      </w:r>
    </w:p>
    <w:p w14:paraId="365587AB">
      <w:pPr>
        <w:pStyle w:val="21"/>
        <w:widowControl/>
        <w:rPr>
          <w:rFonts w:hint="eastAsia" w:eastAsia="宋体"/>
          <w:lang w:eastAsia="zh-CN"/>
        </w:rPr>
      </w:pPr>
    </w:p>
    <w:tbl>
      <w:tblPr>
        <w:tblStyle w:val="14"/>
        <w:tblW w:w="5000" w:type="pct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50"/>
        <w:gridCol w:w="3234"/>
        <w:gridCol w:w="1811"/>
        <w:gridCol w:w="683"/>
        <w:gridCol w:w="1388"/>
      </w:tblGrid>
      <w:tr w14:paraId="02037C67">
        <w:trPr>
          <w:tblHeader/>
          <w:tblCellSpacing w:w="15" w:type="dxa"/>
        </w:trPr>
        <w:tc>
          <w:tcPr>
            <w:tcW w:w="720" w:type="pct"/>
            <w:vAlign w:val="center"/>
          </w:tcPr>
          <w:p w14:paraId="5FD0857C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指标名称</w:t>
            </w:r>
          </w:p>
        </w:tc>
        <w:tc>
          <w:tcPr>
            <w:tcW w:w="1914" w:type="pct"/>
            <w:vAlign w:val="center"/>
          </w:tcPr>
          <w:p w14:paraId="5977386E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计算公式</w:t>
            </w:r>
          </w:p>
        </w:tc>
        <w:tc>
          <w:tcPr>
            <w:tcW w:w="1064" w:type="pct"/>
            <w:vAlign w:val="center"/>
          </w:tcPr>
          <w:p w14:paraId="6771BF52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数据来源</w:t>
            </w:r>
          </w:p>
        </w:tc>
        <w:tc>
          <w:tcPr>
            <w:tcW w:w="390" w:type="pct"/>
            <w:vAlign w:val="center"/>
          </w:tcPr>
          <w:p w14:paraId="057760E3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计算频率</w:t>
            </w:r>
          </w:p>
        </w:tc>
        <w:tc>
          <w:tcPr>
            <w:tcW w:w="802" w:type="pct"/>
            <w:vAlign w:val="center"/>
          </w:tcPr>
          <w:p w14:paraId="37F23624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指标用途</w:t>
            </w:r>
          </w:p>
        </w:tc>
      </w:tr>
      <w:tr w14:paraId="1A9B6555">
        <w:trPr>
          <w:tblCellSpacing w:w="15" w:type="dxa"/>
        </w:trPr>
        <w:tc>
          <w:tcPr>
            <w:tcW w:w="720" w:type="pct"/>
            <w:vAlign w:val="center"/>
          </w:tcPr>
          <w:p w14:paraId="43FE695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产能分配效率</w:t>
            </w:r>
          </w:p>
        </w:tc>
        <w:tc>
          <w:tcPr>
            <w:tcW w:w="1914" w:type="pct"/>
            <w:vAlign w:val="center"/>
          </w:tcPr>
          <w:p w14:paraId="372D45C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实际产能分配收益 / 理论最优分配收益 ×100%</w:t>
            </w:r>
          </w:p>
        </w:tc>
        <w:tc>
          <w:tcPr>
            <w:tcW w:w="1064" w:type="pct"/>
            <w:vAlign w:val="center"/>
          </w:tcPr>
          <w:p w14:paraId="02961AD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调度执行表、AI 优化方案</w:t>
            </w:r>
          </w:p>
        </w:tc>
        <w:tc>
          <w:tcPr>
            <w:tcW w:w="390" w:type="pct"/>
            <w:vAlign w:val="center"/>
          </w:tcPr>
          <w:p w14:paraId="63407336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802" w:type="pct"/>
            <w:vAlign w:val="center"/>
          </w:tcPr>
          <w:p w14:paraId="2B718216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调度效果评估</w:t>
            </w:r>
          </w:p>
        </w:tc>
      </w:tr>
      <w:tr w14:paraId="072D5ADB">
        <w:trPr>
          <w:tblCellSpacing w:w="15" w:type="dxa"/>
        </w:trPr>
        <w:tc>
          <w:tcPr>
            <w:tcW w:w="720" w:type="pct"/>
            <w:vAlign w:val="center"/>
          </w:tcPr>
          <w:p w14:paraId="79B6F35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部位产能分配占比</w:t>
            </w:r>
          </w:p>
        </w:tc>
        <w:tc>
          <w:tcPr>
            <w:tcW w:w="1914" w:type="pct"/>
            <w:vAlign w:val="center"/>
          </w:tcPr>
          <w:p w14:paraId="71469FA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某部位分配的分割产能 / 总分割产能 ×100%</w:t>
            </w:r>
          </w:p>
        </w:tc>
        <w:tc>
          <w:tcPr>
            <w:tcW w:w="1064" w:type="pct"/>
            <w:vAlign w:val="center"/>
          </w:tcPr>
          <w:p w14:paraId="3192A85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分割出品表、调度方案</w:t>
            </w:r>
          </w:p>
        </w:tc>
        <w:tc>
          <w:tcPr>
            <w:tcW w:w="390" w:type="pct"/>
            <w:vAlign w:val="center"/>
          </w:tcPr>
          <w:p w14:paraId="12CDA31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802" w:type="pct"/>
            <w:vAlign w:val="center"/>
          </w:tcPr>
          <w:p w14:paraId="6A23EC5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高价值部位优先保障</w:t>
            </w:r>
          </w:p>
        </w:tc>
      </w:tr>
      <w:tr w14:paraId="3D0D182A">
        <w:trPr>
          <w:tblCellSpacing w:w="15" w:type="dxa"/>
        </w:trPr>
        <w:tc>
          <w:tcPr>
            <w:tcW w:w="720" w:type="pct"/>
            <w:vAlign w:val="center"/>
          </w:tcPr>
          <w:p w14:paraId="1F698AF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冷库利用率均衡度</w:t>
            </w:r>
          </w:p>
        </w:tc>
        <w:tc>
          <w:tcPr>
            <w:tcW w:w="1914" w:type="pct"/>
            <w:vAlign w:val="center"/>
          </w:tcPr>
          <w:p w14:paraId="6FB5C07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各冷库库容利用率标准差</w:t>
            </w:r>
          </w:p>
        </w:tc>
        <w:tc>
          <w:tcPr>
            <w:tcW w:w="1064" w:type="pct"/>
            <w:vAlign w:val="center"/>
          </w:tcPr>
          <w:p w14:paraId="6DE069A4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冷库信息表、库存表</w:t>
            </w:r>
          </w:p>
        </w:tc>
        <w:tc>
          <w:tcPr>
            <w:tcW w:w="390" w:type="pct"/>
            <w:vAlign w:val="center"/>
          </w:tcPr>
          <w:p w14:paraId="307647C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802" w:type="pct"/>
            <w:vAlign w:val="center"/>
          </w:tcPr>
          <w:p w14:paraId="12D6310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仓储资源均衡配置</w:t>
            </w:r>
          </w:p>
        </w:tc>
      </w:tr>
      <w:tr w14:paraId="75B3E7BE">
        <w:trPr>
          <w:tblCellSpacing w:w="15" w:type="dxa"/>
        </w:trPr>
        <w:tc>
          <w:tcPr>
            <w:tcW w:w="720" w:type="pct"/>
            <w:vAlign w:val="center"/>
          </w:tcPr>
          <w:p w14:paraId="31246D36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运输车辆满载率</w:t>
            </w:r>
          </w:p>
        </w:tc>
        <w:tc>
          <w:tcPr>
            <w:tcW w:w="1914" w:type="pct"/>
            <w:vAlign w:val="center"/>
          </w:tcPr>
          <w:p w14:paraId="48447B4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实际运输量 / 车辆额定载重 ×100%</w:t>
            </w:r>
          </w:p>
        </w:tc>
        <w:tc>
          <w:tcPr>
            <w:tcW w:w="1064" w:type="pct"/>
            <w:vAlign w:val="center"/>
          </w:tcPr>
          <w:p w14:paraId="36194ED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冷链调度表、运力表</w:t>
            </w:r>
          </w:p>
        </w:tc>
        <w:tc>
          <w:tcPr>
            <w:tcW w:w="390" w:type="pct"/>
            <w:vAlign w:val="center"/>
          </w:tcPr>
          <w:p w14:paraId="1A67C66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802" w:type="pct"/>
            <w:vAlign w:val="center"/>
          </w:tcPr>
          <w:p w14:paraId="3DB29086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物流效率优化</w:t>
            </w:r>
          </w:p>
        </w:tc>
      </w:tr>
    </w:tbl>
    <w:p w14:paraId="5DA74D1D">
      <w:pPr>
        <w:widowControl/>
        <w:spacing w:after="0" w:line="240" w:lineRule="auto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31" o:spt="1" style="height:0.05pt;width:415.3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40DFDAE6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AI 决策与模型效果指标（算法精度验证）</w:t>
      </w:r>
    </w:p>
    <w:p w14:paraId="6C06B662">
      <w:pPr>
        <w:pStyle w:val="3"/>
        <w:widowControl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价格预测模型指标</w:t>
      </w:r>
    </w:p>
    <w:p w14:paraId="72B279CF">
      <w:pPr>
        <w:pStyle w:val="21"/>
        <w:widowControl/>
        <w:rPr>
          <w:rFonts w:hint="eastAsia" w:eastAsia="宋体"/>
          <w:lang w:eastAsia="zh-CN"/>
        </w:rPr>
      </w:pPr>
    </w:p>
    <w:tbl>
      <w:tblPr>
        <w:tblStyle w:val="14"/>
        <w:tblW w:w="5000" w:type="pct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06"/>
        <w:gridCol w:w="2309"/>
        <w:gridCol w:w="1112"/>
        <w:gridCol w:w="1104"/>
        <w:gridCol w:w="1112"/>
        <w:gridCol w:w="270"/>
        <w:gridCol w:w="753"/>
      </w:tblGrid>
      <w:tr w14:paraId="04087240">
        <w:trPr>
          <w:tblHeader/>
          <w:tblCellSpacing w:w="15" w:type="dxa"/>
        </w:trPr>
        <w:tc>
          <w:tcPr>
            <w:tcW w:w="992" w:type="pct"/>
            <w:vAlign w:val="center"/>
          </w:tcPr>
          <w:p w14:paraId="7298D8CD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指标名称</w:t>
            </w:r>
          </w:p>
        </w:tc>
        <w:tc>
          <w:tcPr>
            <w:tcW w:w="1361" w:type="pct"/>
            <w:vAlign w:val="center"/>
          </w:tcPr>
          <w:p w14:paraId="47D1D953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计算公式</w:t>
            </w:r>
          </w:p>
        </w:tc>
        <w:tc>
          <w:tcPr>
            <w:tcW w:w="646" w:type="pct"/>
            <w:vAlign w:val="center"/>
          </w:tcPr>
          <w:p w14:paraId="5C72B45B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数据来源</w:t>
            </w:r>
          </w:p>
        </w:tc>
        <w:tc>
          <w:tcPr>
            <w:tcW w:w="641" w:type="pct"/>
            <w:vAlign w:val="center"/>
          </w:tcPr>
          <w:p w14:paraId="355A3420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计算频率</w:t>
            </w:r>
          </w:p>
        </w:tc>
        <w:tc>
          <w:tcPr>
            <w:tcW w:w="646" w:type="pct"/>
            <w:vAlign w:val="center"/>
          </w:tcPr>
          <w:p w14:paraId="76FAECCB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指标用途</w:t>
            </w:r>
          </w:p>
        </w:tc>
        <w:tc>
          <w:tcPr>
            <w:tcW w:w="143" w:type="pct"/>
            <w:vAlign w:val="center"/>
          </w:tcPr>
          <w:p w14:paraId="03150762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423" w:type="pct"/>
            <w:vAlign w:val="center"/>
          </w:tcPr>
          <w:p w14:paraId="64664961">
            <w:pPr>
              <w:widowControl/>
              <w:spacing w:after="0" w:line="360" w:lineRule="atLeast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14:paraId="65C042D0">
        <w:trPr>
          <w:tblCellSpacing w:w="15" w:type="dxa"/>
        </w:trPr>
        <w:tc>
          <w:tcPr>
            <w:tcW w:w="992" w:type="pct"/>
            <w:vAlign w:val="center"/>
          </w:tcPr>
          <w:p w14:paraId="0A49565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部位价格预测准确率</w:t>
            </w:r>
          </w:p>
        </w:tc>
        <w:tc>
          <w:tcPr>
            <w:tcW w:w="1361" w:type="pct"/>
            <w:vAlign w:val="center"/>
          </w:tcPr>
          <w:p w14:paraId="668A76A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（1 -</w:t>
            </w:r>
          </w:p>
        </w:tc>
        <w:tc>
          <w:tcPr>
            <w:tcW w:w="646" w:type="pct"/>
            <w:vAlign w:val="center"/>
          </w:tcPr>
          <w:p w14:paraId="74B6423E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预测价 - 实际价</w:t>
            </w:r>
          </w:p>
        </w:tc>
        <w:tc>
          <w:tcPr>
            <w:tcW w:w="641" w:type="pct"/>
            <w:vAlign w:val="center"/>
          </w:tcPr>
          <w:p w14:paraId="2DD079C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/ 实际价）×100%</w:t>
            </w:r>
          </w:p>
        </w:tc>
        <w:tc>
          <w:tcPr>
            <w:tcW w:w="646" w:type="pct"/>
            <w:vAlign w:val="center"/>
          </w:tcPr>
          <w:p w14:paraId="62C077D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价格预测表、实时价格表</w:t>
            </w:r>
          </w:p>
        </w:tc>
        <w:tc>
          <w:tcPr>
            <w:tcW w:w="143" w:type="pct"/>
            <w:vAlign w:val="center"/>
          </w:tcPr>
          <w:p w14:paraId="1DA7FE4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423" w:type="pct"/>
            <w:vAlign w:val="center"/>
          </w:tcPr>
          <w:p w14:paraId="463A0D3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模型核心精度指标</w:t>
            </w:r>
          </w:p>
        </w:tc>
      </w:tr>
      <w:tr w14:paraId="51B33262">
        <w:trPr>
          <w:tblCellSpacing w:w="15" w:type="dxa"/>
        </w:trPr>
        <w:tc>
          <w:tcPr>
            <w:tcW w:w="992" w:type="pct"/>
            <w:vAlign w:val="center"/>
          </w:tcPr>
          <w:p w14:paraId="6D8609D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预测平均绝对误差（MAE）</w:t>
            </w:r>
          </w:p>
        </w:tc>
        <w:tc>
          <w:tcPr>
            <w:tcW w:w="1361" w:type="pct"/>
            <w:vAlign w:val="center"/>
          </w:tcPr>
          <w:p w14:paraId="74A3C43E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Σ</w:t>
            </w:r>
          </w:p>
        </w:tc>
        <w:tc>
          <w:tcPr>
            <w:tcW w:w="646" w:type="pct"/>
            <w:vAlign w:val="center"/>
          </w:tcPr>
          <w:p w14:paraId="08CEC6F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预测价 - 实际价</w:t>
            </w:r>
          </w:p>
        </w:tc>
        <w:tc>
          <w:tcPr>
            <w:tcW w:w="641" w:type="pct"/>
            <w:vAlign w:val="center"/>
          </w:tcPr>
          <w:p w14:paraId="6ECD689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/ 样本数</w:t>
            </w:r>
          </w:p>
        </w:tc>
        <w:tc>
          <w:tcPr>
            <w:tcW w:w="646" w:type="pct"/>
            <w:vAlign w:val="center"/>
          </w:tcPr>
          <w:p w14:paraId="1AD9DC0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价格预测表、实时价格表</w:t>
            </w:r>
          </w:p>
        </w:tc>
        <w:tc>
          <w:tcPr>
            <w:tcW w:w="143" w:type="pct"/>
            <w:vAlign w:val="center"/>
          </w:tcPr>
          <w:p w14:paraId="6B82711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周</w:t>
            </w:r>
          </w:p>
        </w:tc>
        <w:tc>
          <w:tcPr>
            <w:tcW w:w="423" w:type="pct"/>
            <w:vAlign w:val="center"/>
          </w:tcPr>
          <w:p w14:paraId="2058448E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模型误差量化</w:t>
            </w:r>
          </w:p>
        </w:tc>
      </w:tr>
      <w:tr w14:paraId="34CEA616">
        <w:trPr>
          <w:tblCellSpacing w:w="15" w:type="dxa"/>
        </w:trPr>
        <w:tc>
          <w:tcPr>
            <w:tcW w:w="992" w:type="pct"/>
            <w:vAlign w:val="center"/>
          </w:tcPr>
          <w:p w14:paraId="46F87A4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预测均方根误差（RMSE）</w:t>
            </w:r>
          </w:p>
        </w:tc>
        <w:tc>
          <w:tcPr>
            <w:tcW w:w="1361" w:type="pct"/>
            <w:vAlign w:val="center"/>
          </w:tcPr>
          <w:p w14:paraId="5B9C6674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√[Σ(预测价 - 实际价)² / 样本数]</w:t>
            </w:r>
          </w:p>
        </w:tc>
        <w:tc>
          <w:tcPr>
            <w:tcW w:w="646" w:type="pct"/>
            <w:vAlign w:val="center"/>
          </w:tcPr>
          <w:p w14:paraId="60267D1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价格预测表、实时价格表</w:t>
            </w:r>
          </w:p>
        </w:tc>
        <w:tc>
          <w:tcPr>
            <w:tcW w:w="641" w:type="pct"/>
            <w:vAlign w:val="center"/>
          </w:tcPr>
          <w:p w14:paraId="17C4331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周</w:t>
            </w:r>
          </w:p>
        </w:tc>
        <w:tc>
          <w:tcPr>
            <w:tcW w:w="646" w:type="pct"/>
            <w:vAlign w:val="center"/>
          </w:tcPr>
          <w:p w14:paraId="54518FA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模型误差量化</w:t>
            </w:r>
          </w:p>
        </w:tc>
        <w:tc>
          <w:tcPr>
            <w:tcW w:w="143" w:type="pct"/>
            <w:vAlign w:val="center"/>
          </w:tcPr>
          <w:p w14:paraId="03F4987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423" w:type="pct"/>
            <w:vAlign w:val="center"/>
          </w:tcPr>
          <w:p w14:paraId="34ED6501">
            <w:pPr>
              <w:widowControl/>
              <w:spacing w:after="0" w:line="360" w:lineRule="atLeas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14:paraId="43993194">
        <w:trPr>
          <w:tblCellSpacing w:w="15" w:type="dxa"/>
        </w:trPr>
        <w:tc>
          <w:tcPr>
            <w:tcW w:w="992" w:type="pct"/>
            <w:vAlign w:val="center"/>
          </w:tcPr>
          <w:p w14:paraId="6F0B906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预测置信度</w:t>
            </w:r>
          </w:p>
        </w:tc>
        <w:tc>
          <w:tcPr>
            <w:tcW w:w="1361" w:type="pct"/>
            <w:vAlign w:val="center"/>
          </w:tcPr>
          <w:p w14:paraId="472E27C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模型输出的预测结果概率值</w:t>
            </w:r>
          </w:p>
        </w:tc>
        <w:tc>
          <w:tcPr>
            <w:tcW w:w="646" w:type="pct"/>
            <w:vAlign w:val="center"/>
          </w:tcPr>
          <w:p w14:paraId="35C1493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AI 价格预测模型</w:t>
            </w:r>
          </w:p>
        </w:tc>
        <w:tc>
          <w:tcPr>
            <w:tcW w:w="641" w:type="pct"/>
            <w:vAlign w:val="center"/>
          </w:tcPr>
          <w:p w14:paraId="4FF1821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646" w:type="pct"/>
            <w:vAlign w:val="center"/>
          </w:tcPr>
          <w:p w14:paraId="7D0B528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决策风险评估</w:t>
            </w:r>
          </w:p>
        </w:tc>
        <w:tc>
          <w:tcPr>
            <w:tcW w:w="143" w:type="pct"/>
            <w:vAlign w:val="center"/>
          </w:tcPr>
          <w:p w14:paraId="26DC935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423" w:type="pct"/>
            <w:vAlign w:val="center"/>
          </w:tcPr>
          <w:p w14:paraId="64EA272D">
            <w:pPr>
              <w:widowControl/>
              <w:spacing w:after="0" w:line="360" w:lineRule="atLeas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14:paraId="00FF0578">
        <w:trPr>
          <w:tblCellSpacing w:w="15" w:type="dxa"/>
        </w:trPr>
        <w:tc>
          <w:tcPr>
            <w:tcW w:w="992" w:type="pct"/>
            <w:vAlign w:val="center"/>
          </w:tcPr>
          <w:p w14:paraId="165F12C4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方向准确率</w:t>
            </w:r>
          </w:p>
        </w:tc>
        <w:tc>
          <w:tcPr>
            <w:tcW w:w="1361" w:type="pct"/>
            <w:vAlign w:val="center"/>
          </w:tcPr>
          <w:p w14:paraId="5309C28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预测价格涨跌方向与实际一致的次数 / 总预测次数 ×100%</w:t>
            </w:r>
          </w:p>
        </w:tc>
        <w:tc>
          <w:tcPr>
            <w:tcW w:w="646" w:type="pct"/>
            <w:vAlign w:val="center"/>
          </w:tcPr>
          <w:p w14:paraId="164A356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价格预测表、实时价格表</w:t>
            </w:r>
          </w:p>
        </w:tc>
        <w:tc>
          <w:tcPr>
            <w:tcW w:w="641" w:type="pct"/>
            <w:vAlign w:val="center"/>
          </w:tcPr>
          <w:p w14:paraId="538766A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周</w:t>
            </w:r>
          </w:p>
        </w:tc>
        <w:tc>
          <w:tcPr>
            <w:tcW w:w="646" w:type="pct"/>
            <w:vAlign w:val="center"/>
          </w:tcPr>
          <w:p w14:paraId="0D80E09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趋势预测精度</w:t>
            </w:r>
          </w:p>
        </w:tc>
        <w:tc>
          <w:tcPr>
            <w:tcW w:w="143" w:type="pct"/>
            <w:vAlign w:val="center"/>
          </w:tcPr>
          <w:p w14:paraId="09A0C23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423" w:type="pct"/>
            <w:vAlign w:val="center"/>
          </w:tcPr>
          <w:p w14:paraId="6A3DCE42">
            <w:pPr>
              <w:widowControl/>
              <w:spacing w:after="0" w:line="360" w:lineRule="atLeas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C163799">
      <w:pPr>
        <w:pStyle w:val="3"/>
        <w:widowControl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优化决策模型指标</w:t>
      </w:r>
    </w:p>
    <w:p w14:paraId="0BBF7991">
      <w:pPr>
        <w:pStyle w:val="11"/>
        <w:widowControl/>
        <w:rPr>
          <w:rFonts w:hint="eastAsia" w:eastAsia="宋体"/>
          <w:color w:val="000000"/>
          <w:lang w:eastAsia="zh-CN"/>
        </w:rPr>
      </w:pPr>
    </w:p>
    <w:tbl>
      <w:tblPr>
        <w:tblStyle w:val="14"/>
        <w:tblW w:w="5000" w:type="pct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93"/>
        <w:gridCol w:w="3094"/>
        <w:gridCol w:w="1917"/>
        <w:gridCol w:w="639"/>
        <w:gridCol w:w="1023"/>
      </w:tblGrid>
      <w:tr w14:paraId="08451D26">
        <w:trPr>
          <w:tblHeader/>
          <w:tblCellSpacing w:w="15" w:type="dxa"/>
        </w:trPr>
        <w:tc>
          <w:tcPr>
            <w:tcW w:w="984" w:type="pct"/>
            <w:vAlign w:val="center"/>
          </w:tcPr>
          <w:p w14:paraId="3E5D9D7C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指标名称</w:t>
            </w:r>
          </w:p>
        </w:tc>
        <w:tc>
          <w:tcPr>
            <w:tcW w:w="1830" w:type="pct"/>
            <w:vAlign w:val="center"/>
          </w:tcPr>
          <w:p w14:paraId="26D84D67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计算公式</w:t>
            </w:r>
          </w:p>
        </w:tc>
        <w:tc>
          <w:tcPr>
            <w:tcW w:w="1127" w:type="pct"/>
            <w:vAlign w:val="center"/>
          </w:tcPr>
          <w:p w14:paraId="6837A263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数据来源</w:t>
            </w:r>
          </w:p>
        </w:tc>
        <w:tc>
          <w:tcPr>
            <w:tcW w:w="364" w:type="pct"/>
            <w:vAlign w:val="center"/>
          </w:tcPr>
          <w:p w14:paraId="47B88399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计算频率</w:t>
            </w:r>
          </w:p>
        </w:tc>
        <w:tc>
          <w:tcPr>
            <w:tcW w:w="584" w:type="pct"/>
            <w:vAlign w:val="center"/>
          </w:tcPr>
          <w:p w14:paraId="3325B194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指标用途</w:t>
            </w:r>
          </w:p>
        </w:tc>
      </w:tr>
      <w:tr w14:paraId="5DDF8D1B">
        <w:trPr>
          <w:tblCellSpacing w:w="15" w:type="dxa"/>
        </w:trPr>
        <w:tc>
          <w:tcPr>
            <w:tcW w:w="984" w:type="pct"/>
            <w:vAlign w:val="center"/>
          </w:tcPr>
          <w:p w14:paraId="6D460FB4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AI 方案 vs 人工方案收益差</w:t>
            </w:r>
          </w:p>
        </w:tc>
        <w:tc>
          <w:tcPr>
            <w:tcW w:w="1830" w:type="pct"/>
            <w:vAlign w:val="center"/>
          </w:tcPr>
          <w:p w14:paraId="4829A86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AI 优化方案总收益 - 人工决策方案总收益</w:t>
            </w:r>
          </w:p>
        </w:tc>
        <w:tc>
          <w:tcPr>
            <w:tcW w:w="1127" w:type="pct"/>
            <w:vAlign w:val="center"/>
          </w:tcPr>
          <w:p w14:paraId="6F90F9C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AI 方案、人工方案、收益指标</w:t>
            </w:r>
          </w:p>
        </w:tc>
        <w:tc>
          <w:tcPr>
            <w:tcW w:w="364" w:type="pct"/>
            <w:vAlign w:val="center"/>
          </w:tcPr>
          <w:p w14:paraId="0E2E414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周</w:t>
            </w:r>
          </w:p>
        </w:tc>
        <w:tc>
          <w:tcPr>
            <w:tcW w:w="584" w:type="pct"/>
            <w:vAlign w:val="center"/>
          </w:tcPr>
          <w:p w14:paraId="5A7DA43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AI 价值量化</w:t>
            </w:r>
          </w:p>
        </w:tc>
      </w:tr>
      <w:tr w14:paraId="38691F54">
        <w:trPr>
          <w:tblCellSpacing w:w="15" w:type="dxa"/>
        </w:trPr>
        <w:tc>
          <w:tcPr>
            <w:tcW w:w="984" w:type="pct"/>
            <w:vAlign w:val="center"/>
          </w:tcPr>
          <w:p w14:paraId="23B8569E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全局最优解达成率</w:t>
            </w:r>
          </w:p>
        </w:tc>
        <w:tc>
          <w:tcPr>
            <w:tcW w:w="1830" w:type="pct"/>
            <w:vAlign w:val="center"/>
          </w:tcPr>
          <w:p w14:paraId="59F63AC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实际执行收益 / 理论最优收益 ×100%</w:t>
            </w:r>
          </w:p>
        </w:tc>
        <w:tc>
          <w:tcPr>
            <w:tcW w:w="1127" w:type="pct"/>
            <w:vAlign w:val="center"/>
          </w:tcPr>
          <w:p w14:paraId="701ED1A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执行收益、理论最优收益</w:t>
            </w:r>
          </w:p>
        </w:tc>
        <w:tc>
          <w:tcPr>
            <w:tcW w:w="364" w:type="pct"/>
            <w:vAlign w:val="center"/>
          </w:tcPr>
          <w:p w14:paraId="072AC5D4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584" w:type="pct"/>
            <w:vAlign w:val="center"/>
          </w:tcPr>
          <w:p w14:paraId="396CD27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优化效果评估</w:t>
            </w:r>
          </w:p>
        </w:tc>
      </w:tr>
      <w:tr w14:paraId="0C327AF6">
        <w:trPr>
          <w:tblCellSpacing w:w="15" w:type="dxa"/>
        </w:trPr>
        <w:tc>
          <w:tcPr>
            <w:tcW w:w="984" w:type="pct"/>
            <w:vAlign w:val="center"/>
          </w:tcPr>
          <w:p w14:paraId="3ADEAF5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约束满足率</w:t>
            </w:r>
          </w:p>
        </w:tc>
        <w:tc>
          <w:tcPr>
            <w:tcW w:w="1830" w:type="pct"/>
            <w:vAlign w:val="center"/>
          </w:tcPr>
          <w:p w14:paraId="7FEBBE6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满足所有硬约束的决策次数 / 总决策次数 ×100%</w:t>
            </w:r>
          </w:p>
        </w:tc>
        <w:tc>
          <w:tcPr>
            <w:tcW w:w="1127" w:type="pct"/>
            <w:vAlign w:val="center"/>
          </w:tcPr>
          <w:p w14:paraId="61357484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决策日志、约束条件表</w:t>
            </w:r>
          </w:p>
        </w:tc>
        <w:tc>
          <w:tcPr>
            <w:tcW w:w="364" w:type="pct"/>
            <w:vAlign w:val="center"/>
          </w:tcPr>
          <w:p w14:paraId="23D305CE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584" w:type="pct"/>
            <w:vAlign w:val="center"/>
          </w:tcPr>
          <w:p w14:paraId="654F760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模型合规性验证</w:t>
            </w:r>
          </w:p>
        </w:tc>
      </w:tr>
      <w:tr w14:paraId="19D29137">
        <w:trPr>
          <w:tblCellSpacing w:w="15" w:type="dxa"/>
        </w:trPr>
        <w:tc>
          <w:tcPr>
            <w:tcW w:w="984" w:type="pct"/>
            <w:vAlign w:val="center"/>
          </w:tcPr>
          <w:p w14:paraId="1343CBC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决策响应时间</w:t>
            </w:r>
          </w:p>
        </w:tc>
        <w:tc>
          <w:tcPr>
            <w:tcW w:w="1830" w:type="pct"/>
            <w:vAlign w:val="center"/>
          </w:tcPr>
          <w:p w14:paraId="1E19E8D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从数据输入到决策输出的平均时长</w:t>
            </w:r>
          </w:p>
        </w:tc>
        <w:tc>
          <w:tcPr>
            <w:tcW w:w="1127" w:type="pct"/>
            <w:vAlign w:val="center"/>
          </w:tcPr>
          <w:p w14:paraId="309EF89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系统日志</w:t>
            </w:r>
          </w:p>
        </w:tc>
        <w:tc>
          <w:tcPr>
            <w:tcW w:w="364" w:type="pct"/>
            <w:vAlign w:val="center"/>
          </w:tcPr>
          <w:p w14:paraId="78077CB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584" w:type="pct"/>
            <w:vAlign w:val="center"/>
          </w:tcPr>
          <w:p w14:paraId="74CFDA6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实时性验证</w:t>
            </w:r>
          </w:p>
        </w:tc>
      </w:tr>
    </w:tbl>
    <w:p w14:paraId="2BB28BF7">
      <w:pPr>
        <w:widowControl/>
        <w:spacing w:after="0" w:line="240" w:lineRule="auto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32" o:spt="1" style="height:0.05pt;width:415.3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4B891DD7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执行效果与闭环指标（落地效率监控）</w:t>
      </w:r>
    </w:p>
    <w:p w14:paraId="36D648DD">
      <w:pPr>
        <w:pStyle w:val="11"/>
        <w:widowControl/>
        <w:rPr>
          <w:rFonts w:hint="eastAsia" w:eastAsia="宋体"/>
          <w:color w:val="000000"/>
          <w:lang w:eastAsia="zh-CN"/>
        </w:rPr>
      </w:pPr>
    </w:p>
    <w:tbl>
      <w:tblPr>
        <w:tblStyle w:val="14"/>
        <w:tblW w:w="5000" w:type="pct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21"/>
        <w:gridCol w:w="3268"/>
        <w:gridCol w:w="1831"/>
        <w:gridCol w:w="668"/>
        <w:gridCol w:w="1078"/>
      </w:tblGrid>
      <w:tr w14:paraId="4BCFFF02">
        <w:trPr>
          <w:tblHeader/>
          <w:tblCellSpacing w:w="15" w:type="dxa"/>
        </w:trPr>
        <w:tc>
          <w:tcPr>
            <w:tcW w:w="882" w:type="pct"/>
            <w:vAlign w:val="center"/>
          </w:tcPr>
          <w:p w14:paraId="6A5A523A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指标名称</w:t>
            </w:r>
          </w:p>
        </w:tc>
        <w:tc>
          <w:tcPr>
            <w:tcW w:w="1934" w:type="pct"/>
            <w:vAlign w:val="center"/>
          </w:tcPr>
          <w:p w14:paraId="1B008A98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计算公式</w:t>
            </w:r>
          </w:p>
        </w:tc>
        <w:tc>
          <w:tcPr>
            <w:tcW w:w="1076" w:type="pct"/>
            <w:vAlign w:val="center"/>
          </w:tcPr>
          <w:p w14:paraId="3F871378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数据来源</w:t>
            </w:r>
          </w:p>
        </w:tc>
        <w:tc>
          <w:tcPr>
            <w:tcW w:w="381" w:type="pct"/>
            <w:vAlign w:val="center"/>
          </w:tcPr>
          <w:p w14:paraId="39AB8396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计算频率</w:t>
            </w:r>
          </w:p>
        </w:tc>
        <w:tc>
          <w:tcPr>
            <w:tcW w:w="617" w:type="pct"/>
            <w:vAlign w:val="center"/>
          </w:tcPr>
          <w:p w14:paraId="0596C6F8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指标用途</w:t>
            </w:r>
          </w:p>
        </w:tc>
      </w:tr>
      <w:tr w14:paraId="51981075">
        <w:trPr>
          <w:tblCellSpacing w:w="15" w:type="dxa"/>
        </w:trPr>
        <w:tc>
          <w:tcPr>
            <w:tcW w:w="882" w:type="pct"/>
            <w:vAlign w:val="center"/>
          </w:tcPr>
          <w:p w14:paraId="35C8263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每日储备计划执行率</w:t>
            </w:r>
          </w:p>
        </w:tc>
        <w:tc>
          <w:tcPr>
            <w:tcW w:w="1934" w:type="pct"/>
            <w:vAlign w:val="center"/>
          </w:tcPr>
          <w:p w14:paraId="08B2D19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实际储备量 / 计划储备量 ×100%</w:t>
            </w:r>
          </w:p>
        </w:tc>
        <w:tc>
          <w:tcPr>
            <w:tcW w:w="1076" w:type="pct"/>
            <w:vAlign w:val="center"/>
          </w:tcPr>
          <w:p w14:paraId="4B7B937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调度方案、库存明细表</w:t>
            </w:r>
          </w:p>
        </w:tc>
        <w:tc>
          <w:tcPr>
            <w:tcW w:w="381" w:type="pct"/>
            <w:vAlign w:val="center"/>
          </w:tcPr>
          <w:p w14:paraId="49A7A00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617" w:type="pct"/>
            <w:vAlign w:val="center"/>
          </w:tcPr>
          <w:p w14:paraId="3AE24F7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核心执行指标</w:t>
            </w:r>
          </w:p>
        </w:tc>
      </w:tr>
      <w:tr w14:paraId="1CB3E11C">
        <w:trPr>
          <w:tblCellSpacing w:w="15" w:type="dxa"/>
        </w:trPr>
        <w:tc>
          <w:tcPr>
            <w:tcW w:w="882" w:type="pct"/>
            <w:vAlign w:val="center"/>
          </w:tcPr>
          <w:p w14:paraId="737A667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部位储备完成率</w:t>
            </w:r>
          </w:p>
        </w:tc>
        <w:tc>
          <w:tcPr>
            <w:tcW w:w="1934" w:type="pct"/>
            <w:vAlign w:val="center"/>
          </w:tcPr>
          <w:p w14:paraId="75601B2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某部位实际储备量 / 该部位计划储备量 ×100%</w:t>
            </w:r>
          </w:p>
        </w:tc>
        <w:tc>
          <w:tcPr>
            <w:tcW w:w="1076" w:type="pct"/>
            <w:vAlign w:val="center"/>
          </w:tcPr>
          <w:p w14:paraId="3F36B6A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调度方案、库存明细表</w:t>
            </w:r>
          </w:p>
        </w:tc>
        <w:tc>
          <w:tcPr>
            <w:tcW w:w="381" w:type="pct"/>
            <w:vAlign w:val="center"/>
          </w:tcPr>
          <w:p w14:paraId="70EED0A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617" w:type="pct"/>
            <w:vAlign w:val="center"/>
          </w:tcPr>
          <w:p w14:paraId="6A6A627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部位级执行监控</w:t>
            </w:r>
          </w:p>
        </w:tc>
      </w:tr>
      <w:tr w14:paraId="1C6DC9A3">
        <w:trPr>
          <w:tblCellSpacing w:w="15" w:type="dxa"/>
        </w:trPr>
        <w:tc>
          <w:tcPr>
            <w:tcW w:w="882" w:type="pct"/>
            <w:vAlign w:val="center"/>
          </w:tcPr>
          <w:p w14:paraId="7B629BC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工单完成率</w:t>
            </w:r>
          </w:p>
        </w:tc>
        <w:tc>
          <w:tcPr>
            <w:tcW w:w="1934" w:type="pct"/>
            <w:vAlign w:val="center"/>
          </w:tcPr>
          <w:p w14:paraId="0897E00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按时完成的工单数 / 总工单数 ×100%</w:t>
            </w:r>
          </w:p>
        </w:tc>
        <w:tc>
          <w:tcPr>
            <w:tcW w:w="1076" w:type="pct"/>
            <w:vAlign w:val="center"/>
          </w:tcPr>
          <w:p w14:paraId="76232A9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自动派单系统、执行反馈表</w:t>
            </w:r>
          </w:p>
        </w:tc>
        <w:tc>
          <w:tcPr>
            <w:tcW w:w="381" w:type="pct"/>
            <w:vAlign w:val="center"/>
          </w:tcPr>
          <w:p w14:paraId="261B0EA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617" w:type="pct"/>
            <w:vAlign w:val="center"/>
          </w:tcPr>
          <w:p w14:paraId="2DBF2D1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执行效率监控</w:t>
            </w:r>
          </w:p>
        </w:tc>
      </w:tr>
      <w:tr w14:paraId="713C7FDA">
        <w:trPr>
          <w:tblCellSpacing w:w="15" w:type="dxa"/>
        </w:trPr>
        <w:tc>
          <w:tcPr>
            <w:tcW w:w="882" w:type="pct"/>
            <w:vAlign w:val="center"/>
          </w:tcPr>
          <w:p w14:paraId="67E95E6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自动派单率</w:t>
            </w:r>
          </w:p>
        </w:tc>
        <w:tc>
          <w:tcPr>
            <w:tcW w:w="1934" w:type="pct"/>
            <w:vAlign w:val="center"/>
          </w:tcPr>
          <w:p w14:paraId="026BC91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自动生成的工单数 / 总工单数 ×100%</w:t>
            </w:r>
          </w:p>
        </w:tc>
        <w:tc>
          <w:tcPr>
            <w:tcW w:w="1076" w:type="pct"/>
            <w:vAlign w:val="center"/>
          </w:tcPr>
          <w:p w14:paraId="67DEF4C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自动派单系统</w:t>
            </w:r>
          </w:p>
        </w:tc>
        <w:tc>
          <w:tcPr>
            <w:tcW w:w="381" w:type="pct"/>
            <w:vAlign w:val="center"/>
          </w:tcPr>
          <w:p w14:paraId="5B2A9EC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617" w:type="pct"/>
            <w:vAlign w:val="center"/>
          </w:tcPr>
          <w:p w14:paraId="1517387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自动化程度评估</w:t>
            </w:r>
          </w:p>
        </w:tc>
      </w:tr>
      <w:tr w14:paraId="1A1810E7">
        <w:trPr>
          <w:tblCellSpacing w:w="15" w:type="dxa"/>
        </w:trPr>
        <w:tc>
          <w:tcPr>
            <w:tcW w:w="882" w:type="pct"/>
            <w:vAlign w:val="center"/>
          </w:tcPr>
          <w:p w14:paraId="10D9F83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FEFO 出库执行率</w:t>
            </w:r>
          </w:p>
        </w:tc>
        <w:tc>
          <w:tcPr>
            <w:tcW w:w="1934" w:type="pct"/>
            <w:vAlign w:val="center"/>
          </w:tcPr>
          <w:p w14:paraId="6827946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按先到期先出原则出库的数量 / 总出库量 ×100%</w:t>
            </w:r>
          </w:p>
        </w:tc>
        <w:tc>
          <w:tcPr>
            <w:tcW w:w="1076" w:type="pct"/>
            <w:vAlign w:val="center"/>
          </w:tcPr>
          <w:p w14:paraId="11818CF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出入库记录表、库存明细表</w:t>
            </w:r>
          </w:p>
        </w:tc>
        <w:tc>
          <w:tcPr>
            <w:tcW w:w="381" w:type="pct"/>
            <w:vAlign w:val="center"/>
          </w:tcPr>
          <w:p w14:paraId="4803BF0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617" w:type="pct"/>
            <w:vAlign w:val="center"/>
          </w:tcPr>
          <w:p w14:paraId="048526B4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库存管理规范</w:t>
            </w:r>
          </w:p>
        </w:tc>
      </w:tr>
      <w:tr w14:paraId="5A9FD462">
        <w:trPr>
          <w:tblCellSpacing w:w="15" w:type="dxa"/>
        </w:trPr>
        <w:tc>
          <w:tcPr>
            <w:tcW w:w="882" w:type="pct"/>
            <w:vAlign w:val="center"/>
          </w:tcPr>
          <w:p w14:paraId="4627A7A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异常处理响应时间</w:t>
            </w:r>
          </w:p>
        </w:tc>
        <w:tc>
          <w:tcPr>
            <w:tcW w:w="1934" w:type="pct"/>
            <w:vAlign w:val="center"/>
          </w:tcPr>
          <w:p w14:paraId="3FA9273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从异常预警到处理完成的平均时长</w:t>
            </w:r>
          </w:p>
        </w:tc>
        <w:tc>
          <w:tcPr>
            <w:tcW w:w="1076" w:type="pct"/>
            <w:vAlign w:val="center"/>
          </w:tcPr>
          <w:p w14:paraId="067B953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预警系统、处理日志</w:t>
            </w:r>
          </w:p>
        </w:tc>
        <w:tc>
          <w:tcPr>
            <w:tcW w:w="381" w:type="pct"/>
            <w:vAlign w:val="center"/>
          </w:tcPr>
          <w:p w14:paraId="1CC56184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617" w:type="pct"/>
            <w:vAlign w:val="center"/>
          </w:tcPr>
          <w:p w14:paraId="51EEE99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问题解决效率</w:t>
            </w:r>
          </w:p>
        </w:tc>
      </w:tr>
    </w:tbl>
    <w:p w14:paraId="3726AC12">
      <w:pPr>
        <w:widowControl/>
        <w:spacing w:after="0" w:line="240" w:lineRule="auto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pict>
          <v:rect id="_x0000_i1033" o:spt="1" style="height:0.05pt;width:415.3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662A19A4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风险控制指标（系统性风险防范）</w:t>
      </w:r>
    </w:p>
    <w:p w14:paraId="7E4E5BA8">
      <w:pPr>
        <w:pStyle w:val="3"/>
        <w:widowControl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市场风险指标</w:t>
      </w:r>
    </w:p>
    <w:p w14:paraId="2C577873">
      <w:pPr>
        <w:pStyle w:val="11"/>
        <w:widowControl/>
        <w:rPr>
          <w:rFonts w:hint="eastAsia" w:eastAsia="宋体"/>
          <w:color w:val="000000"/>
          <w:lang w:eastAsia="zh-CN"/>
        </w:rPr>
      </w:pPr>
    </w:p>
    <w:tbl>
      <w:tblPr>
        <w:tblStyle w:val="14"/>
        <w:tblW w:w="5000" w:type="pct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2466"/>
        <w:gridCol w:w="1162"/>
        <w:gridCol w:w="1133"/>
        <w:gridCol w:w="1244"/>
        <w:gridCol w:w="351"/>
        <w:gridCol w:w="693"/>
      </w:tblGrid>
      <w:tr w14:paraId="48E5D858">
        <w:trPr>
          <w:tblHeader/>
          <w:tblCellSpacing w:w="15" w:type="dxa"/>
        </w:trPr>
        <w:tc>
          <w:tcPr>
            <w:tcW w:w="760" w:type="pct"/>
            <w:vAlign w:val="center"/>
          </w:tcPr>
          <w:p w14:paraId="3917B7F7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指标名称</w:t>
            </w:r>
          </w:p>
        </w:tc>
        <w:tc>
          <w:tcPr>
            <w:tcW w:w="1455" w:type="pct"/>
            <w:vAlign w:val="center"/>
          </w:tcPr>
          <w:p w14:paraId="01E718ED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计算公式</w:t>
            </w:r>
          </w:p>
        </w:tc>
        <w:tc>
          <w:tcPr>
            <w:tcW w:w="676" w:type="pct"/>
            <w:vAlign w:val="center"/>
          </w:tcPr>
          <w:p w14:paraId="17C8EFF0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数据来源</w:t>
            </w:r>
          </w:p>
        </w:tc>
        <w:tc>
          <w:tcPr>
            <w:tcW w:w="659" w:type="pct"/>
            <w:vAlign w:val="center"/>
          </w:tcPr>
          <w:p w14:paraId="01660B74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计算频率</w:t>
            </w:r>
          </w:p>
        </w:tc>
        <w:tc>
          <w:tcPr>
            <w:tcW w:w="725" w:type="pct"/>
            <w:vAlign w:val="center"/>
          </w:tcPr>
          <w:p w14:paraId="5A47EAAC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指标用途</w:t>
            </w:r>
          </w:p>
        </w:tc>
        <w:tc>
          <w:tcPr>
            <w:tcW w:w="192" w:type="pct"/>
            <w:vAlign w:val="center"/>
          </w:tcPr>
          <w:p w14:paraId="4011A3C0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87" w:type="pct"/>
            <w:vAlign w:val="center"/>
          </w:tcPr>
          <w:p w14:paraId="7ACB8D19">
            <w:pPr>
              <w:widowControl/>
              <w:spacing w:after="0" w:line="360" w:lineRule="atLeast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14:paraId="7173D42F">
        <w:trPr>
          <w:tblCellSpacing w:w="15" w:type="dxa"/>
        </w:trPr>
        <w:tc>
          <w:tcPr>
            <w:tcW w:w="760" w:type="pct"/>
            <w:vAlign w:val="center"/>
          </w:tcPr>
          <w:p w14:paraId="46B198D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部位价格波动率</w:t>
            </w:r>
          </w:p>
        </w:tc>
        <w:tc>
          <w:tcPr>
            <w:tcW w:w="1455" w:type="pct"/>
            <w:vAlign w:val="center"/>
          </w:tcPr>
          <w:p w14:paraId="586998A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过去 30 天部位价格标准差 / 平均价格 ×100%</w:t>
            </w:r>
          </w:p>
        </w:tc>
        <w:tc>
          <w:tcPr>
            <w:tcW w:w="676" w:type="pct"/>
            <w:vAlign w:val="center"/>
          </w:tcPr>
          <w:p w14:paraId="59FBBA4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实时价格表</w:t>
            </w:r>
          </w:p>
        </w:tc>
        <w:tc>
          <w:tcPr>
            <w:tcW w:w="659" w:type="pct"/>
            <w:vAlign w:val="center"/>
          </w:tcPr>
          <w:p w14:paraId="7F9725C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725" w:type="pct"/>
            <w:vAlign w:val="center"/>
          </w:tcPr>
          <w:p w14:paraId="2ED8FF8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价格风险评估</w:t>
            </w:r>
          </w:p>
        </w:tc>
        <w:tc>
          <w:tcPr>
            <w:tcW w:w="192" w:type="pct"/>
            <w:vAlign w:val="center"/>
          </w:tcPr>
          <w:p w14:paraId="70B5A50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87" w:type="pct"/>
            <w:vAlign w:val="center"/>
          </w:tcPr>
          <w:p w14:paraId="43B92DF9">
            <w:pPr>
              <w:widowControl/>
              <w:spacing w:after="0" w:line="360" w:lineRule="atLeas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14:paraId="6DF66F60">
        <w:trPr>
          <w:tblCellSpacing w:w="15" w:type="dxa"/>
        </w:trPr>
        <w:tc>
          <w:tcPr>
            <w:tcW w:w="760" w:type="pct"/>
            <w:vAlign w:val="center"/>
          </w:tcPr>
          <w:p w14:paraId="6758CB86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组合最大回撤</w:t>
            </w:r>
          </w:p>
        </w:tc>
        <w:tc>
          <w:tcPr>
            <w:tcW w:w="1455" w:type="pct"/>
            <w:vAlign w:val="center"/>
          </w:tcPr>
          <w:p w14:paraId="4CFD09A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（历史最高收益 - 当前收益）/ 历史最高收益 ×100%</w:t>
            </w:r>
          </w:p>
        </w:tc>
        <w:tc>
          <w:tcPr>
            <w:tcW w:w="676" w:type="pct"/>
            <w:vAlign w:val="center"/>
          </w:tcPr>
          <w:p w14:paraId="59644244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全局收益表</w:t>
            </w:r>
          </w:p>
        </w:tc>
        <w:tc>
          <w:tcPr>
            <w:tcW w:w="659" w:type="pct"/>
            <w:vAlign w:val="center"/>
          </w:tcPr>
          <w:p w14:paraId="2F8E01D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725" w:type="pct"/>
            <w:vAlign w:val="center"/>
          </w:tcPr>
          <w:p w14:paraId="5C12989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整体风险评估</w:t>
            </w:r>
          </w:p>
        </w:tc>
        <w:tc>
          <w:tcPr>
            <w:tcW w:w="192" w:type="pct"/>
            <w:vAlign w:val="center"/>
          </w:tcPr>
          <w:p w14:paraId="0D240C7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87" w:type="pct"/>
            <w:vAlign w:val="center"/>
          </w:tcPr>
          <w:p w14:paraId="48363957">
            <w:pPr>
              <w:widowControl/>
              <w:spacing w:after="0" w:line="360" w:lineRule="atLeas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14:paraId="62715FA4">
        <w:trPr>
          <w:tblCellSpacing w:w="15" w:type="dxa"/>
        </w:trPr>
        <w:tc>
          <w:tcPr>
            <w:tcW w:w="760" w:type="pct"/>
            <w:vAlign w:val="center"/>
          </w:tcPr>
          <w:p w14:paraId="0EA9E99E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风险价值（VaR）</w:t>
            </w:r>
          </w:p>
        </w:tc>
        <w:tc>
          <w:tcPr>
            <w:tcW w:w="1455" w:type="pct"/>
            <w:vAlign w:val="center"/>
          </w:tcPr>
          <w:p w14:paraId="573A489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95% 置信水平下的最大可能损失</w:t>
            </w:r>
          </w:p>
        </w:tc>
        <w:tc>
          <w:tcPr>
            <w:tcW w:w="676" w:type="pct"/>
            <w:vAlign w:val="center"/>
          </w:tcPr>
          <w:p w14:paraId="0AAFE9E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收益分布表、波动率表</w:t>
            </w:r>
          </w:p>
        </w:tc>
        <w:tc>
          <w:tcPr>
            <w:tcW w:w="659" w:type="pct"/>
            <w:vAlign w:val="center"/>
          </w:tcPr>
          <w:p w14:paraId="784754E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周</w:t>
            </w:r>
          </w:p>
        </w:tc>
        <w:tc>
          <w:tcPr>
            <w:tcW w:w="725" w:type="pct"/>
            <w:vAlign w:val="center"/>
          </w:tcPr>
          <w:p w14:paraId="2957CC1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极端风险预警</w:t>
            </w:r>
          </w:p>
        </w:tc>
        <w:tc>
          <w:tcPr>
            <w:tcW w:w="192" w:type="pct"/>
            <w:vAlign w:val="center"/>
          </w:tcPr>
          <w:p w14:paraId="1F265B4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87" w:type="pct"/>
            <w:vAlign w:val="center"/>
          </w:tcPr>
          <w:p w14:paraId="205905BF">
            <w:pPr>
              <w:widowControl/>
              <w:spacing w:after="0" w:line="360" w:lineRule="atLeas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14:paraId="2471315D">
        <w:trPr>
          <w:tblCellSpacing w:w="15" w:type="dxa"/>
        </w:trPr>
        <w:tc>
          <w:tcPr>
            <w:tcW w:w="760" w:type="pct"/>
            <w:vAlign w:val="center"/>
          </w:tcPr>
          <w:p w14:paraId="1CE306C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期现基差风险</w:t>
            </w:r>
          </w:p>
        </w:tc>
        <w:tc>
          <w:tcPr>
            <w:tcW w:w="1455" w:type="pct"/>
            <w:vAlign w:val="center"/>
          </w:tcPr>
          <w:p w14:paraId="5434990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676" w:type="pct"/>
            <w:vAlign w:val="center"/>
          </w:tcPr>
          <w:p w14:paraId="19E2B7F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期货价 - 现货价</w:t>
            </w:r>
          </w:p>
        </w:tc>
        <w:tc>
          <w:tcPr>
            <w:tcW w:w="659" w:type="pct"/>
            <w:vAlign w:val="center"/>
          </w:tcPr>
          <w:p w14:paraId="22D9D0D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/ 现货价 ×100%</w:t>
            </w:r>
          </w:p>
        </w:tc>
        <w:tc>
          <w:tcPr>
            <w:tcW w:w="725" w:type="pct"/>
            <w:vAlign w:val="center"/>
          </w:tcPr>
          <w:p w14:paraId="74A3C596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期货数据表、实时价格表</w:t>
            </w:r>
          </w:p>
        </w:tc>
        <w:tc>
          <w:tcPr>
            <w:tcW w:w="192" w:type="pct"/>
            <w:vAlign w:val="center"/>
          </w:tcPr>
          <w:p w14:paraId="3971169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分钟</w:t>
            </w:r>
          </w:p>
        </w:tc>
        <w:tc>
          <w:tcPr>
            <w:tcW w:w="387" w:type="pct"/>
            <w:vAlign w:val="center"/>
          </w:tcPr>
          <w:p w14:paraId="11B6365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时间套利风险</w:t>
            </w:r>
          </w:p>
        </w:tc>
      </w:tr>
    </w:tbl>
    <w:p w14:paraId="5EEDCA90">
      <w:pPr>
        <w:pStyle w:val="3"/>
        <w:widowControl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运营风险指标</w:t>
      </w:r>
    </w:p>
    <w:p w14:paraId="06E5E5AF">
      <w:pPr>
        <w:pStyle w:val="11"/>
        <w:widowControl/>
        <w:rPr>
          <w:rFonts w:hint="eastAsia" w:eastAsia="宋体"/>
          <w:color w:val="000000"/>
          <w:lang w:eastAsia="zh-CN"/>
        </w:rPr>
      </w:pPr>
    </w:p>
    <w:tbl>
      <w:tblPr>
        <w:tblStyle w:val="14"/>
        <w:tblW w:w="5000" w:type="pct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28"/>
        <w:gridCol w:w="3397"/>
        <w:gridCol w:w="1926"/>
        <w:gridCol w:w="743"/>
        <w:gridCol w:w="1072"/>
      </w:tblGrid>
      <w:tr w14:paraId="0DD1FC93">
        <w:trPr>
          <w:tblHeader/>
          <w:tblCellSpacing w:w="15" w:type="dxa"/>
        </w:trPr>
        <w:tc>
          <w:tcPr>
            <w:tcW w:w="707" w:type="pct"/>
            <w:vAlign w:val="center"/>
          </w:tcPr>
          <w:p w14:paraId="7D9C79F6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指标名称</w:t>
            </w:r>
          </w:p>
        </w:tc>
        <w:tc>
          <w:tcPr>
            <w:tcW w:w="2012" w:type="pct"/>
            <w:vAlign w:val="center"/>
          </w:tcPr>
          <w:p w14:paraId="0C01E018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计算公式</w:t>
            </w:r>
          </w:p>
        </w:tc>
        <w:tc>
          <w:tcPr>
            <w:tcW w:w="1133" w:type="pct"/>
            <w:vAlign w:val="center"/>
          </w:tcPr>
          <w:p w14:paraId="52C79D03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数据来源</w:t>
            </w:r>
          </w:p>
        </w:tc>
        <w:tc>
          <w:tcPr>
            <w:tcW w:w="426" w:type="pct"/>
            <w:vAlign w:val="center"/>
          </w:tcPr>
          <w:p w14:paraId="52B92451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计算频率</w:t>
            </w:r>
          </w:p>
        </w:tc>
        <w:tc>
          <w:tcPr>
            <w:tcW w:w="613" w:type="pct"/>
            <w:vAlign w:val="center"/>
          </w:tcPr>
          <w:p w14:paraId="406C2369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指标用途</w:t>
            </w:r>
          </w:p>
        </w:tc>
      </w:tr>
      <w:tr w14:paraId="5A310B5A">
        <w:trPr>
          <w:tblCellSpacing w:w="15" w:type="dxa"/>
        </w:trPr>
        <w:tc>
          <w:tcPr>
            <w:tcW w:w="707" w:type="pct"/>
            <w:vAlign w:val="center"/>
          </w:tcPr>
          <w:p w14:paraId="1A9A5F5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库存积压风险率</w:t>
            </w:r>
          </w:p>
        </w:tc>
        <w:tc>
          <w:tcPr>
            <w:tcW w:w="2012" w:type="pct"/>
            <w:vAlign w:val="center"/>
          </w:tcPr>
          <w:p w14:paraId="40AE160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库龄≥90 天的库存量 / 总库存量 ×100%</w:t>
            </w:r>
          </w:p>
        </w:tc>
        <w:tc>
          <w:tcPr>
            <w:tcW w:w="1133" w:type="pct"/>
            <w:vAlign w:val="center"/>
          </w:tcPr>
          <w:p w14:paraId="04237C3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库存明细表</w:t>
            </w:r>
          </w:p>
        </w:tc>
        <w:tc>
          <w:tcPr>
            <w:tcW w:w="426" w:type="pct"/>
            <w:vAlign w:val="center"/>
          </w:tcPr>
          <w:p w14:paraId="4B5B3AE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613" w:type="pct"/>
            <w:vAlign w:val="center"/>
          </w:tcPr>
          <w:p w14:paraId="1A3E27B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库存风险预警</w:t>
            </w:r>
          </w:p>
        </w:tc>
      </w:tr>
      <w:tr w14:paraId="5C53527B">
        <w:trPr>
          <w:tblCellSpacing w:w="15" w:type="dxa"/>
        </w:trPr>
        <w:tc>
          <w:tcPr>
            <w:tcW w:w="707" w:type="pct"/>
            <w:vAlign w:val="center"/>
          </w:tcPr>
          <w:p w14:paraId="4779146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资金占用率</w:t>
            </w:r>
          </w:p>
        </w:tc>
        <w:tc>
          <w:tcPr>
            <w:tcW w:w="2012" w:type="pct"/>
            <w:vAlign w:val="center"/>
          </w:tcPr>
          <w:p w14:paraId="51069ED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库存总资金占用 / 总授信额度 ×100%</w:t>
            </w:r>
          </w:p>
        </w:tc>
        <w:tc>
          <w:tcPr>
            <w:tcW w:w="1133" w:type="pct"/>
            <w:vAlign w:val="center"/>
          </w:tcPr>
          <w:p w14:paraId="2508FDB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库存成本表、资金利率表</w:t>
            </w:r>
          </w:p>
        </w:tc>
        <w:tc>
          <w:tcPr>
            <w:tcW w:w="426" w:type="pct"/>
            <w:vAlign w:val="center"/>
          </w:tcPr>
          <w:p w14:paraId="30F7199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613" w:type="pct"/>
            <w:vAlign w:val="center"/>
          </w:tcPr>
          <w:p w14:paraId="1049BC5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资金风险预警</w:t>
            </w:r>
          </w:p>
        </w:tc>
      </w:tr>
      <w:tr w14:paraId="0A397F9C">
        <w:trPr>
          <w:tblCellSpacing w:w="15" w:type="dxa"/>
        </w:trPr>
        <w:tc>
          <w:tcPr>
            <w:tcW w:w="707" w:type="pct"/>
            <w:vAlign w:val="center"/>
          </w:tcPr>
          <w:p w14:paraId="660EFE9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产能缺口风险率</w:t>
            </w:r>
          </w:p>
        </w:tc>
        <w:tc>
          <w:tcPr>
            <w:tcW w:w="2012" w:type="pct"/>
            <w:vAlign w:val="center"/>
          </w:tcPr>
          <w:p w14:paraId="34E7723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（目标产能 - 实际产能）/ 目标产能 ×100%</w:t>
            </w:r>
          </w:p>
        </w:tc>
        <w:tc>
          <w:tcPr>
            <w:tcW w:w="1133" w:type="pct"/>
            <w:vAlign w:val="center"/>
          </w:tcPr>
          <w:p w14:paraId="63833B3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产能表、生产表</w:t>
            </w:r>
          </w:p>
        </w:tc>
        <w:tc>
          <w:tcPr>
            <w:tcW w:w="426" w:type="pct"/>
            <w:vAlign w:val="center"/>
          </w:tcPr>
          <w:p w14:paraId="5FEFCD6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613" w:type="pct"/>
            <w:vAlign w:val="center"/>
          </w:tcPr>
          <w:p w14:paraId="54BF1B9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产能风险预警</w:t>
            </w:r>
          </w:p>
        </w:tc>
      </w:tr>
      <w:tr w14:paraId="2E55C2F7">
        <w:trPr>
          <w:tblCellSpacing w:w="15" w:type="dxa"/>
        </w:trPr>
        <w:tc>
          <w:tcPr>
            <w:tcW w:w="707" w:type="pct"/>
            <w:vAlign w:val="center"/>
          </w:tcPr>
          <w:p w14:paraId="70B3CF8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违规销售次数</w:t>
            </w:r>
          </w:p>
        </w:tc>
        <w:tc>
          <w:tcPr>
            <w:tcW w:w="2012" w:type="pct"/>
            <w:vAlign w:val="center"/>
          </w:tcPr>
          <w:p w14:paraId="36C5BC7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无有效合同销售储备部位的次数</w:t>
            </w:r>
          </w:p>
        </w:tc>
        <w:tc>
          <w:tcPr>
            <w:tcW w:w="1133" w:type="pct"/>
            <w:vAlign w:val="center"/>
          </w:tcPr>
          <w:p w14:paraId="0745152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销售订单表、合同表</w:t>
            </w:r>
          </w:p>
        </w:tc>
        <w:tc>
          <w:tcPr>
            <w:tcW w:w="426" w:type="pct"/>
            <w:vAlign w:val="center"/>
          </w:tcPr>
          <w:p w14:paraId="0657E96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613" w:type="pct"/>
            <w:vAlign w:val="center"/>
          </w:tcPr>
          <w:p w14:paraId="02A2C45E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合规风险监控</w:t>
            </w:r>
          </w:p>
        </w:tc>
      </w:tr>
    </w:tbl>
    <w:p w14:paraId="43071C44">
      <w:pPr>
        <w:widowControl/>
        <w:spacing w:after="0" w:line="240" w:lineRule="auto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34" o:spt="1" style="height:0.05pt;width:415.3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9E944B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全局效益与 ROI 指标（最终价值评估）</w:t>
      </w:r>
    </w:p>
    <w:p w14:paraId="6B89437A">
      <w:pPr>
        <w:pStyle w:val="11"/>
        <w:widowControl/>
        <w:rPr>
          <w:rFonts w:hint="eastAsia" w:eastAsia="宋体"/>
          <w:color w:val="000000"/>
          <w:lang w:eastAsia="zh-CN"/>
        </w:rPr>
      </w:pPr>
    </w:p>
    <w:tbl>
      <w:tblPr>
        <w:tblStyle w:val="14"/>
        <w:tblW w:w="5000" w:type="pct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6"/>
        <w:gridCol w:w="3755"/>
        <w:gridCol w:w="1445"/>
        <w:gridCol w:w="581"/>
        <w:gridCol w:w="909"/>
      </w:tblGrid>
      <w:tr w14:paraId="7059B413">
        <w:trPr>
          <w:tblHeader/>
          <w:tblCellSpacing w:w="15" w:type="dxa"/>
        </w:trPr>
        <w:tc>
          <w:tcPr>
            <w:tcW w:w="975" w:type="pct"/>
            <w:vAlign w:val="center"/>
          </w:tcPr>
          <w:p w14:paraId="48858A37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指标名称</w:t>
            </w:r>
          </w:p>
        </w:tc>
        <w:tc>
          <w:tcPr>
            <w:tcW w:w="2225" w:type="pct"/>
            <w:vAlign w:val="center"/>
          </w:tcPr>
          <w:p w14:paraId="4A44B40A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计算公式</w:t>
            </w:r>
          </w:p>
        </w:tc>
        <w:tc>
          <w:tcPr>
            <w:tcW w:w="845" w:type="pct"/>
            <w:vAlign w:val="center"/>
          </w:tcPr>
          <w:p w14:paraId="4BB13978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数据来源</w:t>
            </w:r>
          </w:p>
        </w:tc>
        <w:tc>
          <w:tcPr>
            <w:tcW w:w="329" w:type="pct"/>
            <w:vAlign w:val="center"/>
          </w:tcPr>
          <w:p w14:paraId="247F8D20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计算频率</w:t>
            </w:r>
          </w:p>
        </w:tc>
        <w:tc>
          <w:tcPr>
            <w:tcW w:w="516" w:type="pct"/>
            <w:vAlign w:val="center"/>
          </w:tcPr>
          <w:p w14:paraId="5D87B0DD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指标用途</w:t>
            </w:r>
          </w:p>
        </w:tc>
      </w:tr>
      <w:tr w14:paraId="53158503">
        <w:trPr>
          <w:tblCellSpacing w:w="15" w:type="dxa"/>
        </w:trPr>
        <w:tc>
          <w:tcPr>
            <w:tcW w:w="975" w:type="pct"/>
            <w:vAlign w:val="center"/>
          </w:tcPr>
          <w:p w14:paraId="444C504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每日总减亏额</w:t>
            </w:r>
          </w:p>
        </w:tc>
        <w:tc>
          <w:tcPr>
            <w:tcW w:w="2225" w:type="pct"/>
            <w:vAlign w:val="center"/>
          </w:tcPr>
          <w:p w14:paraId="3AB28A5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（直接卖毛猪亏损额 - 执行套利方案后亏损额）</w:t>
            </w:r>
          </w:p>
        </w:tc>
        <w:tc>
          <w:tcPr>
            <w:tcW w:w="845" w:type="pct"/>
            <w:vAlign w:val="center"/>
          </w:tcPr>
          <w:p w14:paraId="1E3AC9D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毛猪亏损表、套利收益表</w:t>
            </w:r>
          </w:p>
        </w:tc>
        <w:tc>
          <w:tcPr>
            <w:tcW w:w="329" w:type="pct"/>
            <w:vAlign w:val="center"/>
          </w:tcPr>
          <w:p w14:paraId="4A48B45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516" w:type="pct"/>
            <w:vAlign w:val="center"/>
          </w:tcPr>
          <w:p w14:paraId="577FB3A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核心价值指标</w:t>
            </w:r>
          </w:p>
        </w:tc>
      </w:tr>
      <w:tr w14:paraId="383C89F3">
        <w:trPr>
          <w:tblCellSpacing w:w="15" w:type="dxa"/>
        </w:trPr>
        <w:tc>
          <w:tcPr>
            <w:tcW w:w="975" w:type="pct"/>
            <w:vAlign w:val="center"/>
          </w:tcPr>
          <w:p w14:paraId="11756AD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全局总套利收益</w:t>
            </w:r>
          </w:p>
        </w:tc>
        <w:tc>
          <w:tcPr>
            <w:tcW w:w="2225" w:type="pct"/>
            <w:vAlign w:val="center"/>
          </w:tcPr>
          <w:p w14:paraId="4985FC4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时间套利总收益 + 空间套利总收益 + 实体套利总收益 + 金融套利收益</w:t>
            </w:r>
          </w:p>
        </w:tc>
        <w:tc>
          <w:tcPr>
            <w:tcW w:w="845" w:type="pct"/>
            <w:vAlign w:val="center"/>
          </w:tcPr>
          <w:p w14:paraId="3FD61E3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各套利收益指标</w:t>
            </w:r>
          </w:p>
        </w:tc>
        <w:tc>
          <w:tcPr>
            <w:tcW w:w="329" w:type="pct"/>
            <w:vAlign w:val="center"/>
          </w:tcPr>
          <w:p w14:paraId="775D7F2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日</w:t>
            </w:r>
          </w:p>
        </w:tc>
        <w:tc>
          <w:tcPr>
            <w:tcW w:w="516" w:type="pct"/>
            <w:vAlign w:val="center"/>
          </w:tcPr>
          <w:p w14:paraId="3AC7C49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系统总收益</w:t>
            </w:r>
          </w:p>
        </w:tc>
      </w:tr>
      <w:tr w14:paraId="7B776F4D">
        <w:trPr>
          <w:tblCellSpacing w:w="15" w:type="dxa"/>
        </w:trPr>
        <w:tc>
          <w:tcPr>
            <w:tcW w:w="975" w:type="pct"/>
            <w:vAlign w:val="center"/>
          </w:tcPr>
          <w:p w14:paraId="152C2BF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各套利贡献占比</w:t>
            </w:r>
          </w:p>
        </w:tc>
        <w:tc>
          <w:tcPr>
            <w:tcW w:w="2225" w:type="pct"/>
            <w:vAlign w:val="center"/>
          </w:tcPr>
          <w:p w14:paraId="325F4C0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单套利收益 / 全局总套利收益 ×100%</w:t>
            </w:r>
          </w:p>
        </w:tc>
        <w:tc>
          <w:tcPr>
            <w:tcW w:w="845" w:type="pct"/>
            <w:vAlign w:val="center"/>
          </w:tcPr>
          <w:p w14:paraId="6F52C5F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各套利收益、全局收益</w:t>
            </w:r>
          </w:p>
        </w:tc>
        <w:tc>
          <w:tcPr>
            <w:tcW w:w="329" w:type="pct"/>
            <w:vAlign w:val="center"/>
          </w:tcPr>
          <w:p w14:paraId="1A5DE5E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月</w:t>
            </w:r>
          </w:p>
        </w:tc>
        <w:tc>
          <w:tcPr>
            <w:tcW w:w="516" w:type="pct"/>
            <w:vAlign w:val="center"/>
          </w:tcPr>
          <w:p w14:paraId="0273E144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业务结构优化</w:t>
            </w:r>
          </w:p>
        </w:tc>
      </w:tr>
      <w:tr w14:paraId="77580C4A">
        <w:trPr>
          <w:tblCellSpacing w:w="15" w:type="dxa"/>
        </w:trPr>
        <w:tc>
          <w:tcPr>
            <w:tcW w:w="975" w:type="pct"/>
            <w:vAlign w:val="center"/>
          </w:tcPr>
          <w:p w14:paraId="5CE4F79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系统投入产出比（ROI）</w:t>
            </w:r>
          </w:p>
        </w:tc>
        <w:tc>
          <w:tcPr>
            <w:tcW w:w="2225" w:type="pct"/>
            <w:vAlign w:val="center"/>
          </w:tcPr>
          <w:p w14:paraId="4FD4290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（全局总套利收益 - 系统建设运维成本）/ 系统建设运维成本 ×100%</w:t>
            </w:r>
          </w:p>
        </w:tc>
        <w:tc>
          <w:tcPr>
            <w:tcW w:w="845" w:type="pct"/>
            <w:vAlign w:val="center"/>
          </w:tcPr>
          <w:p w14:paraId="55DFD98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全局收益、成本表</w:t>
            </w:r>
          </w:p>
        </w:tc>
        <w:tc>
          <w:tcPr>
            <w:tcW w:w="329" w:type="pct"/>
            <w:vAlign w:val="center"/>
          </w:tcPr>
          <w:p w14:paraId="7385EA1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季度</w:t>
            </w:r>
          </w:p>
        </w:tc>
        <w:tc>
          <w:tcPr>
            <w:tcW w:w="516" w:type="pct"/>
            <w:vAlign w:val="center"/>
          </w:tcPr>
          <w:p w14:paraId="161F661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系统价值评估</w:t>
            </w:r>
          </w:p>
        </w:tc>
      </w:tr>
      <w:tr w14:paraId="1ECF1941">
        <w:trPr>
          <w:tblCellSpacing w:w="15" w:type="dxa"/>
        </w:trPr>
        <w:tc>
          <w:tcPr>
            <w:tcW w:w="975" w:type="pct"/>
            <w:vAlign w:val="center"/>
          </w:tcPr>
          <w:p w14:paraId="60B7324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单位头猪增效</w:t>
            </w:r>
          </w:p>
        </w:tc>
        <w:tc>
          <w:tcPr>
            <w:tcW w:w="2225" w:type="pct"/>
            <w:vAlign w:val="center"/>
          </w:tcPr>
          <w:p w14:paraId="627CE5C4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全局总套利收益 / 总出栏头数</w:t>
            </w:r>
          </w:p>
        </w:tc>
        <w:tc>
          <w:tcPr>
            <w:tcW w:w="845" w:type="pct"/>
            <w:vAlign w:val="center"/>
          </w:tcPr>
          <w:p w14:paraId="3293FFA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全局收益、出栏表</w:t>
            </w:r>
          </w:p>
        </w:tc>
        <w:tc>
          <w:tcPr>
            <w:tcW w:w="329" w:type="pct"/>
            <w:vAlign w:val="center"/>
          </w:tcPr>
          <w:p w14:paraId="2FC8DD2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月</w:t>
            </w:r>
          </w:p>
        </w:tc>
        <w:tc>
          <w:tcPr>
            <w:tcW w:w="516" w:type="pct"/>
            <w:vAlign w:val="center"/>
          </w:tcPr>
          <w:p w14:paraId="1EAF8D8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精细化管理效果</w:t>
            </w:r>
          </w:p>
        </w:tc>
      </w:tr>
      <w:tr w14:paraId="4C9CA346">
        <w:trPr>
          <w:tblCellSpacing w:w="15" w:type="dxa"/>
        </w:trPr>
        <w:tc>
          <w:tcPr>
            <w:tcW w:w="975" w:type="pct"/>
            <w:vAlign w:val="center"/>
          </w:tcPr>
          <w:p w14:paraId="71AF587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行业对标增效</w:t>
            </w:r>
          </w:p>
        </w:tc>
        <w:tc>
          <w:tcPr>
            <w:tcW w:w="2225" w:type="pct"/>
            <w:vAlign w:val="center"/>
          </w:tcPr>
          <w:p w14:paraId="392126F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本公司单位头猪收益 - 行业平均单位头猪收益</w:t>
            </w:r>
          </w:p>
        </w:tc>
        <w:tc>
          <w:tcPr>
            <w:tcW w:w="845" w:type="pct"/>
            <w:vAlign w:val="center"/>
          </w:tcPr>
          <w:p w14:paraId="619AC276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本公司收益、行业数据</w:t>
            </w:r>
          </w:p>
        </w:tc>
        <w:tc>
          <w:tcPr>
            <w:tcW w:w="329" w:type="pct"/>
            <w:vAlign w:val="center"/>
          </w:tcPr>
          <w:p w14:paraId="0C885F5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季度</w:t>
            </w:r>
          </w:p>
        </w:tc>
        <w:tc>
          <w:tcPr>
            <w:tcW w:w="516" w:type="pct"/>
            <w:vAlign w:val="center"/>
          </w:tcPr>
          <w:p w14:paraId="7F8EA50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竞争力评估</w:t>
            </w:r>
          </w:p>
        </w:tc>
      </w:tr>
    </w:tbl>
    <w:p w14:paraId="53D70CF0">
      <w:pPr>
        <w:widowControl/>
        <w:spacing w:after="0" w:line="240" w:lineRule="auto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35" o:spt="1" style="height:0.05pt;width:415.3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1A0DAF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指标优先级说明</w:t>
      </w:r>
    </w:p>
    <w:p w14:paraId="6B6F812A">
      <w:pPr>
        <w:pStyle w:val="11"/>
        <w:widowControl/>
        <w:rPr>
          <w:color w:val="000000"/>
        </w:rPr>
      </w:pPr>
      <w:r>
        <w:rPr>
          <w:color w:val="000000"/>
        </w:rPr>
        <w:t>核心一级指标（最高优先级，实时监控）</w:t>
      </w:r>
    </w:p>
    <w:p w14:paraId="785903AC">
      <w:pPr>
        <w:pStyle w:val="11"/>
        <w:widowControl/>
        <w:numPr>
          <w:ilvl w:val="0"/>
          <w:numId w:val="10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每日总减亏额</w:t>
      </w:r>
    </w:p>
    <w:p w14:paraId="32B8DBA5">
      <w:pPr>
        <w:pStyle w:val="11"/>
        <w:widowControl/>
        <w:numPr>
          <w:ilvl w:val="0"/>
          <w:numId w:val="10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全局总套利收益</w:t>
      </w:r>
    </w:p>
    <w:p w14:paraId="1B27C732">
      <w:pPr>
        <w:pStyle w:val="11"/>
        <w:widowControl/>
        <w:numPr>
          <w:ilvl w:val="0"/>
          <w:numId w:val="10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每日储备计划执行率</w:t>
      </w:r>
    </w:p>
    <w:p w14:paraId="1B4D50CB">
      <w:pPr>
        <w:pStyle w:val="11"/>
        <w:widowControl/>
        <w:numPr>
          <w:ilvl w:val="0"/>
          <w:numId w:val="10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深加工原料满足率</w:t>
      </w:r>
    </w:p>
    <w:p w14:paraId="2A842AA2">
      <w:pPr>
        <w:pStyle w:val="11"/>
        <w:widowControl/>
        <w:numPr>
          <w:ilvl w:val="0"/>
          <w:numId w:val="10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部位风险调整后收益</w:t>
      </w:r>
    </w:p>
    <w:p w14:paraId="432AE17A">
      <w:pPr>
        <w:pStyle w:val="11"/>
        <w:widowControl/>
        <w:numPr>
          <w:ilvl w:val="0"/>
          <w:numId w:val="10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库存积压风险率</w:t>
      </w:r>
    </w:p>
    <w:p w14:paraId="5C11A823">
      <w:pPr>
        <w:pStyle w:val="11"/>
        <w:widowControl/>
        <w:numPr>
          <w:ilvl w:val="0"/>
          <w:numId w:val="10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资金占用率</w:t>
      </w:r>
    </w:p>
    <w:p w14:paraId="4A781574">
      <w:pPr>
        <w:pStyle w:val="11"/>
        <w:widowControl/>
        <w:rPr>
          <w:color w:val="000000"/>
        </w:rPr>
      </w:pPr>
      <w:r>
        <w:rPr>
          <w:color w:val="000000"/>
        </w:rPr>
        <w:t>二级指标（每日监控，辅助决策）</w:t>
      </w:r>
    </w:p>
    <w:p w14:paraId="34A029FF">
      <w:pPr>
        <w:pStyle w:val="11"/>
        <w:widowControl/>
        <w:rPr>
          <w:color w:val="000000"/>
        </w:rPr>
      </w:pPr>
      <w:r>
        <w:rPr>
          <w:color w:val="000000"/>
        </w:rPr>
        <w:t>1.</w:t>
      </w:r>
      <w:r>
        <w:rPr>
          <w:color w:val="000000"/>
        </w:rPr>
        <w:t>23 部位综合价值排名</w:t>
      </w:r>
    </w:p>
    <w:p w14:paraId="6A64CD87">
      <w:pPr>
        <w:pStyle w:val="11"/>
        <w:widowControl/>
        <w:numPr>
          <w:ilvl w:val="0"/>
          <w:numId w:val="11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各环节瓶颈系数</w:t>
      </w:r>
    </w:p>
    <w:p w14:paraId="1FF502FF">
      <w:pPr>
        <w:pStyle w:val="11"/>
        <w:widowControl/>
        <w:numPr>
          <w:ilvl w:val="0"/>
          <w:numId w:val="11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价格预测准确率</w:t>
      </w:r>
    </w:p>
    <w:p w14:paraId="0D3C44E2">
      <w:pPr>
        <w:pStyle w:val="11"/>
        <w:widowControl/>
        <w:numPr>
          <w:ilvl w:val="0"/>
          <w:numId w:val="11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工单完成率</w:t>
      </w:r>
    </w:p>
    <w:p w14:paraId="2F178023">
      <w:pPr>
        <w:pStyle w:val="11"/>
        <w:widowControl/>
        <w:numPr>
          <w:ilvl w:val="0"/>
          <w:numId w:val="11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各套利贡献占比</w:t>
      </w:r>
    </w:p>
    <w:p w14:paraId="40BE0495">
      <w:pPr>
        <w:pStyle w:val="11"/>
        <w:widowControl/>
        <w:rPr>
          <w:color w:val="000000"/>
        </w:rPr>
      </w:pPr>
      <w:r>
        <w:rPr>
          <w:color w:val="000000"/>
        </w:rPr>
        <w:t>三级指标（周 / 月监控，优化迭代）</w:t>
      </w:r>
    </w:p>
    <w:p w14:paraId="689250DF">
      <w:pPr>
        <w:pStyle w:val="11"/>
        <w:widowControl/>
        <w:numPr>
          <w:ilvl w:val="0"/>
          <w:numId w:val="1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模型 MAE/RMSE</w:t>
      </w:r>
    </w:p>
    <w:p w14:paraId="653B347E">
      <w:pPr>
        <w:pStyle w:val="11"/>
        <w:widowControl/>
        <w:numPr>
          <w:ilvl w:val="0"/>
          <w:numId w:val="1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AI 方案 vs 人工方案收益差</w:t>
      </w:r>
    </w:p>
    <w:p w14:paraId="1CFC7D0D">
      <w:pPr>
        <w:pStyle w:val="11"/>
        <w:widowControl/>
        <w:numPr>
          <w:ilvl w:val="0"/>
          <w:numId w:val="1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物流成本占比</w:t>
      </w:r>
    </w:p>
    <w:p w14:paraId="66D434B0">
      <w:pPr>
        <w:pStyle w:val="11"/>
        <w:widowControl/>
        <w:numPr>
          <w:ilvl w:val="0"/>
          <w:numId w:val="1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系统 ROI</w:t>
      </w:r>
    </w:p>
    <w:p w14:paraId="67171EBE">
      <w:pPr>
        <w:pStyle w:val="11"/>
        <w:widowControl/>
        <w:numPr>
          <w:ilvl w:val="0"/>
          <w:numId w:val="1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行业对标增效</w:t>
      </w:r>
    </w:p>
    <w:p w14:paraId="0A99AE84">
      <w:pPr>
        <w:widowControl/>
        <w:spacing w:after="0" w:line="240" w:lineRule="auto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36" o:spt="1" style="height:0.05pt;width:415.3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4C478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计算规则说明</w:t>
      </w:r>
    </w:p>
    <w:p w14:paraId="2AEE4BAA">
      <w:pPr>
        <w:pStyle w:val="11"/>
        <w:widowControl/>
        <w:numPr>
          <w:ilvl w:val="0"/>
          <w:numId w:val="13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b/>
          <w:color w:val="000000"/>
        </w:rPr>
        <w:t>部位级优先</w:t>
      </w:r>
      <w:r>
        <w:rPr>
          <w:color w:val="000000"/>
        </w:rPr>
        <w:t>：所有指标优先计算 23 个部位的明细数据，再汇总得到整体数据</w:t>
      </w:r>
    </w:p>
    <w:p w14:paraId="27C4FD3E">
      <w:pPr>
        <w:pStyle w:val="11"/>
        <w:widowControl/>
        <w:numPr>
          <w:ilvl w:val="0"/>
          <w:numId w:val="13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b/>
          <w:color w:val="000000"/>
        </w:rPr>
        <w:t>全成本覆盖</w:t>
      </w:r>
      <w:r>
        <w:rPr>
          <w:color w:val="000000"/>
        </w:rPr>
        <w:t>：所有收益计算均扣除所有直接成本和间接成本，确保真实反映盈利</w:t>
      </w:r>
    </w:p>
    <w:p w14:paraId="65388924">
      <w:pPr>
        <w:pStyle w:val="11"/>
        <w:widowControl/>
        <w:numPr>
          <w:ilvl w:val="0"/>
          <w:numId w:val="13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b/>
          <w:color w:val="000000"/>
        </w:rPr>
        <w:t>实时动态更新</w:t>
      </w:r>
      <w:r>
        <w:rPr>
          <w:color w:val="000000"/>
        </w:rPr>
        <w:t>：价格、库存、产能类指标分钟级更新，成本、收益类指标日级更新</w:t>
      </w:r>
    </w:p>
    <w:p w14:paraId="3527E087">
      <w:pPr>
        <w:pStyle w:val="11"/>
        <w:widowControl/>
        <w:numPr>
          <w:ilvl w:val="0"/>
          <w:numId w:val="13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b/>
          <w:color w:val="000000"/>
        </w:rPr>
        <w:t>风险调整</w:t>
      </w:r>
      <w:r>
        <w:rPr>
          <w:color w:val="000000"/>
        </w:rPr>
        <w:t>：所有收益指标均考虑风险因素，优先选择风险调整后收益最高的方案</w:t>
      </w:r>
    </w:p>
    <w:p w14:paraId="50440C0B">
      <w:pPr>
        <w:pStyle w:val="11"/>
        <w:widowControl/>
        <w:numPr>
          <w:ilvl w:val="0"/>
          <w:numId w:val="13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b/>
          <w:color w:val="000000"/>
        </w:rPr>
        <w:t>闭环迭代</w:t>
      </w:r>
      <w:r>
        <w:rPr>
          <w:color w:val="000000"/>
        </w:rPr>
        <w:t>：每日复盘指标偏差，每周更新模型参数，每月优化指标体系</w:t>
      </w:r>
    </w:p>
    <w:p w14:paraId="5B6E03D6">
      <w:pPr>
        <w:pStyle w:val="11"/>
        <w:widowControl/>
        <w:rPr>
          <w:color w:val="000000"/>
        </w:rPr>
      </w:pPr>
      <w:r>
        <w:rPr>
          <w:color w:val="000000"/>
        </w:rPr>
        <w:t>本指标体系全面覆盖系统所有功能需求，可直接用于数据开发、算法实现、业务监控和效益评估，确保系统实现</w:t>
      </w:r>
      <w:r>
        <w:rPr>
          <w:b/>
          <w:color w:val="000000"/>
        </w:rPr>
        <w:t>全局风险调整后收益最大化</w:t>
      </w:r>
      <w:r>
        <w:rPr>
          <w:color w:val="000000"/>
        </w:rPr>
        <w:t>的核心目标。</w:t>
      </w:r>
    </w:p>
    <w:p w14:paraId="2100E63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200000000000000"/>
    <w:charset w:val="86"/>
    <w:family w:val="auto"/>
    <w:pitch w:val="default"/>
    <w:sig w:usb0="A00002FF" w:usb1="7ACFFCFB" w:usb2="00000016" w:usb3="00000000" w:csb0="0004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35F306"/>
    <w:multiLevelType w:val="singleLevel"/>
    <w:tmpl w:val="AF35F306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">
    <w:nsid w:val="B1D34CF0"/>
    <w:multiLevelType w:val="singleLevel"/>
    <w:tmpl w:val="B1D34CF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>
    <w:nsid w:val="CFED88B9"/>
    <w:multiLevelType w:val="singleLevel"/>
    <w:tmpl w:val="CFED88B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DD77D633"/>
    <w:multiLevelType w:val="singleLevel"/>
    <w:tmpl w:val="DD77D633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4">
    <w:nsid w:val="FABE2054"/>
    <w:multiLevelType w:val="singleLevel"/>
    <w:tmpl w:val="FABE2054"/>
    <w:lvl w:ilvl="0" w:tentative="0">
      <w:start w:val="1"/>
      <w:numFmt w:val="decimal"/>
      <w:suff w:val="space"/>
      <w:lvlText w:val="9.%1"/>
      <w:lvlJc w:val="left"/>
      <w:pPr>
        <w:ind w:left="0" w:firstLine="0"/>
      </w:pPr>
      <w:rPr>
        <w:rFonts w:hint="default"/>
      </w:rPr>
    </w:lvl>
  </w:abstractNum>
  <w:abstractNum w:abstractNumId="5">
    <w:nsid w:val="FF7E69E3"/>
    <w:multiLevelType w:val="singleLevel"/>
    <w:tmpl w:val="FF7E69E3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6">
    <w:nsid w:val="FF7F8413"/>
    <w:multiLevelType w:val="singleLevel"/>
    <w:tmpl w:val="FF7F8413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7">
    <w:nsid w:val="FFEA1604"/>
    <w:multiLevelType w:val="singleLevel"/>
    <w:tmpl w:val="FFEA1604"/>
    <w:lvl w:ilvl="0" w:tentative="0">
      <w:start w:val="2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">
    <w:nsid w:val="FFF2E015"/>
    <w:multiLevelType w:val="singleLevel"/>
    <w:tmpl w:val="FFF2E015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9">
    <w:nsid w:val="3BAA264F"/>
    <w:multiLevelType w:val="singleLevel"/>
    <w:tmpl w:val="3BAA264F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10">
    <w:nsid w:val="476FDE20"/>
    <w:multiLevelType w:val="singleLevel"/>
    <w:tmpl w:val="476FDE2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">
    <w:nsid w:val="6BF8037D"/>
    <w:multiLevelType w:val="singleLevel"/>
    <w:tmpl w:val="6BF8037D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12">
    <w:nsid w:val="7FFA52B2"/>
    <w:multiLevelType w:val="singleLevel"/>
    <w:tmpl w:val="7FFA52B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0"/>
  </w:num>
  <w:num w:numId="2">
    <w:abstractNumId w:val="12"/>
  </w:num>
  <w:num w:numId="3">
    <w:abstractNumId w:val="8"/>
  </w:num>
  <w:num w:numId="4">
    <w:abstractNumId w:val="6"/>
  </w:num>
  <w:num w:numId="5">
    <w:abstractNumId w:val="11"/>
  </w:num>
  <w:num w:numId="6">
    <w:abstractNumId w:val="3"/>
  </w:num>
  <w:num w:numId="7">
    <w:abstractNumId w:val="9"/>
  </w:num>
  <w:num w:numId="8">
    <w:abstractNumId w:val="5"/>
  </w:num>
  <w:num w:numId="9">
    <w:abstractNumId w:val="4"/>
  </w:num>
  <w:num w:numId="10">
    <w:abstractNumId w:val="2"/>
  </w:num>
  <w:num w:numId="11">
    <w:abstractNumId w:val="7"/>
  </w:num>
  <w:num w:numId="12">
    <w:abstractNumId w:val="1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FA8"/>
    <w:rsid w:val="006204B8"/>
    <w:rsid w:val="00687A66"/>
    <w:rsid w:val="006D685C"/>
    <w:rsid w:val="00844FA8"/>
    <w:rsid w:val="00C14E5F"/>
    <w:rsid w:val="A4E69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link w:val="17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link w:val="18"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link w:val="19"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semiHidden/>
    <w:unhideWhenUsed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6">
    <w:name w:val="Strong"/>
    <w:basedOn w:val="15"/>
    <w:qFormat/>
    <w:uiPriority w:val="22"/>
    <w:rPr>
      <w:b/>
      <w:bCs/>
    </w:rPr>
  </w:style>
  <w:style w:type="character" w:customStyle="1" w:styleId="17">
    <w:name w:val="标题 1 字符"/>
    <w:basedOn w:val="15"/>
    <w:link w:val="2"/>
    <w:uiPriority w:val="9"/>
    <w:rPr>
      <w:rFonts w:ascii="宋体" w:hAnsi="宋体" w:eastAsia="宋体" w:cs="宋体"/>
      <w:b/>
      <w:bCs/>
      <w:kern w:val="36"/>
      <w:sz w:val="48"/>
      <w:szCs w:val="48"/>
      <w14:ligatures w14:val="none"/>
    </w:rPr>
  </w:style>
  <w:style w:type="character" w:customStyle="1" w:styleId="18">
    <w:name w:val="标题 2 字符"/>
    <w:basedOn w:val="15"/>
    <w:link w:val="3"/>
    <w:uiPriority w:val="9"/>
    <w:rPr>
      <w:rFonts w:ascii="宋体" w:hAnsi="宋体" w:eastAsia="宋体" w:cs="宋体"/>
      <w:b/>
      <w:bCs/>
      <w:kern w:val="0"/>
      <w:sz w:val="36"/>
      <w:szCs w:val="36"/>
      <w14:ligatures w14:val="none"/>
    </w:rPr>
  </w:style>
  <w:style w:type="character" w:customStyle="1" w:styleId="19">
    <w:name w:val="标题 3 字符"/>
    <w:basedOn w:val="15"/>
    <w:link w:val="4"/>
    <w:uiPriority w:val="9"/>
    <w:rPr>
      <w:rFonts w:ascii="宋体" w:hAnsi="宋体" w:eastAsia="宋体" w:cs="宋体"/>
      <w:b/>
      <w:bCs/>
      <w:kern w:val="0"/>
      <w:sz w:val="27"/>
      <w:szCs w:val="27"/>
      <w14:ligatures w14:val="none"/>
    </w:rPr>
  </w:style>
  <w:style w:type="character" w:customStyle="1" w:styleId="20">
    <w:name w:val="apple-converted-space"/>
    <w:basedOn w:val="15"/>
    <w:uiPriority w:val="0"/>
  </w:style>
  <w:style w:type="paragraph" w:customStyle="1" w:styleId="21">
    <w:name w:val="题注1"/>
    <w:next w:val="1"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1048</Words>
  <Characters>5980</Characters>
  <Lines>49</Lines>
  <Paragraphs>14</Paragraphs>
  <TotalTime>0</TotalTime>
  <ScaleCrop>false</ScaleCrop>
  <LinksUpToDate>false</LinksUpToDate>
  <CharactersWithSpaces>7014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2026-04-17T19:18:00Z</dcterms:created>
  <dc:creator>Yu Eli</dc:creator>
  <cp:lastModifiedBy>张宇(2023213746)</cp:lastModifiedBy>
  <dcterms:modified xsi:type="dcterms:W3CDTF">2026-04-18T15:24:49Z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276D50F86A8B44D7C131E3692439738A_42</vt:lpwstr>
  </property>
</Properties>
</file>