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Research Report: Advanced Architectural Patterns for Autonomous AI Agents in Data Engineering and Machine Learning: Metadata Platforms, Knowledge Graphs, and the Model Context Protocol</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Build-Collaborate-Evolve Agent Framework</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lifecycle of Large Language Model (LLM) agents requires structured frameworks to transition from isolated, prompt-driven execution to resilient, self-improving systems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methodology-centered taxonomy of the Build-Collaborate-Evolve framework offers a comprehensive approach to managing this lifecycle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architecture decomposes agent integration into three foundational vectors: individual construction, multi-agent collaboration, and continuous evolution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Construction and Core Capabilities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construction phase establishes the microservice-like foundational layer of individual agents, defining their memory, planning capabilities, tool interfaces, and specialized profiles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Effective memory management separates short-term conversational context from long-term persistent storage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Planning capabilities dictate how complex requests decompose into linear, executable steps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Agents use strategies like sequential logical progression, hierarchical task division, and dynamic adjustment schemas to navigate unstructured environments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Modularity in tool integration allows agents to interact with external databases, local execution environments, and application interfaces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construction patterns suffer from critical failure modes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Over-engineered memory layers often inflate operational latency and compute costs without improving performance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Weak planning logic creates fragile agent execution paths, while rigid tool bindings fail when APIs change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Collaboration Paradigms in Multi-Agent Systems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task complexity exceeds the capabilities of a single agent, multi-agent orchestration patterns distribute workloads across specialized configurations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These collaboration topologies are classified into centralized, decentralized, hybrid, and sequential models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Centralized Orchestration</w:t>
      </w:r>
      <w:r w:rsidDel="00000000" w:rsidR="00000000" w:rsidRPr="00000000">
        <w:rPr>
          <w:rFonts w:ascii="Google Sans" w:cs="Google Sans" w:eastAsia="Google Sans" w:hAnsi="Google Sans"/>
          <w:color w:val="1f1f1f"/>
          <w:rtl w:val="0"/>
        </w:rPr>
        <w:t xml:space="preserve">: A single manager or planner agent coordinates task decomposition, registers specialized subagents, delegates subtasks, and aggregates outputs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this ensures high control and structured state tracking, it creates single-point-of-failure risks and communication bottlenecks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Decentralized Systems</w:t>
      </w:r>
      <w:r w:rsidDel="00000000" w:rsidR="00000000" w:rsidRPr="00000000">
        <w:rPr>
          <w:rFonts w:ascii="Google Sans" w:cs="Google Sans" w:eastAsia="Google Sans" w:hAnsi="Google Sans"/>
          <w:color w:val="1f1f1f"/>
          <w:rtl w:val="0"/>
        </w:rPr>
        <w:t xml:space="preserve">: Independent peer agents execute tasks concurrently, with final decisions emerging through aggregated results or voting mechanisms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topology offers resilience and reduces statistical bias but requires complex consensus validation to avoid decision paralysis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Hybrid Architectures</w:t>
      </w:r>
      <w:r w:rsidDel="00000000" w:rsidR="00000000" w:rsidRPr="00000000">
        <w:rPr>
          <w:rFonts w:ascii="Google Sans" w:cs="Google Sans" w:eastAsia="Google Sans" w:hAnsi="Google Sans"/>
          <w:color w:val="1f1f1f"/>
          <w:rtl w:val="0"/>
        </w:rPr>
        <w:t xml:space="preserve">: This pattern combines centralized planning with decentralized validation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 centralized node delegates execution tasks to specialized workers, which then feed results into a distinct validation or critique node to ensure compliance and quality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Sequential Prompt-Chaining</w:t>
      </w:r>
      <w:r w:rsidDel="00000000" w:rsidR="00000000" w:rsidRPr="00000000">
        <w:rPr>
          <w:rFonts w:ascii="Google Sans" w:cs="Google Sans" w:eastAsia="Google Sans" w:hAnsi="Google Sans"/>
          <w:color w:val="1f1f1f"/>
          <w:rtl w:val="0"/>
        </w:rPr>
        <w:t xml:space="preserve">: A pipeline where outputs from one agent serve as inputs for the next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is highly deterministic and efficient for linear operations, but errors can cascade across step boundaries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Systems Evolution and Long-Term Adaptation</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systems must adapt to environmental shifts and feedback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Evolutionary mechanisms ensure that agents improve through self-reflection, behavioral logging, version tagging, and feedback-driven correction loops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In self-reflection patterns, agents review their execution logs to identify errors before final execution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architects use behavioral logging and data audits to trace historical failures, while version control tags agent states to prevent behavioral drift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shift from manual prompt engineering to agent-native co-evolution allows the model, execution infrastructure, and feedback loops to optimize dynamically using historical traces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Collaboration Pattern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Orchestration Topology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Operational Advantages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Principal System Risks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Applications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Centralized Orchestration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 manager node delegating to workers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operational control, simple implementation, structured state tracking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Single point of failure, communication bottlenecks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pipeline operations, directed ETL tasks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Decentralized Voting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Peer-to-peer independent execution nodes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resilience, redundancy, reduced bias, multi-perspective alignment</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computational cost, potential decision paralysis, complex consensus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Cross-validation, anomaly consensus, statistical checks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Hybrid Architectures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Centralized planning with decentralized critique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Balanced latency, robust validation, flexible execution boundaries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Design complexity, high integration overhead</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Multi-modal signal analysis, compliance auditing</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Prompt-Chaining Pipelines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Sequential linear agent-to-agent data flow</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Low latency, highly deterministic transitions, simple debugging</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Fragile step transitions, downstream cascade of errors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Code compilation gates, linear ETL pipelines</w:t>
            </w:r>
          </w:p>
        </w:tc>
      </w:tr>
    </w:tbl>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Context Management and the Three Rs Framework</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deployment of autonomous agents requires a clear distinction between context engineering at the application layer and context management at the platform layer</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Context engineering manages the formatting and loading of prompts into a model's active window during inference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contrast, context management is an enterprise capability that unifies, curates, governs, and validates the data assets that agents access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Without systematic context management, agents suffer from the "cold-start" problem, forcing them to rediscover system structures, schemas, and definitions with each new session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Foundations of Context Management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platforms unify technical metadata, operational statistics, and business rules into a centralized context graph</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Context</w:t>
      </w:r>
      <w:r w:rsidDel="00000000" w:rsidR="00000000" w:rsidRPr="00000000">
        <w:rPr>
          <w:rFonts w:ascii="Google Sans" w:cs="Google Sans" w:eastAsia="Google Sans" w:hAnsi="Google Sans"/>
          <w:color w:val="1f1f1f"/>
          <w:rtl w:val="0"/>
        </w:rPr>
        <w:t xml:space="preserve">: Captures structural parameters, including database schemas, column datatypes, table relationships, visual transformations, and execution dependencies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Operational Context</w:t>
      </w:r>
      <w:r w:rsidDel="00000000" w:rsidR="00000000" w:rsidRPr="00000000">
        <w:rPr>
          <w:rFonts w:ascii="Google Sans" w:cs="Google Sans" w:eastAsia="Google Sans" w:hAnsi="Google Sans"/>
          <w:color w:val="1f1f1f"/>
          <w:rtl w:val="0"/>
        </w:rPr>
        <w:t xml:space="preserve">: Tracks runtime parameters, such as query history, access frequency, pipeline SLAs, execution error logs, and data freshness metrics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Context</w:t>
      </w:r>
      <w:r w:rsidDel="00000000" w:rsidR="00000000" w:rsidRPr="00000000">
        <w:rPr>
          <w:rFonts w:ascii="Google Sans" w:cs="Google Sans" w:eastAsia="Google Sans" w:hAnsi="Google Sans"/>
          <w:color w:val="1f1f1f"/>
          <w:rtl w:val="0"/>
        </w:rPr>
        <w:t xml:space="preserve">: Provides semantic metadata, such as business glossary terms, data documentation, compliance rules, security classifications, and system ownership records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Operationalizing Relevance, Reliability, and Retention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"Three Rs" framework defines the foundational criteria for contextual validation in enterprise agent deployments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Relevance</w:t>
      </w:r>
      <w:r w:rsidDel="00000000" w:rsidR="00000000" w:rsidRPr="00000000">
        <w:rPr>
          <w:rFonts w:ascii="Google Sans" w:cs="Google Sans" w:eastAsia="Google Sans" w:hAnsi="Google Sans"/>
          <w:color w:val="1f1f1f"/>
          <w:rtl w:val="0"/>
        </w:rPr>
        <w:t xml:space="preserve">: Context must be timely, filtered, and appropriate to the task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Feeding raw, unfiltered enterprise schemas into an agent creates noise, increases token costs, and degrades performance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Context platforms use semantic search and vector indexing to deliver highly focused metadata matched to the active task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Reliability</w:t>
      </w:r>
      <w:r w:rsidDel="00000000" w:rsidR="00000000" w:rsidRPr="00000000">
        <w:rPr>
          <w:rFonts w:ascii="Google Sans" w:cs="Google Sans" w:eastAsia="Google Sans" w:hAnsi="Google Sans"/>
          <w:color w:val="1f1f1f"/>
          <w:rtl w:val="0"/>
        </w:rPr>
        <w:t xml:space="preserve">: This requires verifiable provenance and lineage tracking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Agents must confirm that the context they retrieve is accurate, up-to-date, and from authorized source systems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trace capability is essential for agent-to-agent handoffs and compliance audits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Retention</w:t>
      </w:r>
      <w:r w:rsidDel="00000000" w:rsidR="00000000" w:rsidRPr="00000000">
        <w:rPr>
          <w:rFonts w:ascii="Google Sans" w:cs="Google Sans" w:eastAsia="Google Sans" w:hAnsi="Google Sans"/>
          <w:color w:val="1f1f1f"/>
          <w:rtl w:val="0"/>
        </w:rPr>
        <w:t xml:space="preserve">: This ensures that session state, conversational memory, and learned patterns persist over time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Without retention, agents operate without historical context, increasing computing costs and preventing execution of complex, multi-step tasks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Multi-Level Evaluation Paradigms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performance must be evaluated across three analytical dimensions to capture non-deterministic behaviors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Session-level</w:t>
      </w:r>
      <w:r w:rsidDel="00000000" w:rsidR="00000000" w:rsidRPr="00000000">
        <w:rPr>
          <w:rFonts w:ascii="Google Sans" w:cs="Google Sans" w:eastAsia="Google Sans" w:hAnsi="Google Sans"/>
          <w:color w:val="1f1f1f"/>
          <w:rtl w:val="0"/>
        </w:rPr>
        <w:t xml:space="preserve">: Measures overall goal success rates and conversational flow over multi-turn interactions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Trace-level</w:t>
      </w:r>
      <w:r w:rsidDel="00000000" w:rsidR="00000000" w:rsidRPr="00000000">
        <w:rPr>
          <w:rFonts w:ascii="Google Sans" w:cs="Google Sans" w:eastAsia="Google Sans" w:hAnsi="Google Sans"/>
          <w:color w:val="1f1f1f"/>
          <w:rtl w:val="0"/>
        </w:rPr>
        <w:t xml:space="preserve">: Validates the accuracy, helpfulness, and safety of individual responses within the trace history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1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Tool-level</w:t>
      </w:r>
      <w:r w:rsidDel="00000000" w:rsidR="00000000" w:rsidRPr="00000000">
        <w:rPr>
          <w:rFonts w:ascii="Google Sans" w:cs="Google Sans" w:eastAsia="Google Sans" w:hAnsi="Google Sans"/>
          <w:color w:val="1f1f1f"/>
          <w:rtl w:val="0"/>
        </w:rPr>
        <w:t xml:space="preserve">: Assesses tool selection accuracy, parameter formatting, and execution sequencing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analyze non-deterministic success rates in tool-using agents, evaluation frameworks utilize metrics such as </w:t>
      </w:r>
      <w:r w:rsidDel="00000000" w:rsidR="00000000" w:rsidRPr="00000000">
        <w:rPr>
          <w:rFonts w:ascii="Google Sans" w:cs="Google Sans" w:eastAsia="Google Sans" w:hAnsi="Google Sans"/>
          <w:color w:val="1f1f1f"/>
        </w:rPr>
        <w:drawing>
          <wp:inline distB="19050" distT="19050" distL="19050" distR="19050">
            <wp:extent cx="646907" cy="254521"/>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6907" cy="25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probability of achieving success at least once in </w:t>
      </w:r>
      <w:r w:rsidDel="00000000" w:rsidR="00000000" w:rsidRPr="00000000">
        <w:rPr>
          <w:rFonts w:ascii="Google Sans" w:cs="Google Sans" w:eastAsia="Google Sans" w:hAnsi="Google Sans"/>
          <w:color w:val="1f1f1f"/>
        </w:rPr>
        <w:drawing>
          <wp:inline distB="19050" distT="19050" distL="19050" distR="19050">
            <wp:extent cx="108314" cy="288836"/>
            <wp:effectExtent b="0" l="0" r="0" t="0"/>
            <wp:docPr id="16"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8314" cy="288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attempts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Conversely, consistency-driven systems prioritize the metric </w:t>
      </w:r>
      <w:r w:rsidDel="00000000" w:rsidR="00000000" w:rsidRPr="00000000">
        <w:rPr>
          <w:rFonts w:ascii="Google Sans" w:cs="Google Sans" w:eastAsia="Google Sans" w:hAnsi="Google Sans"/>
          <w:color w:val="1f1f1f"/>
        </w:rPr>
        <w:drawing>
          <wp:inline distB="19050" distT="19050" distL="19050" distR="19050">
            <wp:extent cx="471620" cy="257247"/>
            <wp:effectExtent b="0" l="0" r="0" t="0"/>
            <wp:docPr id="1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1620" cy="2572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measures the probability of achieving error-free execution across all </w:t>
      </w:r>
      <w:r w:rsidDel="00000000" w:rsidR="00000000" w:rsidRPr="00000000">
        <w:rPr>
          <w:rFonts w:ascii="Google Sans" w:cs="Google Sans" w:eastAsia="Google Sans" w:hAnsi="Google Sans"/>
          <w:color w:val="1f1f1f"/>
        </w:rPr>
        <w:drawing>
          <wp:inline distB="19050" distT="19050" distL="19050" distR="19050">
            <wp:extent cx="108314" cy="288836"/>
            <wp:effectExtent b="0" l="0" r="0" t="0"/>
            <wp:docPr id="18"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8314" cy="288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consecutive sessions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is formulated as: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1113"/>
            <wp:effectExtent b="0" l="0" r="0" t="0"/>
            <wp:docPr id="1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471113"/>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98557" cy="295671"/>
            <wp:effectExtent b="0" l="0" r="0" t="0"/>
            <wp:docPr id="20"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8557" cy="2956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probability of successful completion in a single evaluation run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Context Dimension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Definition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Operationalization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Consequence of Deficit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Platform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Relevance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Timely and domain-appropriate context delivery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Semantic search, vector embeddings, structural metadata filtering</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Stale execution patterns, bloated context windows, high token cost</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Context Platform Catalog (DataHub)</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Reliability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Trustworthy information with verifiable lineage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Column-level lineage graphs, data provenance records, quality assertions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Hallucinations, breakdown in automated decision auditability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Lineage API &amp; Assertion Monitors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Persistence of conversational state and session history</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Persistent graph storage, session checkpoints, state serialization</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Permanent "cold-start" limitations, loss of institutional knowledge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Graph Database / Cosmos DB State Store</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as a Connectivity Standard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Model Context Protocol (MCP) is an open-standard integration framework that secures and standardizes connections between language model applications and external data sources or execution tools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MCP acts as a universal adapter, solving the </w:t>
      </w:r>
      <w:r w:rsidDel="00000000" w:rsidR="00000000" w:rsidRPr="00000000">
        <w:rPr>
          <w:rFonts w:ascii="Google Sans" w:cs="Google Sans" w:eastAsia="Google Sans" w:hAnsi="Google Sans"/>
          <w:color w:val="1f1f1f"/>
        </w:rPr>
        <w:drawing>
          <wp:inline distB="19050" distT="19050" distL="19050" distR="19050">
            <wp:extent cx="629708" cy="256152"/>
            <wp:effectExtent b="0" l="0" r="0" t="0"/>
            <wp:docPr id="1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29708" cy="25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integration problem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Without standardization, integrating </w:t>
      </w:r>
      <w:r w:rsidDel="00000000" w:rsidR="00000000" w:rsidRPr="00000000">
        <w:rPr>
          <w:rFonts w:ascii="Google Sans" w:cs="Google Sans" w:eastAsia="Google Sans" w:hAnsi="Google Sans"/>
          <w:color w:val="1f1f1f"/>
        </w:rPr>
        <w:drawing>
          <wp:inline distB="19050" distT="19050" distL="19050" distR="19050">
            <wp:extent cx="178759" cy="252366"/>
            <wp:effectExtent b="0" l="0" r="0" t="0"/>
            <wp:docPr id="22"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78759" cy="252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developer tools with </w:t>
      </w:r>
      <w:r w:rsidDel="00000000" w:rsidR="00000000" w:rsidRPr="00000000">
        <w:rPr>
          <w:rFonts w:ascii="Google Sans" w:cs="Google Sans" w:eastAsia="Google Sans" w:hAnsi="Google Sans"/>
          <w:color w:val="1f1f1f"/>
        </w:rPr>
        <w:drawing>
          <wp:inline distB="19050" distT="19050" distL="19050" distR="19050">
            <wp:extent cx="211502" cy="267160"/>
            <wp:effectExtent b="0" l="0" r="0" t="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11502" cy="267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execution environments requires </w:t>
      </w:r>
      <w:r w:rsidDel="00000000" w:rsidR="00000000" w:rsidRPr="00000000">
        <w:rPr>
          <w:rFonts w:ascii="Google Sans" w:cs="Google Sans" w:eastAsia="Google Sans" w:hAnsi="Google Sans"/>
          <w:color w:val="1f1f1f"/>
        </w:rPr>
        <w:drawing>
          <wp:inline distB="19050" distT="19050" distL="19050" distR="19050">
            <wp:extent cx="629708" cy="256152"/>
            <wp:effectExtent b="0" l="0" r="0" t="0"/>
            <wp:docPr id="25"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29708" cy="25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custom pipelines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MCP simplifies this dependency structure to </w:t>
      </w:r>
      <w:r w:rsidDel="00000000" w:rsidR="00000000" w:rsidRPr="00000000">
        <w:rPr>
          <w:rFonts w:ascii="Google Sans" w:cs="Google Sans" w:eastAsia="Google Sans" w:hAnsi="Google Sans"/>
          <w:color w:val="1f1f1f"/>
        </w:rPr>
        <w:drawing>
          <wp:inline distB="19050" distT="19050" distL="19050" distR="19050">
            <wp:extent cx="629708" cy="256152"/>
            <wp:effectExtent b="0" l="0" r="0" t="0"/>
            <wp:docPr id="2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29708" cy="25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connections by establishing a shared interaction contract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Protocol Architecture and Interoperability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MCP architecture uses JSON-RPC 2.0 messages to establish secure, bidirectional communication between host applications, clients, and servers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protocol separates the orchestrating client from domain-specific servers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MCP servers expose three primary capabilities to clients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Resources</w:t>
      </w:r>
      <w:r w:rsidDel="00000000" w:rsidR="00000000" w:rsidRPr="00000000">
        <w:rPr>
          <w:rFonts w:ascii="Google Sans" w:cs="Google Sans" w:eastAsia="Google Sans" w:hAnsi="Google Sans"/>
          <w:color w:val="1f1f1f"/>
          <w:rtl w:val="0"/>
        </w:rPr>
        <w:t xml:space="preserve">: Read-only context, local file pathways, database schemas, and structured documents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Prompts</w:t>
      </w:r>
      <w:r w:rsidDel="00000000" w:rsidR="00000000" w:rsidRPr="00000000">
        <w:rPr>
          <w:rFonts w:ascii="Google Sans" w:cs="Google Sans" w:eastAsia="Google Sans" w:hAnsi="Google Sans"/>
          <w:color w:val="1f1f1f"/>
          <w:rtl w:val="0"/>
        </w:rPr>
        <w:t xml:space="preserve">: Predefined, parameter-driven workflow templates that guide model interaction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Tools</w:t>
      </w:r>
      <w:r w:rsidDel="00000000" w:rsidR="00000000" w:rsidRPr="00000000">
        <w:rPr>
          <w:rFonts w:ascii="Google Sans" w:cs="Google Sans" w:eastAsia="Google Sans" w:hAnsi="Google Sans"/>
          <w:color w:val="1f1f1f"/>
          <w:rtl w:val="0"/>
        </w:rPr>
        <w:t xml:space="preserve">: Executable functions that allow the client to perform actions in external environments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Architects configure these integrations using either standard input/output (stdio) streams for local process isolation, or HTTP endpoints utilizing Server-Sent Events (SSE) to support remote, low-latency, bidirectional streaming across distributed platforms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Window Token Efficiency and Code Execution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complex enterprise architectures, loading extensive tool definitions upfront can overwhelm model context windows and inflate token costs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To resolve this, modern platforms use a code execution pattern with MCP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Instead of calling individual tools directly, the agent explores a directory of available servers and writes code (e.g., in TypeScript or Python) to interact with those servers via programmatic APIs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progressive disclosure pattern keeps intermediate datasets within the local execution environment, passing only final outputs to the model's context window</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drastically reduces token consumption, maintains secure data isolation, and handles complex multi-step operations in a single execution loop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Data Workflows and Data Stewardship</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data architectures use autonomous data agents to manage and govern data assets across complex data lakes and warehouses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Implementing these automated workflows requires a clear separation of technical and governance roles to maintain operational integrity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Stewards versus Data Custodians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design depends on distinguishing the operational responsibilities of data owners, data stewards, and data custodians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Owners</w:t>
      </w:r>
      <w:r w:rsidDel="00000000" w:rsidR="00000000" w:rsidRPr="00000000">
        <w:rPr>
          <w:rFonts w:ascii="Google Sans" w:cs="Google Sans" w:eastAsia="Google Sans" w:hAnsi="Google Sans"/>
          <w:color w:val="1f1f1f"/>
          <w:rtl w:val="0"/>
        </w:rPr>
        <w:t xml:space="preserve">: Senior leaders who define data policies, establish compliance guidelines, and authorize access privileges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Stewards</w:t>
      </w:r>
      <w:r w:rsidDel="00000000" w:rsidR="00000000" w:rsidRPr="00000000">
        <w:rPr>
          <w:rFonts w:ascii="Google Sans" w:cs="Google Sans" w:eastAsia="Google Sans" w:hAnsi="Google Sans"/>
          <w:color w:val="1f1f1f"/>
          <w:rtl w:val="0"/>
        </w:rPr>
        <w:t xml:space="preserve">: Operational users responsible for data quality, consistency, validation rules, business glossary curation, and metadata enrichment</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Custodians</w:t>
      </w:r>
      <w:r w:rsidDel="00000000" w:rsidR="00000000" w:rsidRPr="00000000">
        <w:rPr>
          <w:rFonts w:ascii="Google Sans" w:cs="Google Sans" w:eastAsia="Google Sans" w:hAnsi="Google Sans"/>
          <w:color w:val="1f1f1f"/>
          <w:rtl w:val="0"/>
        </w:rPr>
        <w:t xml:space="preserve">: Technical specialists who manage storage systems, configure database environments, enforce network security, and execute data backups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Write-Back and Zero-Copy Orchestration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data stewards and custodians performed their duties manually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Modern architectures automate these tasks using autonomous agents integrated with metadata platforms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outstanding pattern is the Gemini-powered Autonomous Data Steward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Operating over a zero-copy metadata catalog (such as Google Cloud Dataplex), the agent processes metadata pointers rather than copying large physical datasets, reducing storage requirements by up to 70%</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agent translates natural language requests (e.g., identifying specific metric components) into physical assets and catalog entries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a requested dataset does not exist, the agent automatically writes and executes Python ETL code via Dataproc to construct and validate the assets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metadata quality, autonomous agents utilize write-back capabilities rather than acting as read-only interfaces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When an agent identifies schema gaps, missing classifications, or undocumented assets, it executes direct metadata write-back actions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Documentation Generation</w:t>
      </w:r>
      <w:r w:rsidDel="00000000" w:rsidR="00000000" w:rsidRPr="00000000">
        <w:rPr>
          <w:rFonts w:ascii="Google Sans" w:cs="Google Sans" w:eastAsia="Google Sans" w:hAnsi="Google Sans"/>
          <w:color w:val="1f1f1f"/>
          <w:rtl w:val="0"/>
        </w:rPr>
        <w:t xml:space="preserve">: Agents analyze query history and data patterns to draft table and column descriptions, writing them back to the catalog for steward review</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Glossary Curation</w:t>
      </w:r>
      <w:r w:rsidDel="00000000" w:rsidR="00000000" w:rsidRPr="00000000">
        <w:rPr>
          <w:rFonts w:ascii="Google Sans" w:cs="Google Sans" w:eastAsia="Google Sans" w:hAnsi="Google Sans"/>
          <w:color w:val="1f1f1f"/>
          <w:rtl w:val="0"/>
        </w:rPr>
        <w:t xml:space="preserve">: When users query undocumented business terms, the agent proposes new standardized glossary entries to the data governance council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Tag Propagation</w:t>
      </w:r>
      <w:r w:rsidDel="00000000" w:rsidR="00000000" w:rsidRPr="00000000">
        <w:rPr>
          <w:rFonts w:ascii="Google Sans" w:cs="Google Sans" w:eastAsia="Google Sans" w:hAnsi="Google Sans"/>
          <w:color w:val="1f1f1f"/>
          <w:rtl w:val="0"/>
        </w:rPr>
        <w:t xml:space="preserve">: The agent suggests classification and policy tags based on query semantics, automatically identifying potential PII to prevent compliance exposure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Accountability Level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Technical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Orientation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System Responsibilities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Tooling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Owner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Strategic Alignment</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Policy design, regulatory compliance, risk posture, access permissions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Outcomes-driven</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Classifying data categories, setting access boundaries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IAM policies, catalog registries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Steward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Operational Quality</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 accuracy, consistent business glossary definitions, metadata integrity</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Tactical / Task-oriented</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Standardizing definitions, profiling datasets, metadata enrichment</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 glossaries, data profiling tools</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Data Custodian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Infrastructure</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Database storage configurations, encryption pipelines, system backups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Security-focused</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Enforcing encryption standards, configuring network controls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DB Administration, Cloud storage consoles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Autonomous Agent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Operational Action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Zero-copy query orchestration, code compilation, metadata write-back</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Execution-driven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Proposing glossary terms, auto-generating ETL, resolving drift</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MCP servers, dbt compile tools</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Metadata-Aware Code Generation and Pre-Flight Validation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Text-to-SQL agents often struggle in production environments because they generate queries based on static, out-of-context schema descriptions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To prevent compilation errors and incorrect queries, modern architectures use real-world schema details and active lineage data through pre-flight validation loops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and Remote Orchestration with dbt and Airflow</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Metadata-aware development loops combine LLMs with Google ADK (Agent Development Kit), the dbt MCP server, and the dbt Fusion compilation engine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Google ADK coordinates specialized subagents, while the dbt MCP server acts as the central interface to access project definitions, database connections, and semantic layers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        1. Request Context        +------------------+</w:t>
        <w:br w:type="textWrapping"/>
        <w:t xml:space="preserve">  |    AI Agent       |&lt;================================&gt;|  dbt MCP Server  |</w:t>
        <w:br w:type="textWrapping"/>
        <w:t xml:space="preserve">  |  (Gemini / ADK)   |                                  | (Fusion Engine)  |</w:t>
        <w:br w:type="textWrapping"/>
        <w:t xml:space="preserve">  +---------+---------+                                  +--------+---------+</w:t>
        <w:br w:type="textWrapping"/>
        <w:t xml:space="preserve">            |                                                     |</w:t>
        <w:br w:type="textWrapping"/>
        <w:t xml:space="preserve">            | 2. Generate dbt SQL Code                            | 3. Validate SQL</w:t>
        <w:br w:type="textWrapping"/>
        <w:t xml:space="preserve">            |                                                     |  (No DB Hit)</w:t>
        <w:br w:type="textWrapping"/>
        <w:t xml:space="preserve">            |                                                     v</w:t>
        <w:br w:type="textWrapping"/>
        <w:t xml:space="preserve">            +--------------------------------------------&gt; [ dbt_compile ]</w:t>
        <w:br w:type="textWrapping"/>
        <w:t xml:space="preserve">                                                                  |</w:t>
        <w:br w:type="textWrapping"/>
        <w:t xml:space="preserve">                                                                  | 4. Return Structured Logs</w:t>
        <w:br w:type="textWrapping"/>
        <w:t xml:space="preserve">                                                                  |    (Errors/Warnings)</w:t>
        <w:br w:type="textWrapping"/>
        <w:t xml:space="preserve">                                                                  v</w:t>
        <w:br w:type="textWrapping"/>
        <w:t xml:space="preserve">  +-------------------+                                  +--------+---------+</w:t>
        <w:br w:type="textWrapping"/>
        <w:t xml:space="preserve">  |  Self-Correction  |&lt;=================================|   Compilation    |</w:t>
        <w:br w:type="textWrapping"/>
        <w:t xml:space="preserve">  |    Loop Active    |      5. Parse Logs &amp; Re-compile  |  Success/Failure |</w:t>
        <w:br w:type="textWrapping"/>
        <w:t xml:space="preserve">  +-------------------+                                  +------------------+</w:t>
        <w:br w:type="textWrapping"/>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execution, the agent writes a SQL query or model and initiates a local pre-flight check using the dbt_compile tool</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dbt Fusion engine parses and compiles the code locally, validating syntax, resolving model definitions, and verifying dependencies against the project graph without hitting the physical warehouse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If compilation fails, the compiler returns structured JSON logs to the agent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agent parses these logs, diagnoses the error, and automatically refines the code until compilation succeeds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Pre-Flight SQL Validation Loops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extend these capabilities to workflow orchestration, Astronomer's astro-airflow-mcp server standardizes how agents interact with Apache Airflow environments. Running either standalone or as a direct webserver plugin, this server exposes Airflow's REST APIs to agents as standard tools. The server translates operations into tools such as explore_dag and diagnose_dag_run:</w:t>
      </w:r>
    </w:p>
    <w:p w:rsidR="00000000" w:rsidDel="00000000" w:rsidP="00000000" w:rsidRDefault="00000000" w:rsidRPr="00000000" w14:paraId="00000097">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DAG Analysis</w:t>
      </w:r>
      <w:r w:rsidDel="00000000" w:rsidR="00000000" w:rsidRPr="00000000">
        <w:rPr>
          <w:rFonts w:ascii="Google Sans" w:cs="Google Sans" w:eastAsia="Google Sans" w:hAnsi="Google Sans"/>
          <w:color w:val="1f1f1f"/>
          <w:rtl w:val="0"/>
        </w:rPr>
        <w:t xml:space="preserve">: The agent runs explore_dag to analyze metadata, structural tasks, and source configurations in a single call, preventing fragmented context</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1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Run Diagnosis</w:t>
      </w:r>
      <w:r w:rsidDel="00000000" w:rsidR="00000000" w:rsidRPr="00000000">
        <w:rPr>
          <w:rFonts w:ascii="Google Sans" w:cs="Google Sans" w:eastAsia="Google Sans" w:hAnsi="Google Sans"/>
          <w:color w:val="1f1f1f"/>
          <w:rtl w:val="0"/>
        </w:rPr>
        <w:t xml:space="preserve">: If a pipeline fails, diagnose_dag_run retrieves run details, identifies failed task instances, and extracts execution logs for agent troubleshooting</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server uses an adapter pattern to support both Airflow 2.x and 3.x, and features schema validation with structured error codes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Errors return specific flags indicating whether an issue is retryable (e.g., network timeouts or resource locks) or a hard block (e.g., authentication failures), allowing agents to make informed execution decisions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Machine Learning Protection and Observability</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Production machine learning pipelines are highly vulnerable to silent data degradation, statistical variations, and schema modifications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Without robust monitoring, incoming data features can drift, degrading model performance without triggering standard infrastructure alerts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Silent Pipeline Failures and Schema Drift Mitigation</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drift occurs when database structure changes, such as modifying column names, removing variables, or changing datatypes, which can break downstream tables and semantic models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An effective pattern for addressing this is the agentic schema-drift detection pattern</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waiting for downstream dashboards to fail, this pattern monitors database structures and maps schema drift across the entire lineage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If an upstream column name changes, the detection tool walks the lineage graph to locate every dependent view, semantic measure, and downstream report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A Claude-powered agent reviews the change, evaluates its business severity, and automatically creates a Git branch</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agent applies direct string replacements to the underlying configuration files in Git and opens an automated Pull Request (PR) to correct the broken references across the pipeline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Leakage Detection and Feature Lineage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leakage occurs when features used during model training incorporate data that is unavailable during inference, or variables that serve as proxies for the target label</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To prevent target leakage, machine learning platforms use point-in-time correct feature stores and column-level lineage tracking</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TRAINING ENVIRONMENT (Temporal Split Guard)</w:t>
        <w:br w:type="textWrapping"/>
        <w:t xml:space="preserve">  +------------------+       Point-in-Time Retrieval</w:t>
        <w:br w:type="textWrapping"/>
        <w:t xml:space="preserve">  |  Feature Store   |==================================+</w:t>
        <w:br w:type="textWrapping"/>
        <w:t xml:space="preserve">  | (Event Timestamps|                                  |</w:t>
        <w:br w:type="textWrapping"/>
        <w:t xml:space="preserve">  +--------+---------+                                  |</w:t>
        <w:br w:type="textWrapping"/>
        <w:t xml:space="preserve">           |                                            v</w:t>
        <w:br w:type="textWrapping"/>
        <w:t xml:space="preserve">           | Temporal Boundary                   +------+------+</w:t>
        <w:br w:type="textWrapping"/>
        <w:t xml:space="preserve">           | (T &lt;= Prediction Time)              |  ML Model   |</w:t>
        <w:br w:type="textWrapping"/>
        <w:t xml:space="preserve">           v                                     |  Training   |</w:t>
        <w:br w:type="textWrapping"/>
        <w:t xml:space="preserve">  +--------+---------+                           +------+------+</w:t>
        <w:br w:type="textWrapping"/>
        <w:t xml:space="preserve">  | Future Leakage   |                                  ^</w:t>
        <w:br w:type="textWrapping"/>
        <w:t xml:space="preserve">  |  (Blocked Data)  |                                  |</w:t>
        <w:br w:type="textWrapping"/>
        <w:t xml:space="preserve">  +------------------+                                  | </w:t>
        <w:br w:type="textWrapping"/>
        <w:t xml:space="preserve">                                                        | Validate</w:t>
        <w:br w:type="textWrapping"/>
        <w:t xml:space="preserve">  PRODUCTION SERVING ENVIRONMENT                        | Distributions</w:t>
        <w:br w:type="textWrapping"/>
        <w:t xml:space="preserve">  +------------------+       Statistical Divergence     |</w:t>
        <w:br w:type="textWrapping"/>
        <w:t xml:space="preserve">  | Serving Features |----------------------------------+</w:t>
        <w:br w:type="textWrapping"/>
        <w:t xml:space="preserve">  |  (Inference)     |       (Kolmogorov-Smirnov Test)</w:t>
        <w:br w:type="textWrapping"/>
        <w:t xml:space="preserve">  +------------------+</w:t>
        <w:br w:type="textWrapping"/>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architects use temporal splitting rather than random cross-validation, ensuring that training datasets only include data from before the prediction timestamp</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Lineage mapping verifies that target variables do not flow backwards into training features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monitor these features, the system runs statistical tests on incoming data distributions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For example, the Kolmogorov-Smirnov test statistic </w:t>
      </w:r>
      <w:r w:rsidDel="00000000" w:rsidR="00000000" w:rsidRPr="00000000">
        <w:rPr>
          <w:rFonts w:ascii="Google Sans" w:cs="Google Sans" w:eastAsia="Google Sans" w:hAnsi="Google Sans"/>
          <w:color w:val="1f1f1f"/>
        </w:rPr>
        <w:drawing>
          <wp:inline distB="19050" distT="19050" distL="19050" distR="19050">
            <wp:extent cx="167514" cy="251271"/>
            <wp:effectExtent b="0" l="0" r="0" t="0"/>
            <wp:docPr id="2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7514" cy="251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measures the divergence between training and inference distributions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7467"/>
            <wp:effectExtent b="0" l="0" r="0" t="0"/>
            <wp:docPr id="26"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05500" cy="537467"/>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468974" cy="255804"/>
            <wp:effectExtent b="0" l="0" r="0" t="0"/>
            <wp:docPr id="2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68974" cy="255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baseline cumulative distribution function of training features, and </w:t>
      </w:r>
      <w:r w:rsidDel="00000000" w:rsidR="00000000" w:rsidRPr="00000000">
        <w:rPr>
          <w:rFonts w:ascii="Google Sans" w:cs="Google Sans" w:eastAsia="Google Sans" w:hAnsi="Google Sans"/>
          <w:color w:val="1f1f1f"/>
        </w:rPr>
        <w:drawing>
          <wp:inline distB="19050" distT="19050" distL="19050" distR="19050">
            <wp:extent cx="468974" cy="255804"/>
            <wp:effectExtent b="0" l="0" r="0" t="0"/>
            <wp:docPr id="28"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8974" cy="255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the empirical distribution function of inference features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If </w:t>
      </w:r>
      <w:r w:rsidDel="00000000" w:rsidR="00000000" w:rsidRPr="00000000">
        <w:rPr>
          <w:rFonts w:ascii="Google Sans" w:cs="Google Sans" w:eastAsia="Google Sans" w:hAnsi="Google Sans"/>
          <w:color w:val="1f1f1f"/>
        </w:rPr>
        <w:drawing>
          <wp:inline distB="19050" distT="19050" distL="19050" distR="19050">
            <wp:extent cx="167514" cy="251271"/>
            <wp:effectExtent b="0" l="0" r="0" t="0"/>
            <wp:docPr id="2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7514" cy="251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exceeds a calibrated threshold, the agent flags statistical shift, blocks the pipeline, and alerts the engineering team</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Vulnerability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Detection Mechanism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Mitigation Strategy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Role of Lineage Mapping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of Deficit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Schema Drift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Real-time structural schema comparisons</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Dynamic code adjustments, auto-generated pull requests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Maps breaks from source table to visualization reports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Silent dashboard breaks, execution errors</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Target Leakage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Feature-to-label statistical correlation checks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Temporal splits, point-in-time correct feature stores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Traces whether training features incorporate downstream metrics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Overfit models, degraded production performance</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Silent Pipeline Failure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Anomaly tracking over data volumes, freshness SLAs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Automatic run triage, execution alert routing</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Tracks upstream pipeline blockages to downstream reports</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Stale predictions served to client systems</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Context-Grounded Multi-Agent Systems and Shared Knowledge Graphs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hallucinations in complex, non-deterministic tasks, modern agent platforms ground execution in shared knowledge graphs rather than isolated prompts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Shared knowledge graphs serve as a structured substrate, allowing multiple agents to access, write, and synchronize context using a unified graph model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Neural-Symbolic Architectures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Metacognitive Multi-Agent Systems (MMAS) integrate deep learning neural models with symbolic logic systems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hybrid architectures leverage the flexibility of language models alongside the precision of formal logic and knowledge graphs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uses a Monitor-Generate-Reason (MGR) loop managed by a metacognitive planner agent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Monitor Agent maps incoming requests to defined semantic constraints, identifying which subtasks can be generated probabilistically and which require strict logical validation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mapping translates natural language queries into structured symbolic graphs, allowing agents to verify execution paths against corporate rules and ontologies before performing actions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User Input Query           |</w:t>
        <w:br w:type="textWrapping"/>
        <w:t xml:space="preserve">                  +-----------------+-----------------+</w:t>
        <w:br w:type="textWrapping"/>
        <w:t xml:space="preserve">                                    |</w:t>
        <w:br w:type="textWrapping"/>
        <w:t xml:space="preserve">                                    v</w:t>
        <w:br w:type="textWrapping"/>
        <w:t xml:space="preserve">                  +-----------------+-----------------+</w:t>
        <w:br w:type="textWrapping"/>
        <w:t xml:space="preserve">                  |          Monitor Agent            |</w:t>
        <w:br w:type="textWrapping"/>
        <w:t xml:space="preserve">                  |     (Ontological Mapping)         |</w:t>
        <w:br w:type="textWrapping"/>
        <w:t xml:space="preserve">                  +-----------------+-----------------+</w:t>
        <w:br w:type="textWrapping"/>
        <w:t xml:space="preserve">                                    |</w:t>
        <w:br w:type="textWrapping"/>
        <w:t xml:space="preserve">         +--------------------------+--------------------------+</w:t>
        <w:br w:type="textWrapping"/>
        <w:t xml:space="preserve">         |                                                     |</w:t>
        <w:br w:type="textWrapping"/>
        <w:t xml:space="preserve">         v (Neural / Fluid Path)                               v (Symbolic / Rigid Path)</w:t>
        <w:br w:type="textWrapping"/>
        <w:t xml:space="preserve">  +------+------+                                       +------+------+</w:t>
        <w:br w:type="textWrapping"/>
        <w:t xml:space="preserve">  | Generative  |                                       | Knowledge   |</w:t>
        <w:br w:type="textWrapping"/>
        <w:t xml:space="preserve">  | Model (LLM) |                                       | Graph (SSG) |</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Response Synthesizer        |</w:t>
        <w:br w:type="textWrapping"/>
        <w:t xml:space="preserve">                  |      (Verified Ground Truth)      |</w:t>
        <w:br w:type="textWrapping"/>
        <w:t xml:space="preserve">                  +-----------------------------------+</w:t>
        <w:br w:type="textWrapping"/>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Graphs as Cognitive Substrates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Persistent knowledge graphs act as a shared memory layer, allowing agents to collaborate without losing session context</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Incident Response Graphs</w:t>
      </w:r>
      <w:r w:rsidDel="00000000" w:rsidR="00000000" w:rsidRPr="00000000">
        <w:rPr>
          <w:rFonts w:ascii="Google Sans" w:cs="Google Sans" w:eastAsia="Google Sans" w:hAnsi="Google Sans"/>
          <w:color w:val="1f1f1f"/>
          <w:rtl w:val="0"/>
        </w:rPr>
        <w:t xml:space="preserve">: In site reliability engineering (SRE), platforms model system dependencies by mapping nodes (e.g., services, pods, clusters, regions, gateways, Kafka topics, and databases) and edges (e.g., traffic flows, deployment relationships, data lineage, ownership, and failover paths)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When anomalies occur, the system groups alerts, identifies root causes via lineage analysis, and executes automated runbooks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Scientific Discovery Graphs</w:t>
      </w:r>
      <w:r w:rsidDel="00000000" w:rsidR="00000000" w:rsidRPr="00000000">
        <w:rPr>
          <w:rFonts w:ascii="Google Sans" w:cs="Google Sans" w:eastAsia="Google Sans" w:hAnsi="Google Sans"/>
          <w:color w:val="1f1f1f"/>
          <w:rtl w:val="0"/>
        </w:rPr>
        <w:t xml:space="preserve">: Systems like scAgents use persistent knowledge graphs to guide multi-agent single-cell biology analysis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Role-specific agents collaboratively analyze baseline data, retrieve relevant biological studies, and construct predictive models for genetic perturbations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Development Platform Graphs</w:t>
      </w:r>
      <w:r w:rsidDel="00000000" w:rsidR="00000000" w:rsidRPr="00000000">
        <w:rPr>
          <w:rFonts w:ascii="Google Sans" w:cs="Google Sans" w:eastAsia="Google Sans" w:hAnsi="Google Sans"/>
          <w:color w:val="1f1f1f"/>
          <w:rtl w:val="0"/>
        </w:rPr>
        <w:t xml:space="preserve">: Systems like Agent-MCP coordinate development tasks using a shared graph, preventing conflicts by locking files during parallel execution and maintaining state across sessions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Architectural Recommendations</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build resilient, automated data architectures, enterprise teams should adopt the following patterns:</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 Standardized Gateway Architectures</w:t>
      </w:r>
      <w:r w:rsidDel="00000000" w:rsidR="00000000" w:rsidRPr="00000000">
        <w:rPr>
          <w:rFonts w:ascii="Google Sans" w:cs="Google Sans" w:eastAsia="Google Sans" w:hAnsi="Google Sans"/>
          <w:color w:val="1f1f1f"/>
          <w:rtl w:val="0"/>
        </w:rPr>
        <w:t xml:space="preserve">: Standardize on the Model Context Protocol (MCP) to manage tool integration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Organizations should implement secure, centralized MCP gateways with role-based access controls (RBAC) and comprehensive auditing</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Decouple Execution via Code-Writing Agents</w:t>
      </w:r>
      <w:r w:rsidDel="00000000" w:rsidR="00000000" w:rsidRPr="00000000">
        <w:rPr>
          <w:rFonts w:ascii="Google Sans" w:cs="Google Sans" w:eastAsia="Google Sans" w:hAnsi="Google Sans"/>
          <w:color w:val="1f1f1f"/>
          <w:rtl w:val="0"/>
        </w:rPr>
        <w:t xml:space="preserve">: Implement code-writing patterns with MCP to optimize token consumption and secure data processing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keeps raw intermediate datasets in isolated local environments, passing only validated outputs back to the core LLM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 Context Platforms</w:t>
      </w:r>
      <w:r w:rsidDel="00000000" w:rsidR="00000000" w:rsidRPr="00000000">
        <w:rPr>
          <w:rFonts w:ascii="Google Sans" w:cs="Google Sans" w:eastAsia="Google Sans" w:hAnsi="Google Sans"/>
          <w:color w:val="1f1f1f"/>
          <w:rtl w:val="0"/>
        </w:rPr>
        <w:t xml:space="preserve">: Implement dedicated context platforms to bridge the gap between protocol-level access and enterprise-grade curation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Context must span technical, operational, and business contexts to maintain relevance, reliability, and retention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Establish Active Write-Back Loops</w:t>
      </w:r>
      <w:r w:rsidDel="00000000" w:rsidR="00000000" w:rsidRPr="00000000">
        <w:rPr>
          <w:rFonts w:ascii="Google Sans" w:cs="Google Sans" w:eastAsia="Google Sans" w:hAnsi="Google Sans"/>
          <w:color w:val="1f1f1f"/>
          <w:rtl w:val="0"/>
        </w:rPr>
        <w:t xml:space="preserve">: Transition metadata architectures from read-only catalogs to active write-back loops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Enabling agents to suggest documentation, propose glossary entries, and tag sensitive data directly improves metadata quality over time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numPr>
          <w:ilvl w:val="0"/>
          <w:numId w:val="1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Enforce Neural-Symbolic Validation</w:t>
      </w:r>
      <w:r w:rsidDel="00000000" w:rsidR="00000000" w:rsidRPr="00000000">
        <w:rPr>
          <w:rFonts w:ascii="Google Sans" w:cs="Google Sans" w:eastAsia="Google Sans" w:hAnsi="Google Sans"/>
          <w:color w:val="1f1f1f"/>
          <w:rtl w:val="0"/>
        </w:rPr>
        <w:t xml:space="preserve">: Ground agent logic in structured knowledge graphs using Monitor-Generate-Reason (MGR) loops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This pattern provides deterministic guardrails to prevent hallucinations in compliance-sensitive environments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Reporte de Investigación: Patrones Arquitectónicos Avanzados para Agentes de IA Autónomos en Ingeniería de Datos y Aprendizaje Automático: Plataformas de Metadatos, Gráficos de Conocimiento y el Protocolo de Contexto de Modelos</w:t>
      </w:r>
    </w:p>
    <w:p w:rsidR="00000000" w:rsidDel="00000000" w:rsidP="00000000" w:rsidRDefault="00000000" w:rsidRPr="00000000" w14:paraId="000000D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de Trabajo Construir-Colaborar-Evolucionar</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ciclo de vida operativo de los agentes basados en Modelos de Lenguaje de Gran Escala (LLM) requiere marcos estructurados para transicionar de una ejecución aislada e impulsada por instrucciones a sistemas resilientes de automejora continua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La taxonomía centrada en la metodología del marco Construir-Colaborar-Evolucionar ofrece un enfoque integral para la gestión de este ciclo de vida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arquitectura descompone la integración de agentes en tres vectores fundamentales: la construcción individual, la colaboración multiagente y la evolución continua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Construcción de Agentes y Capacidades Nucleares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fase de construcción establece la capa fundamental basada en microservicios para agentes individuales, definiendo sus estructuras de memoria, capacidades de planificación, interfaces de herramientas y perfiles especializados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Una gestión eficaz de la memoria separa el contexto de la conversación a corto plazo del almacenamiento persistente a largo plazo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Las capacidades de planificación determinan cómo se descomponen las solicitudes complejas en pasos de ejecución lineales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Los agentes utilizan estrategias como la progresión lógica secuencial, la descomposición jerárquica de tareas y los esquemas de planificación dinámica para navegar por entornos no estructurados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modularidad en la integración de herramientas permite a los agentes interactuar con bases de datos externas, entornos de ejecución local e interfaces de aplicaciones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Sin embargo, los patrones de construcción sufren de modos de fallo críticos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Las arquitecturas de memoria sobre-diseñadas a menudo incrementan la latencia operativa y los costes de computación sin un beneficio claro en el rendimiento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Una lógica de planificación insuficiente crea rutas de ejecución frágiles, mientras que una integración rígida de herramientas falla ante cambios en las APIs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Paradigmas de Colaboración en Sistemas Multiagente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Cuando la complejidad de una tarea supera las capacidades de un solo agente, los patrones de orquestación multiagente distribuyen la carga de trabajo entre configuraciones de agentes especializados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Estas topologías de colaboración se clasifican en modelos centralizados, descentralizados, híbridos y secuenciales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Orquestación Centralizada</w:t>
      </w:r>
      <w:r w:rsidDel="00000000" w:rsidR="00000000" w:rsidRPr="00000000">
        <w:rPr>
          <w:rFonts w:ascii="Google Sans" w:cs="Google Sans" w:eastAsia="Google Sans" w:hAnsi="Google Sans"/>
          <w:color w:val="1f1f1f"/>
          <w:rtl w:val="0"/>
        </w:rPr>
        <w:t xml:space="preserve">: Un único agente planificador o administrador coordina la descomposición de tareas, registra subagentes especializados, delega subtareas y agrega los resultados finales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Aunque asegura un alto control operativo y un seguimiento de estado estructurado, introduce riesgos de punto único de fallo y cuellos de botella en la comunicación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Sistemas Descentralizados</w:t>
      </w:r>
      <w:r w:rsidDel="00000000" w:rsidR="00000000" w:rsidRPr="00000000">
        <w:rPr>
          <w:rFonts w:ascii="Google Sans" w:cs="Google Sans" w:eastAsia="Google Sans" w:hAnsi="Google Sans"/>
          <w:color w:val="1f1f1f"/>
          <w:rtl w:val="0"/>
        </w:rPr>
        <w:t xml:space="preserve">: Agentes pares independientes ejecutan tareas de forma concurrente, donde las decisiones finales surgen a través de resultados agregados o mecanismos de votación por mayoría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topología ofrece resiliencia frente a fallas y reduce el sesgo estadístico, pero requiere una compleja validación de consenso para evitar la parálisis en la toma de decisiones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Arquitecturas Híbridas</w:t>
      </w:r>
      <w:r w:rsidDel="00000000" w:rsidR="00000000" w:rsidRPr="00000000">
        <w:rPr>
          <w:rFonts w:ascii="Google Sans" w:cs="Google Sans" w:eastAsia="Google Sans" w:hAnsi="Google Sans"/>
          <w:color w:val="1f1f1f"/>
          <w:rtl w:val="0"/>
        </w:rPr>
        <w:t xml:space="preserve">: Este patrón combina la planificación centralizada con la validación descentralizada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Un nodo centralizado delega tareas de ejecución a trabajadores especializados, los cuales envían sus resultados a un nodo independiente de validación o crítica para garantizar el cumplimiento normativo y la calidad del producto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numPr>
          <w:ilvl w:val="0"/>
          <w:numId w:val="1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Encadenamiento de Instrucciones Secuencial</w:t>
      </w:r>
      <w:r w:rsidDel="00000000" w:rsidR="00000000" w:rsidRPr="00000000">
        <w:rPr>
          <w:rFonts w:ascii="Google Sans" w:cs="Google Sans" w:eastAsia="Google Sans" w:hAnsi="Google Sans"/>
          <w:color w:val="1f1f1f"/>
          <w:rtl w:val="0"/>
        </w:rPr>
        <w:t xml:space="preserve">: Un flujo secuencial donde las salidas de un agente sirven directamente como entradas para el siguiente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 altamente determinista y eficiente para operaciones lineales, pero los errores de ejecución pueden propagarse en cascada a través de las fronteras de cada paso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Evolución del Sistema y Adaptación a Largo Plazo</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sistemas autónomos deben adaptarse a los cambios del entorno y a la retroalimentación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Los mecanismos evolutivos aseguran que los agentes mejoren mediante la autorreflexión, el registro de comportamiento, el etiquetado de versiones y los bucles de corrección basados en retroalimentación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En los patrones de autorreflexión, los agentes revisan sus registros de ejecución para identificar errores antes de la ejecución final de la tarea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arquitectos de sistemas utilizan el registro de comportamiento y las auditorías de datos para rastrear fallos históricos, mientras que el control de versiones etiqueta los estados de los agentes para evitar la desviación de comportamiento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La transición de la ingeniería de instrucciones manual a la coevolución nativa del agente permite que el modelo, la infraestructura de ejecución y los bucles de retroalimentación se optimicen dinámicamente utilizando trazas históricas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Patrón de Colaboración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Topología de Orquestación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Ventajas Operativas Clave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Principales Riesgos del Sistema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Aplicaciones Primarias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Orquestación Centralizada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Nodo planificador único que delega en trabajadores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Alto control operativo, implementación sencilla, seguimiento de estado estructurado</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Punto único de fallo, cuellos de botella en la comunicación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Operaciones de flujos estructurados, tareas de ETL dirigidas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Votación Descentralizada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Nodos de ejecución independientes peer-to-peer</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 resiliencia, redundancia, menor sesgo, alineación de múltiples perspectivas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Alto coste computacional, potencial parálisis de decisión, consenso complejo</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Validación cruzada, consenso de anomalías, comprobaciones estadísticas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Arquitecturas Híbridas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Planificación centralizada con crítica descentralizada</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Latencia equilibrada, validación robusta, límites de ejecución flexibles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Complejidad de diseño, alto coste de integración</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Análisis de señales multimodales, auditoría de cumplimiento normativo</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Encadenamiento de Instrucciones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Flujo de datos lineal secuencial de agente a agente</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Baja latencia, transiciones deterministas, depuración sencilla</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Transiciones de paso frágiles, cascada de errores río abajo</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Puertas de compilación de código, flujos de ETL lineales</w:t>
            </w:r>
          </w:p>
        </w:tc>
      </w:tr>
    </w:tbl>
    <w:p w:rsidR="00000000" w:rsidDel="00000000" w:rsidP="00000000" w:rsidRDefault="00000000" w:rsidRPr="00000000" w14:paraId="000000F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Contexto Empresarial y el Marco de las Tres Rs</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despliegue empresarial de agentes autónomos requiere una distinción clara entre la ingeniería de contexto en la capa de aplicación y la gestión de contexto en la capa de plataforma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La ingeniería de contexto gestiona el formato y la carga de instrucciones en la ventana activa de un modelo durante la inferencia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Por el contrario, la gestión de contexto es una capacidad empresarial que unifica, cura, gobierna y valida los activos de datos a los que acceden los agentes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Sin una gestión de contexto sistemática, los agentes sufren el problema del "arranque en frío", lo que los obliga a redescubrir las estructuras, esquemas y definiciones del sistema con cada nueva sesión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Fundamentos de la Gestión de Contexto</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plataformas de contexto unifican metadatos técnicos, estadísticas operativas y reglas de negocio en un gráfico de contexto centralizado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Contexto Técnico</w:t>
      </w:r>
      <w:r w:rsidDel="00000000" w:rsidR="00000000" w:rsidRPr="00000000">
        <w:rPr>
          <w:rFonts w:ascii="Google Sans" w:cs="Google Sans" w:eastAsia="Google Sans" w:hAnsi="Google Sans"/>
          <w:color w:val="1f1f1f"/>
          <w:rtl w:val="0"/>
        </w:rPr>
        <w:t xml:space="preserve">: Captura parámetros estructurales, incluidos esquemas de bases de datos, tipos de datos de columnas, relaciones de tablas, transformaciones visuales y dependencias de ejecución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Contexto Operativo</w:t>
      </w:r>
      <w:r w:rsidDel="00000000" w:rsidR="00000000" w:rsidRPr="00000000">
        <w:rPr>
          <w:rFonts w:ascii="Google Sans" w:cs="Google Sans" w:eastAsia="Google Sans" w:hAnsi="Google Sans"/>
          <w:color w:val="1f1f1f"/>
          <w:rtl w:val="0"/>
        </w:rPr>
        <w:t xml:space="preserve">: Realiza un seguimiento de parámetros de tiempo de ejecución, como el historial de consultas, la frecuencia de acceso, los SLAs de flujos de datos, los registros de errores de ejecución y las métricas de frescura de los datos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numPr>
          <w:ilvl w:val="0"/>
          <w:numId w:val="1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Contexto de Negocio</w:t>
      </w:r>
      <w:r w:rsidDel="00000000" w:rsidR="00000000" w:rsidRPr="00000000">
        <w:rPr>
          <w:rFonts w:ascii="Google Sans" w:cs="Google Sans" w:eastAsia="Google Sans" w:hAnsi="Google Sans"/>
          <w:color w:val="1f1f1f"/>
          <w:rtl w:val="0"/>
        </w:rPr>
        <w:t xml:space="preserve">: Proporciona metadatos semánticos, como términos del glosario de negocio, documentación de datos, reglas de cumplimiento normativo, clasificaciones de seguridad y registros de propiedad del sistema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Operacionalización de la Relevancia, Fiabilidad y Retención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marco de trabajo de las "Tres Rs" define los criterios fundamentales para la validación del contexto en despliegues de agentes empresariales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6">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Relevancia</w:t>
      </w:r>
      <w:r w:rsidDel="00000000" w:rsidR="00000000" w:rsidRPr="00000000">
        <w:rPr>
          <w:rFonts w:ascii="Google Sans" w:cs="Google Sans" w:eastAsia="Google Sans" w:hAnsi="Google Sans"/>
          <w:color w:val="1f1f1f"/>
          <w:rtl w:val="0"/>
        </w:rPr>
        <w:t xml:space="preserve">: El contexto debe ser oportuno, filtrado y apropiado para la tarea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Introducir esquemas empresariales masivos y sin filtrar en la ventana de un agente genera ruido, incrementa los costes de tokens y degrada el rendimiento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Las plataformas de contexto utilizan la búsqueda semántica y la indexación vectorial para entregar metadatos altamente enfocados y adaptados a la tarea activa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7">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Fiabilidad</w:t>
      </w:r>
      <w:r w:rsidDel="00000000" w:rsidR="00000000" w:rsidRPr="00000000">
        <w:rPr>
          <w:rFonts w:ascii="Google Sans" w:cs="Google Sans" w:eastAsia="Google Sans" w:hAnsi="Google Sans"/>
          <w:color w:val="1f1f1f"/>
          <w:rtl w:val="0"/>
        </w:rPr>
        <w:t xml:space="preserve">: Requiere una procedencia verificable y un seguimiento de linaje de datos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Los agentes deben confirmar que el contexto que recuperan es preciso, está actualizado y proviene de sistemas de origen autorizados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Esta capacidad de rastreo es esencial para las transferencias entre agentes y las auditorías de cumplimiento normativo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Retención</w:t>
      </w:r>
      <w:r w:rsidDel="00000000" w:rsidR="00000000" w:rsidRPr="00000000">
        <w:rPr>
          <w:rFonts w:ascii="Google Sans" w:cs="Google Sans" w:eastAsia="Google Sans" w:hAnsi="Google Sans"/>
          <w:color w:val="1f1f1f"/>
          <w:rtl w:val="0"/>
        </w:rPr>
        <w:t xml:space="preserve">: Garantiza que el estado de la sesión, la memoria conversacional y los patrones aprendidos persistan a lo largo del tiempo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Sin retención, los agentes operan sin contexto histórico, lo que aumenta los costes de computación y dificulta la ejecución de tareas complejas de múltiples pasos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Paradigmas de Evaluación Multinivel</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rendimiento del sistema debe ser evaluado a través de tres dimensiones analíticas para capturar comportamientos no deterministas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B">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 nivel de sesión</w:t>
      </w:r>
      <w:r w:rsidDel="00000000" w:rsidR="00000000" w:rsidRPr="00000000">
        <w:rPr>
          <w:rFonts w:ascii="Google Sans" w:cs="Google Sans" w:eastAsia="Google Sans" w:hAnsi="Google Sans"/>
          <w:color w:val="1f1f1f"/>
          <w:rtl w:val="0"/>
        </w:rPr>
        <w:t xml:space="preserve">: Mide las tasas generales de éxito de los objetivos y el flujo de la conversación a lo largo de interacciones de múltiples turnos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 nivel de traza</w:t>
      </w:r>
      <w:r w:rsidDel="00000000" w:rsidR="00000000" w:rsidRPr="00000000">
        <w:rPr>
          <w:rFonts w:ascii="Google Sans" w:cs="Google Sans" w:eastAsia="Google Sans" w:hAnsi="Google Sans"/>
          <w:color w:val="1f1f1f"/>
          <w:rtl w:val="0"/>
        </w:rPr>
        <w:t xml:space="preserve">: Valida la precisión, utilidad y seguridad de las respuestas individuales dentro del historial de trazas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 nivel de herramienta</w:t>
      </w:r>
      <w:r w:rsidDel="00000000" w:rsidR="00000000" w:rsidRPr="00000000">
        <w:rPr>
          <w:rFonts w:ascii="Google Sans" w:cs="Google Sans" w:eastAsia="Google Sans" w:hAnsi="Google Sans"/>
          <w:color w:val="1f1f1f"/>
          <w:rtl w:val="0"/>
        </w:rPr>
        <w:t xml:space="preserve">: Evalúa la precisión en la selección de herramientas, el formato de parámetros y la secuenciación de la ejecución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analizar las tasas de éxito no deterministas en agentes que utilizan herramientas, los marcos de evaluación emplean métricas como </w:t>
      </w:r>
      <w:r w:rsidDel="00000000" w:rsidR="00000000" w:rsidRPr="00000000">
        <w:rPr>
          <w:rFonts w:ascii="Google Sans" w:cs="Google Sans" w:eastAsia="Google Sans" w:hAnsi="Google Sans"/>
          <w:color w:val="1f1f1f"/>
        </w:rPr>
        <w:drawing>
          <wp:inline distB="19050" distT="19050" distL="19050" distR="19050">
            <wp:extent cx="646907" cy="254521"/>
            <wp:effectExtent b="0" l="0" r="0" t="0"/>
            <wp:docPr id="3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46907" cy="2545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representa la probabilidad de lograr el éxito al menos una vez en </w:t>
      </w:r>
      <w:r w:rsidDel="00000000" w:rsidR="00000000" w:rsidRPr="00000000">
        <w:rPr>
          <w:rFonts w:ascii="Google Sans" w:cs="Google Sans" w:eastAsia="Google Sans" w:hAnsi="Google Sans"/>
          <w:color w:val="1f1f1f"/>
        </w:rPr>
        <w:drawing>
          <wp:inline distB="19050" distT="19050" distL="19050" distR="19050">
            <wp:extent cx="108314" cy="288836"/>
            <wp:effectExtent b="0" l="0" r="0" t="0"/>
            <wp:docPr id="31"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8314" cy="288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intentos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Por el contrario, los sistemas impulsados por la consistencia priorizan la métrica </w:t>
      </w:r>
      <w:r w:rsidDel="00000000" w:rsidR="00000000" w:rsidRPr="00000000">
        <w:rPr>
          <w:rFonts w:ascii="Google Sans" w:cs="Google Sans" w:eastAsia="Google Sans" w:hAnsi="Google Sans"/>
          <w:color w:val="1f1f1f"/>
        </w:rPr>
        <w:drawing>
          <wp:inline distB="19050" distT="19050" distL="19050" distR="19050">
            <wp:extent cx="471620" cy="257247"/>
            <wp:effectExtent b="0" l="0" r="0" t="0"/>
            <wp:docPr id="3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471620" cy="2572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 mide la probabilidad de lograr una ejecución libre de errores en las </w:t>
      </w:r>
      <w:r w:rsidDel="00000000" w:rsidR="00000000" w:rsidRPr="00000000">
        <w:rPr>
          <w:rFonts w:ascii="Google Sans" w:cs="Google Sans" w:eastAsia="Google Sans" w:hAnsi="Google Sans"/>
          <w:color w:val="1f1f1f"/>
        </w:rPr>
        <w:drawing>
          <wp:inline distB="19050" distT="19050" distL="19050" distR="19050">
            <wp:extent cx="108314" cy="288836"/>
            <wp:effectExtent b="0" l="0" r="0" t="0"/>
            <wp:docPr id="3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108314" cy="2888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sesiones consecutivas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Esto se formula de la siguiente manera:</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71113"/>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905500" cy="471113"/>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98557" cy="295671"/>
            <wp:effectExtent b="0" l="0" r="0" t="0"/>
            <wp:docPr id="5"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8557" cy="2956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probabilidad de finalización exitosa en una única ejecución de evaluación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Dimensión del Contexto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Definición Central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Operacionalización Técnica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Consecuencia de la Deficiencia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Plataforma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Relevancia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Entrega de contexto oportuna y adaptada al dominio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Búsqueda semántica, incrustaciones vectoriales, filtrado estructurado</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Patrones obsoletos, ventanas de contexto saturadas, alto coste de tokens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Catálogo de Plataforma de Contexto (DataHub)</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Fiabilidad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Información de confianza con linaje verificable</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Gráficos de linaje a nivel de columna, registros de procedencia, aserciones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Alucinaciones, pérdida de auditabilidad en las decisiones autónomas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APIs de Linaje y Monitores de Aserción</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Retención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Persistencia del estado y del historial de sesión</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Almacenamiento gráfico persistente, puntos de control, serialización</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Limitaciones de "arranque en frío", pérdida de conocimiento institucional</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Base de Datos de Gráficos / Almacén de Estado Cosmos DB</w:t>
            </w:r>
            <w:r w:rsidDel="00000000" w:rsidR="00000000" w:rsidRPr="00000000">
              <w:rPr>
                <w:rFonts w:ascii="Google Sans" w:cs="Google Sans" w:eastAsia="Google Sans" w:hAnsi="Google Sans"/>
                <w:color w:val="444746"/>
                <w:sz w:val="24"/>
                <w:szCs w:val="24"/>
                <w:vertAlign w:val="superscript"/>
                <w:rtl w:val="0"/>
              </w:rPr>
              <w:t xml:space="preserve">20</w:t>
            </w:r>
          </w:p>
        </w:tc>
      </w:tr>
    </w:tbl>
    <w:p w:rsidR="00000000" w:rsidDel="00000000" w:rsidP="00000000" w:rsidRDefault="00000000" w:rsidRPr="00000000" w14:paraId="000001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Protocolo de Contexto de Modelos (MCP) como Estándar de Conectividad</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Protocolo de Contexto de Modelos (MCP) es un marco de integración de estándar abierto que asegura y estandariza las conexiones entre las aplicaciones de modelos de lenguaje y las fuentes de datos externas o herramientas de ejecución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MCP actúa como un adaptador universal, resolviendo el problema de integración </w:t>
      </w:r>
      <w:r w:rsidDel="00000000" w:rsidR="00000000" w:rsidRPr="00000000">
        <w:rPr>
          <w:rFonts w:ascii="Google Sans" w:cs="Google Sans" w:eastAsia="Google Sans" w:hAnsi="Google Sans"/>
          <w:color w:val="1f1f1f"/>
        </w:rPr>
        <w:drawing>
          <wp:inline distB="19050" distT="19050" distL="19050" distR="19050">
            <wp:extent cx="629708" cy="256152"/>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29708" cy="256152"/>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Sin estandarización, integrar </w:t>
      </w:r>
      <w:r w:rsidDel="00000000" w:rsidR="00000000" w:rsidRPr="00000000">
        <w:rPr>
          <w:rFonts w:ascii="Google Sans" w:cs="Google Sans" w:eastAsia="Google Sans" w:hAnsi="Google Sans"/>
          <w:color w:val="1f1f1f"/>
        </w:rPr>
        <w:drawing>
          <wp:inline distB="19050" distT="19050" distL="19050" distR="19050">
            <wp:extent cx="178759" cy="252366"/>
            <wp:effectExtent b="0" l="0" r="0" t="0"/>
            <wp:docPr id="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178759" cy="2523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herramientas de desarrollo con </w:t>
      </w:r>
      <w:r w:rsidDel="00000000" w:rsidR="00000000" w:rsidRPr="00000000">
        <w:rPr>
          <w:rFonts w:ascii="Google Sans" w:cs="Google Sans" w:eastAsia="Google Sans" w:hAnsi="Google Sans"/>
          <w:color w:val="1f1f1f"/>
        </w:rPr>
        <w:drawing>
          <wp:inline distB="19050" distT="19050" distL="19050" distR="19050">
            <wp:extent cx="211502" cy="26716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11502" cy="2671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entornos de ejecución requiere </w:t>
      </w:r>
      <w:r w:rsidDel="00000000" w:rsidR="00000000" w:rsidRPr="00000000">
        <w:rPr>
          <w:rFonts w:ascii="Google Sans" w:cs="Google Sans" w:eastAsia="Google Sans" w:hAnsi="Google Sans"/>
          <w:color w:val="1f1f1f"/>
        </w:rPr>
        <w:drawing>
          <wp:inline distB="19050" distT="19050" distL="19050" distR="19050">
            <wp:extent cx="629708" cy="256152"/>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29708" cy="25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flujos de integración personalizados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MCP simplifica esta estructura de dependencias a conexiones de tipo </w:t>
      </w:r>
      <w:r w:rsidDel="00000000" w:rsidR="00000000" w:rsidRPr="00000000">
        <w:rPr>
          <w:rFonts w:ascii="Google Sans" w:cs="Google Sans" w:eastAsia="Google Sans" w:hAnsi="Google Sans"/>
          <w:color w:val="1f1f1f"/>
        </w:rPr>
        <w:drawing>
          <wp:inline distB="19050" distT="19050" distL="19050" distR="19050">
            <wp:extent cx="629708" cy="256152"/>
            <wp:effectExtent b="0" l="0" r="0" t="0"/>
            <wp:docPr id="1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29708" cy="256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 establecer un contrato de interacción compartido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del Protocolo e Interoperabilidad</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 MCP utiliza mensajes JSON-RPC 2.0 para establecer una comunicación bidireccional segura entre las aplicaciones anfitrionas, los clientes y los servidores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El protocolo separa el cliente de orquestación de los servidores específicos del dominio</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Los servidores MCP exponen tres capacidades primarias a los clientes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A">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Recursos</w:t>
      </w:r>
      <w:r w:rsidDel="00000000" w:rsidR="00000000" w:rsidRPr="00000000">
        <w:rPr>
          <w:rFonts w:ascii="Google Sans" w:cs="Google Sans" w:eastAsia="Google Sans" w:hAnsi="Google Sans"/>
          <w:color w:val="1f1f1f"/>
          <w:rtl w:val="0"/>
        </w:rPr>
        <w:t xml:space="preserve">: Contexto de solo lectura, rutas de archivos locales, esquemas de bases de datos y documentos estructurados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B">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Plantillas</w:t>
      </w:r>
      <w:r w:rsidDel="00000000" w:rsidR="00000000" w:rsidRPr="00000000">
        <w:rPr>
          <w:rFonts w:ascii="Google Sans" w:cs="Google Sans" w:eastAsia="Google Sans" w:hAnsi="Google Sans"/>
          <w:color w:val="1f1f1f"/>
          <w:rtl w:val="0"/>
        </w:rPr>
        <w:t xml:space="preserve">: Plantillas de flujo de trabajo predefinidas y guiadas por parámetros que orientan la interacción del modelo</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C">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Herramientas</w:t>
      </w:r>
      <w:r w:rsidDel="00000000" w:rsidR="00000000" w:rsidRPr="00000000">
        <w:rPr>
          <w:rFonts w:ascii="Google Sans" w:cs="Google Sans" w:eastAsia="Google Sans" w:hAnsi="Google Sans"/>
          <w:color w:val="1f1f1f"/>
          <w:rtl w:val="0"/>
        </w:rPr>
        <w:t xml:space="preserve">: Funciones ejecutables que permiten al cliente realizar acciones en entornos externos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arquitectos configuran estas integraciones utilizando flujos de entrada/salida estándar (stdio) para el aislamiento de procesos locales, o mediante puntos de conexión HTTP utilizando Server-Sent Events (SSE) para soportar transmisiones remotas, bidireccionales y de baja latencia a través de plataformas distribuidas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Eficiencia de Tokens en Ventanas de Contexto y Ejecución de Código</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arquitecturas empresariales complejas, cargar definiciones extensas de herramientas por adelantado puede saturar las ventanas de contexto del modelo e inflar los costes de tokens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Para resolver esto, las plataformas modernas utilizan un patrón de ejecución de código con MCP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En lugar de invocar herramientas individuales directamente, el agente explora un directorio de servidores disponibles y genera código (por ejemplo, en TypeScript o Python) para interactuar con esos servidores mediante APIs programáticas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Este patrón de revelación progresiva mantiene los conjuntos de datos intermedios dentro del entorno de ejecución local, pasando únicamente los resultados finales a la ventana de contexto del modelo</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Esto reduce drásticamente el consumo de tokens, mantiene el aislamiento seguro de los datos y gestiona operaciones complejas de múltiples pasos en un solo ciclo de ejecución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Flujos de Trabajo de Datos Autónomos y Custodia de Datos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arquitecturas de datos modernas utilizan agentes de datos autónomos para gestionar y gobernar activos de datos en lagos y almacenes de datos complejos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La implementación de estos flujos de trabajo automatizados requiere una separación clara de las funciones técnicas y de gobierno para mantener la integridad operativa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Administradores de Datos frente a Custodios de Datos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del sistema depende de la distinción de las responsabilidades operativas de los propietarios de datos, los administradores de datos y los custodios de datos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Propietarios de Datos</w:t>
      </w:r>
      <w:r w:rsidDel="00000000" w:rsidR="00000000" w:rsidRPr="00000000">
        <w:rPr>
          <w:rFonts w:ascii="Google Sans" w:cs="Google Sans" w:eastAsia="Google Sans" w:hAnsi="Google Sans"/>
          <w:color w:val="1f1f1f"/>
          <w:rtl w:val="0"/>
        </w:rPr>
        <w:t xml:space="preserve">: Líderes sénior que definen políticas de datos, establecen pautas de cumplimiento normativo y autorizan privilegios de acceso</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Administradores de Datos</w:t>
      </w:r>
      <w:r w:rsidDel="00000000" w:rsidR="00000000" w:rsidRPr="00000000">
        <w:rPr>
          <w:rFonts w:ascii="Google Sans" w:cs="Google Sans" w:eastAsia="Google Sans" w:hAnsi="Google Sans"/>
          <w:color w:val="1f1f1f"/>
          <w:rtl w:val="0"/>
        </w:rPr>
        <w:t xml:space="preserve">: Usuarios operativos responsables de la calidad de los datos, la consistencia, las reglas de validación, la curación del glosario de negocio y el enriquecimiento de metadatos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Custodios de Datos</w:t>
      </w:r>
      <w:r w:rsidDel="00000000" w:rsidR="00000000" w:rsidRPr="00000000">
        <w:rPr>
          <w:rFonts w:ascii="Google Sans" w:cs="Google Sans" w:eastAsia="Google Sans" w:hAnsi="Google Sans"/>
          <w:color w:val="1f1f1f"/>
          <w:rtl w:val="0"/>
        </w:rPr>
        <w:t xml:space="preserve">: Especialistas técnicos que gestionan sistemas de almacenamiento, configuran entornos de bases de datos, aplican seguridad de red y ejecutan copias de seguridad de datos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Escritura Directa Autónoma y Orquestación de Copia Cero</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Históricamente, los administradores y custodios de datos realizaban sus tareas manualmente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Las arquitecturas modernas automatizan estas tareas mediante agentes autónomos integrados con plataformas de metadatos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 patrón destacado es el Administrador de Datos Autónomo impulsado por Gemini</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Operando sobre un catálogo de metadatos de copia cero (como Google Cloud Dataplex), el agente procesa punteros de metadatos en lugar de copiar grandes conjuntos de datos físicos, reduciendo los requisitos de almacenamiento hasta en un 70%</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El agente traduce peticiones en lenguaje natural (por ejemplo, identificando componentes de métricas específicos) en activos físicos y entradas de catálogo</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Si un conjunto de datos solicitado no existe, el agente genera y ejecuta automáticamente código ETL en Python a través de Dataproc para construir y validar los activos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mantener la calidad de los metadatos, los agentes autónomos utilizan capacidades de escritura directa (write-back) en lugar de actuar como interfaces de solo lectura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Cuando un agente identifica brechas en los esquemas, clasificaciones faltantes o activos no documentados, ejecuta acciones directas de escritura de metadatos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Generación de Documentación</w:t>
      </w:r>
      <w:r w:rsidDel="00000000" w:rsidR="00000000" w:rsidRPr="00000000">
        <w:rPr>
          <w:rFonts w:ascii="Google Sans" w:cs="Google Sans" w:eastAsia="Google Sans" w:hAnsi="Google Sans"/>
          <w:color w:val="1f1f1f"/>
          <w:rtl w:val="0"/>
        </w:rPr>
        <w:t xml:space="preserve">: Los agentes analizan el historial de consultas y los patrones de datos para redactar descripciones de tablas y columnas, escribiéndolas en el catálogo para la revisión del administrador</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Curación del Glosario</w:t>
      </w:r>
      <w:r w:rsidDel="00000000" w:rsidR="00000000" w:rsidRPr="00000000">
        <w:rPr>
          <w:rFonts w:ascii="Google Sans" w:cs="Google Sans" w:eastAsia="Google Sans" w:hAnsi="Google Sans"/>
          <w:color w:val="1f1f1f"/>
          <w:rtl w:val="0"/>
        </w:rPr>
        <w:t xml:space="preserve">: Cuando los usuarios realizan consultas sobre términos de negocio no documentados, el agente propone nuevos términos estandarizados para el glosario al consejo de gobierno de datos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Propagación de Etiquetas</w:t>
      </w:r>
      <w:r w:rsidDel="00000000" w:rsidR="00000000" w:rsidRPr="00000000">
        <w:rPr>
          <w:rFonts w:ascii="Google Sans" w:cs="Google Sans" w:eastAsia="Google Sans" w:hAnsi="Google Sans"/>
          <w:color w:val="1f1f1f"/>
          <w:rtl w:val="0"/>
        </w:rPr>
        <w:t xml:space="preserve">: El agente sugiere etiquetas de clasificación y políticas basadas en la semántica de la consulta, identificando automáticamente información sensible o PII para evitar riesgos de cumplimiento normativo</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Nivel de Responsabilidad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Enfoque Técnico Principal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Orientación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Responsabilidades Clave del Sistema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Herramientas Operativas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Propietario de Datos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Alineación Estratégica</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Diseño de políticas, cumplimiento normativo, perfil de riesgo, permisos de acceso</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Orientado a resultados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Clasificación de categorías de datos, definición de límites de acceso</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Políticas de IAM, registros de catálogos</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Administrador de Datos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Calidad Operativa</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Precisión de datos, definiciones consistentes de glosario, integridad de metadatos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Orientado a tareas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Estandarización de definiciones, perfilado de datos, enriquecimiento de metadatos</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Glosarios de negocio, herramientas de perfilado</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Custodio de Datos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Infraestructura del Sistema</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Configuración de almacenamiento, tuberías de cifrado, copias de seguridad</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Orientado a la seguridad</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Aplicación de estándares de cifrado, configuración de controles de red</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Consolas de almacenamiento, administración de BD</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Agente Autónomo</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Acción Operativa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Orquestación de consultas copia cero, compilación de código, escritura de metadatos</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Orientado a la ejecución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Propuesta de términos de glosario, auto-generación de ETL, resolución de desviación</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Servidores MCP, herramientas de compilación dbt</w:t>
            </w:r>
            <w:r w:rsidDel="00000000" w:rsidR="00000000" w:rsidRPr="00000000">
              <w:rPr>
                <w:rFonts w:ascii="Google Sans" w:cs="Google Sans" w:eastAsia="Google Sans" w:hAnsi="Google Sans"/>
                <w:color w:val="444746"/>
                <w:sz w:val="24"/>
                <w:szCs w:val="24"/>
                <w:vertAlign w:val="superscript"/>
                <w:rtl w:val="0"/>
              </w:rPr>
              <w:t xml:space="preserve">42</w:t>
            </w:r>
          </w:p>
        </w:tc>
      </w:tr>
    </w:tbl>
    <w:p w:rsidR="00000000" w:rsidDel="00000000" w:rsidP="00000000" w:rsidRDefault="00000000" w:rsidRPr="00000000" w14:paraId="000001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Código Basada en Metadatos y Validación Previa</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agentes de tipo Texto a SQL a menudo tienen dificultades en entornos de producción porque generan consultas basadas en descripciones de esquemas estáticas y sin contexto</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Para evitar errores de compilación y consultas incorrectas, las arquitecturas modernas utilizan detalles de esquemas en tiempo real y datos de linaje activos a través de bucles de validación previa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Orquestación Local y Remota con dbt y Airflow</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bucles de desarrollo basados en metadatos combinan modelos de lenguaje con Google ADK (Agent Development Kit), el servidor MCP de dbt y el motor de compilación dbt Fusion</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Google ADK coordina subagentes especializados, mientras que el servidor MCP de dbt actúa como la interfaz central para acceder a las definiciones de proyectos, conexiones de bases de datos y capas semánticas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        1. Request Context        +------------------+</w:t>
        <w:br w:type="textWrapping"/>
        <w:t xml:space="preserve">  |    AI Agent       |&lt;================================&gt;|  dbt MCP Server  |</w:t>
        <w:br w:type="textWrapping"/>
        <w:t xml:space="preserve">  |  (Gemini / ADK)   |                                  | (Fusion Engine)  |</w:t>
        <w:br w:type="textWrapping"/>
        <w:t xml:space="preserve">  +---------+---------+                                  +--------+---------+</w:t>
        <w:br w:type="textWrapping"/>
        <w:t xml:space="preserve">            |                                                     |</w:t>
        <w:br w:type="textWrapping"/>
        <w:t xml:space="preserve">            | 2. Generate dbt SQL Code                            | 3. Validate SQL</w:t>
        <w:br w:type="textWrapping"/>
        <w:t xml:space="preserve">            |                                                     |  (No DB Hit)</w:t>
        <w:br w:type="textWrapping"/>
        <w:t xml:space="preserve">            |                                                     v</w:t>
        <w:br w:type="textWrapping"/>
        <w:t xml:space="preserve">            +--------------------------------------------&gt; [ dbt_compile ]</w:t>
        <w:br w:type="textWrapping"/>
        <w:t xml:space="preserve">                                                                  |</w:t>
        <w:br w:type="textWrapping"/>
        <w:t xml:space="preserve">                                                                  | 4. Return Structured Logs</w:t>
        <w:br w:type="textWrapping"/>
        <w:t xml:space="preserve">                                                                  |    (Errors/Warnings)</w:t>
        <w:br w:type="textWrapping"/>
        <w:t xml:space="preserve">                                                                  v</w:t>
        <w:br w:type="textWrapping"/>
        <w:t xml:space="preserve">  +-------------------+                                  +--------+---------+</w:t>
        <w:br w:type="textWrapping"/>
        <w:t xml:space="preserve">  |  Self-Correction  |&lt;=================================|   Compilation    |</w:t>
        <w:br w:type="textWrapping"/>
        <w:t xml:space="preserve">  |    Loop Active    |      5. Parse Logs &amp; Re-compile  |  Success/Failure |</w:t>
        <w:br w:type="textWrapping"/>
        <w:t xml:space="preserve">  +-------------------+                                  +------------------+</w:t>
        <w:br w:type="textWrapping"/>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Durante la ejecución, el agente genera una consulta o modelo SQL e inicia una comprobación local previa utilizando la herramienta dbt_compile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 motor dbt Fusion analiza y compila el código localmente, validando la sintaxis, resolviendo las definiciones del modelo y verificando las dependencias en el gráfico del proyecto sin realizar consultas al almacén físico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Si la compilación falla, el compilador devuelve registros estructurados en formato JSON al agente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El agente analiza estos registros, diagnostica el error y refina automáticamente el código hasta que la compilación se completa con éxito</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Bucles de Validación Previa de SQL</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extender estas capacidades a la orquestación de flujos de trabajo, el servidor astro-airflow-mcp de Astronomer estandariza cómo interactúan los agentes con los entornos de Apache Airflow</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Al ejecutarse de forma independiente o como un complemento directo del servidor web, este servidor expone las APIs REST de Airflow a los agentes como herramientas estándar</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El servidor traduce las operaciones en herramientas como explore_dag y diagnose_dag_run</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Análisis de DAGs</w:t>
      </w:r>
      <w:r w:rsidDel="00000000" w:rsidR="00000000" w:rsidRPr="00000000">
        <w:rPr>
          <w:rFonts w:ascii="Google Sans" w:cs="Google Sans" w:eastAsia="Google Sans" w:hAnsi="Google Sans"/>
          <w:color w:val="1f1f1f"/>
          <w:rtl w:val="0"/>
        </w:rPr>
        <w:t xml:space="preserve">: El agente ejecuta explore_dag para analizar metadatos, tareas estructurales y configuraciones de origen en una sola llamada, evitando un contexto fragmentado</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Diagnóstico de Ejecuciones</w:t>
      </w:r>
      <w:r w:rsidDel="00000000" w:rsidR="00000000" w:rsidRPr="00000000">
        <w:rPr>
          <w:rFonts w:ascii="Google Sans" w:cs="Google Sans" w:eastAsia="Google Sans" w:hAnsi="Google Sans"/>
          <w:color w:val="1f1f1f"/>
          <w:rtl w:val="0"/>
        </w:rPr>
        <w:t xml:space="preserve">: Si una tubería de datos falla, diagnose_dag_run recupera los detalles de la ejecución, identifica las instancias de tareas fallidas y extrae los registros de ejecución para la resolución de problemas por parte del agente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servidor utiliza un patrón de adaptador para soportar tanto Airflow 2.x como 3.x, y cuenta con validación de esquemas con códigos de error estructurados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Los errores devuelven indicadores específicos que señalan si un problema es reintentable (por ejemplo, tiempos de espera de red o bloqueos de recursos) o un bloqueo definitivo (por ejemplo, fallos de autenticación), lo que permite a los agentes tomar decisiones de ejecución informadas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Protección y Observabilidad del Aprendizaje Automático en Producción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Las tuberías de aprendizaje automático en producción son altamente vulnerables a la degradación silenciosa de datos, variaciones estadísticas y modificaciones de esquemas. Sin un monitoreo robusto, las características de los datos entrantes pueden desviarse, degradando el rendimiento del modelo sin activar las alertas estándar de la infraestructura.</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Fallos Silenciosos en Flujos de Datos y Mitigación de la Desviación de Esquemas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desviación de esquemas ocurre cuando la estructura de la base de datos cambia, como al modificar nombres de columnas, eliminar variables o cambiar tipos de datos, lo que puede romper las tablas río abajo y los modelos semánticos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Un patrón eficaz para abordar esto es el patrón de detección de desviación de esquemas basado en agentes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lugar de esperar a que fallen los paneles de visualización, este patrón monitorea las estructuras de las bases de datos y mapea la desviación de esquemas a lo largo de todo el linaje</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50738"/>
            <wp:effectExtent b="0" l="0" r="0" t="0"/>
            <wp:docPr id="1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05500" cy="55073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un nombre de columna cambia río arriba, la herramienta de detección recorre el gráfico de linaje para localizar cada vista dependiente, medida semántica e informe afectado</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Un agente impulsado por Claude revisa el cambio, evalúa la gravedad del impacto en el negocio y crea automáticamente una rama en Git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El agente aplica reemplazos de texto directos a los archivos de configuración subyacentes en Git y abre una solicitud de extracción (PR) automatizada para corregir las referencias rotas a lo largo de la tubería</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Detección de Filtración de Objetivos y Linaje de Características</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filtración de objetivos ocurre cuando las características utilizadas durante el entrenamiento del modelo incorporan datos que no están de otra manera disponibles durante la inferencia, o variables que sirven como sustitutos directos de la etiqueta objetivo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Para evitar la filtración de objetivos, las plataformas de aprendizaje automático utilizan almacenes de características corregidos en el tiempo y un seguimiento del linaje a nivel de columna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arquitectos de sistemas utilizan la división temporal en lugar de la validación cruzada aleatoria, asegurando que los conjuntos de datos de entrenamiento solo incluyan información anterior a la marca de tiempo de la predicción</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El mapeo de linaje verifica que las variables objetivo no fluyan hacia atrás en las características de entrenamiento</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monitorear estas características, el sistema ejecuta pruebas estadísticas sobre las distribuciones de datos entrantes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Por ejemplo, el estadístico de la prueba de Kolmogorov-Smirnov </w:t>
      </w:r>
      <w:r w:rsidDel="00000000" w:rsidR="00000000" w:rsidRPr="00000000">
        <w:rPr>
          <w:rFonts w:ascii="Google Sans" w:cs="Google Sans" w:eastAsia="Google Sans" w:hAnsi="Google Sans"/>
          <w:color w:val="1f1f1f"/>
        </w:rPr>
        <w:drawing>
          <wp:inline distB="19050" distT="19050" distL="19050" distR="19050">
            <wp:extent cx="167514" cy="251271"/>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7514" cy="251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mide la divergencia entre las distribuciones de entrenamiento e inferencia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37467"/>
            <wp:effectExtent b="0" l="0" r="0" t="0"/>
            <wp:docPr id="1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05500" cy="537467"/>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donde </w:t>
      </w:r>
      <w:r w:rsidDel="00000000" w:rsidR="00000000" w:rsidRPr="00000000">
        <w:rPr>
          <w:rFonts w:ascii="Google Sans" w:cs="Google Sans" w:eastAsia="Google Sans" w:hAnsi="Google Sans"/>
          <w:color w:val="1f1f1f"/>
        </w:rPr>
        <w:drawing>
          <wp:inline distB="19050" distT="19050" distL="19050" distR="19050">
            <wp:extent cx="468974" cy="255804"/>
            <wp:effectExtent b="0" l="0" r="0" t="0"/>
            <wp:docPr id="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68974" cy="255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representa la función de distribución acumulativa de referencia de las características de entrenamiento, y </w:t>
      </w:r>
      <w:r w:rsidDel="00000000" w:rsidR="00000000" w:rsidRPr="00000000">
        <w:rPr>
          <w:rFonts w:ascii="Google Sans" w:cs="Google Sans" w:eastAsia="Google Sans" w:hAnsi="Google Sans"/>
          <w:color w:val="1f1f1f"/>
        </w:rPr>
        <w:drawing>
          <wp:inline distB="19050" distT="19050" distL="19050" distR="19050">
            <wp:extent cx="468974" cy="255804"/>
            <wp:effectExtent b="0" l="0" r="0" t="0"/>
            <wp:docPr id="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68974" cy="255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denota la función de distribución empírica de las características de inferencia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 Si </w:t>
      </w:r>
      <w:r w:rsidDel="00000000" w:rsidR="00000000" w:rsidRPr="00000000">
        <w:rPr>
          <w:rFonts w:ascii="Google Sans" w:cs="Google Sans" w:eastAsia="Google Sans" w:hAnsi="Google Sans"/>
          <w:color w:val="1f1f1f"/>
        </w:rPr>
        <w:drawing>
          <wp:inline distB="19050" distT="19050" distL="19050" distR="19050">
            <wp:extent cx="167514" cy="251271"/>
            <wp:effectExtent b="0" l="0" r="0" t="0"/>
            <wp:docPr id="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67514" cy="2512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supera un umbral calibrado, el agente marca una desviación estadística, bloquea el flujo de trabajo y alerta al equipo de ingeniería</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Tipo de Vulnerabilidad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Mecanismo de Detección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Estrategia de Mitigación Primaria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 del Mapeo de Linaje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Impacto de la Deficiencia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Desviación de Esquema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Comparaciones estructurales en tiempo real</w:t>
            </w:r>
            <w:r w:rsidDel="00000000" w:rsidR="00000000" w:rsidRPr="00000000">
              <w:rPr>
                <w:rFonts w:ascii="Google Sans" w:cs="Google Sans" w:eastAsia="Google Sans" w:hAnsi="Google Sans"/>
                <w:color w:val="444746"/>
                <w:sz w:val="24"/>
                <w:szCs w:val="24"/>
                <w:vertAlign w:val="superscript"/>
                <w:rtl w:val="0"/>
              </w:rPr>
              <w:t xml:space="preserve">47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Ajustes dinámicos de código, solicitudes de extracción automáticas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Mapea rupturas desde la tabla origen hasta los informes</w:t>
            </w:r>
            <w:r w:rsidDel="00000000" w:rsidR="00000000" w:rsidRPr="00000000">
              <w:rPr>
                <w:rFonts w:ascii="Google Sans" w:cs="Google Sans" w:eastAsia="Google Sans" w:hAnsi="Google Sans"/>
                <w:color w:val="444746"/>
                <w:sz w:val="24"/>
                <w:szCs w:val="24"/>
                <w:vertAlign w:val="superscript"/>
                <w:rtl w:val="0"/>
              </w:rPr>
              <w:t xml:space="preserve">50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Fallas silenciosas en paneles, errores de ejecución</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Filtración de Objetivos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Comprobaciones de correlación estadística entre características y etiquetas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Divisiones temporales, almacenes de características con marcas de tiempo</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Rastrea si las características de entrenamiento incorporan métricas futuras</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Modelos sobreajustados, degradación del rendimiento en producción</w:t>
            </w:r>
            <w:r w:rsidDel="00000000" w:rsidR="00000000" w:rsidRPr="00000000">
              <w:rPr>
                <w:rFonts w:ascii="Google Sans" w:cs="Google Sans" w:eastAsia="Google Sans" w:hAnsi="Google Sans"/>
                <w:color w:val="444746"/>
                <w:sz w:val="24"/>
                <w:szCs w:val="24"/>
                <w:vertAlign w:val="superscript"/>
                <w:rtl w:val="0"/>
              </w:rPr>
              <w:t xml:space="preserve">47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Fallo Silencioso de Flujos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Seguimiento de anomalías en volúmenes y SLAs de frescura</w:t>
            </w:r>
            <w:r w:rsidDel="00000000" w:rsidR="00000000" w:rsidRPr="00000000">
              <w:rPr>
                <w:rFonts w:ascii="Google Sans" w:cs="Google Sans" w:eastAsia="Google Sans" w:hAnsi="Google Sans"/>
                <w:color w:val="444746"/>
                <w:sz w:val="24"/>
                <w:szCs w:val="24"/>
                <w:vertAlign w:val="superscript"/>
                <w:rtl w:val="0"/>
              </w:rPr>
              <w:t xml:space="preserve">48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Clasificación automática de ejecuciones, enrutamiento de alertas</w:t>
            </w:r>
            <w:r w:rsidDel="00000000" w:rsidR="00000000" w:rsidRPr="00000000">
              <w:rPr>
                <w:rFonts w:ascii="Google Sans" w:cs="Google Sans" w:eastAsia="Google Sans" w:hAnsi="Google Sans"/>
                <w:color w:val="444746"/>
                <w:sz w:val="24"/>
                <w:szCs w:val="24"/>
                <w:vertAlign w:val="superscript"/>
                <w:rtl w:val="0"/>
              </w:rPr>
              <w:t xml:space="preserve">44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Rastrea bloqueos desde la tubería origen hasta los reportes río abajo</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Predicciones obsoletas entregadas a sistemas clientes</w:t>
            </w:r>
            <w:r w:rsidDel="00000000" w:rsidR="00000000" w:rsidRPr="00000000">
              <w:rPr>
                <w:rFonts w:ascii="Google Sans" w:cs="Google Sans" w:eastAsia="Google Sans" w:hAnsi="Google Sans"/>
                <w:color w:val="444746"/>
                <w:sz w:val="24"/>
                <w:szCs w:val="24"/>
                <w:vertAlign w:val="superscript"/>
                <w:rtl w:val="0"/>
              </w:rPr>
              <w:t xml:space="preserve">47</w:t>
            </w:r>
          </w:p>
        </w:tc>
      </w:tr>
    </w:tbl>
    <w:p w:rsidR="00000000" w:rsidDel="00000000" w:rsidP="00000000" w:rsidRDefault="00000000" w:rsidRPr="00000000" w14:paraId="0000018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Sistemas Multiagente Grounded y Gráficos de Conocimiento Compartidos</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evitar alucinaciones en tareas complejas y no deterministas, las plataformas de agentes modernas basan la ejecución en gráficos de conocimiento compartidos en lugar de instrucciones aisladas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Los gráficos de conocimiento compartidos sirven como un sustrato estructurado, permitiendo que múltiples agentes accedan, escriban y sincronicen el contexto utilizando un modelo de gráfico unificado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Arquitecturas Neuro-Simbólicas</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Sistemas Multiagente Metacognitivos (MMAS) de escala industrial integran modelos neuronales de aprendizaje profundo con sistemas de lógica simbólica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Estas arquitecturas híbridas aprovechan la flexibilidad de los modelos de lenguaje junto con la precisión de la lógica formal y los gráficos de conocimiento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utiliza un bucle de Monitorear-Generar-Razonar (MGR) gestionado por un agente planificador metacognitivo</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El Agente Monitor mapea las peticiones entrantes a restricciones semánticas definidas, identificando qué subtareas se pueden generar probabilísticamente y cuáles requieren una validación lógica estricta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Este mapeo traduce las consultas en lenguaje natural en gráficos simbólicos estructurados, lo que permite a los agentes verificar las rutas de ejecución contra las reglas corporativas y ontologías antes de realizar acciones en el mundo real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w:t>
        <w:br w:type="textWrapping"/>
        <w:t xml:space="preserve">                  |        User Input Query           |</w:t>
        <w:br w:type="textWrapping"/>
        <w:t xml:space="preserve">                  +-----------------+-----------------+</w:t>
        <w:br w:type="textWrapping"/>
        <w:t xml:space="preserve">                                    |</w:t>
        <w:br w:type="textWrapping"/>
        <w:t xml:space="preserve">                                    v</w:t>
        <w:br w:type="textWrapping"/>
        <w:t xml:space="preserve">                  +-----------------+-----------------+</w:t>
        <w:br w:type="textWrapping"/>
        <w:t xml:space="preserve">                  |          Monitor Agent            |</w:t>
        <w:br w:type="textWrapping"/>
        <w:t xml:space="preserve">                  |     (Ontological Mapping)         |</w:t>
        <w:br w:type="textWrapping"/>
        <w:t xml:space="preserve">                  +-----------------+-----------------+</w:t>
        <w:br w:type="textWrapping"/>
        <w:t xml:space="preserve">                                    |</w:t>
        <w:br w:type="textWrapping"/>
        <w:t xml:space="preserve">         +--------------------------+--------------------------+</w:t>
        <w:br w:type="textWrapping"/>
        <w:t xml:space="preserve">         |                                                     |</w:t>
        <w:br w:type="textWrapping"/>
        <w:t xml:space="preserve">         v (Neural / Fluid Path)                               v (Symbolic / Rigid Path)</w:t>
        <w:br w:type="textWrapping"/>
        <w:t xml:space="preserve">  +------+------+                                       +------+------+</w:t>
        <w:br w:type="textWrapping"/>
        <w:t xml:space="preserve">  | Generative  |                                       | Knowledge   |</w:t>
        <w:br w:type="textWrapping"/>
        <w:t xml:space="preserve">  | Model (LLM) |                                       | Graph (SSG) |</w:t>
        <w:br w:type="textWrapping"/>
        <w:t xml:space="preserve">  +------+------+                                       +------+------+</w:t>
        <w:br w:type="textWrapping"/>
        <w:t xml:space="preserve">         |                                                     |</w:t>
        <w:br w:type="textWrapping"/>
        <w:t xml:space="preserve">         +--------------------------+--------------------------+</w:t>
        <w:br w:type="textWrapping"/>
        <w:t xml:space="preserve">                                    |</w:t>
        <w:br w:type="textWrapping"/>
        <w:t xml:space="preserve">                                    v</w:t>
        <w:br w:type="textWrapping"/>
        <w:t xml:space="preserve">                  +-----------------+-----------------+</w:t>
        <w:br w:type="textWrapping"/>
        <w:t xml:space="preserve">                  |       Response Synthesizer        |</w:t>
        <w:br w:type="textWrapping"/>
        <w:t xml:space="preserve">                  |      (Verified Ground Truth)      |</w:t>
        <w:br w:type="textWrapping"/>
        <w:t xml:space="preserve">                  +-----------------------------------+</w:t>
        <w:br w:type="textWrapping"/>
      </w:r>
    </w:p>
    <w:p w:rsidR="00000000" w:rsidDel="00000000" w:rsidP="00000000" w:rsidRDefault="00000000" w:rsidRPr="00000000" w14:paraId="000001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Gráficos Persistentes como Sustratos Cognitivos</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Los gráficos de conocimiento persistentes actúan como una capa de memoria compartida, permitiendo que los agentes colaboren de manera fluida sin perder el contexto de la sesión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Gráficos de Respuesta a Incidentes</w:t>
      </w:r>
      <w:r w:rsidDel="00000000" w:rsidR="00000000" w:rsidRPr="00000000">
        <w:rPr>
          <w:rFonts w:ascii="Google Sans" w:cs="Google Sans" w:eastAsia="Google Sans" w:hAnsi="Google Sans"/>
          <w:color w:val="1f1f1f"/>
          <w:rtl w:val="0"/>
        </w:rPr>
        <w:t xml:space="preserve">: En la ingeniería de fiabilidad de infraestructura (SRE), las plataformas de soporte modelan las dependencias complejas del sistema mapeando nodos (servicios, pods, clústeres, temas de Kafka, bases de datos) y bordes (flujos de tráfico, linajes de datos, propiedad y rutas de conmutación por error)</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Cuando ocurren anomalías de rendimiento, el sistema agrupa de manera autónoma las alertas entrantes, identifica la causa raíz mediante el linaje y ejecuta flujos de recuperación automatizados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Gráficos de Descubrimiento Científico</w:t>
      </w:r>
      <w:r w:rsidDel="00000000" w:rsidR="00000000" w:rsidRPr="00000000">
        <w:rPr>
          <w:rFonts w:ascii="Google Sans" w:cs="Google Sans" w:eastAsia="Google Sans" w:hAnsi="Google Sans"/>
          <w:color w:val="1f1f1f"/>
          <w:rtl w:val="0"/>
        </w:rPr>
        <w:t xml:space="preserve">: Sistemas como scAgents utilizan gráficos de conocimiento persistentes para guiar el análisis automatizado de biología de células individuales y mutaciones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Agentes con roles especializados analizan de forma colaborativa los datos de referencia, recuperan la literatura científica relevante y diseñan nuevos modelos predictivos para perturbaciones genómicas complejas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Gráficos de Plataformas de Desarrollo</w:t>
      </w:r>
      <w:r w:rsidDel="00000000" w:rsidR="00000000" w:rsidRPr="00000000">
        <w:rPr>
          <w:rFonts w:ascii="Google Sans" w:cs="Google Sans" w:eastAsia="Google Sans" w:hAnsi="Google Sans"/>
          <w:color w:val="1f1f1f"/>
          <w:rtl w:val="0"/>
        </w:rPr>
        <w:t xml:space="preserve">: Sistemas como Agent-MCP coordinan complejas tareas de desarrollo utilizando un gráfico de conocimiento persistente, previniendo conflictos en el código de producción al bloquear archivos específicos de forma automatizada y manteniendo la consistencia de la memoria a través de las sesiones de los programadores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Recomendaciones Arquitectónicas Estratégicas</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construir infraestructuras de datos automatizadas de nivel industrial, los equipos de ingeniería de sistemas deben adoptar los siguientes patrones de diseño:</w:t>
      </w:r>
    </w:p>
    <w:p w:rsidR="00000000" w:rsidDel="00000000" w:rsidP="00000000" w:rsidRDefault="00000000" w:rsidRPr="00000000" w14:paraId="0000019E">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Desplegar Arquitecturas de Pasarela Estandarizadas</w:t>
      </w:r>
      <w:r w:rsidDel="00000000" w:rsidR="00000000" w:rsidRPr="00000000">
        <w:rPr>
          <w:rFonts w:ascii="Google Sans" w:cs="Google Sans" w:eastAsia="Google Sans" w:hAnsi="Google Sans"/>
          <w:color w:val="1f1f1f"/>
          <w:rtl w:val="0"/>
        </w:rPr>
        <w:t xml:space="preserve">: Estandarizar en el Protocolo de Contexto de Modelos (MCP) para gestionar de forma segura todas las integraciones de herramientas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Las organizaciones deben implementar pasarelas MCP centralizadas que admitan políticas de seguridad avanzadas, control de acceso basado en roles (RBAC) y auditorías detalladas de ejecución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F">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Desacoplar la Ejecución mediante Agentes de Generación de Código</w:t>
      </w:r>
      <w:r w:rsidDel="00000000" w:rsidR="00000000" w:rsidRPr="00000000">
        <w:rPr>
          <w:rFonts w:ascii="Google Sans" w:cs="Google Sans" w:eastAsia="Google Sans" w:hAnsi="Google Sans"/>
          <w:color w:val="1f1f1f"/>
          <w:rtl w:val="0"/>
        </w:rPr>
        <w:t xml:space="preserve">: Implementar patrones de escritura de código con el protocolo MCP para optimizar el consumo de tokens y asegurar el procesamiento de datos corporativos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Al mantener los conjuntos de datos intermedios en un entorno local aislado de ejecución, se garantiza que solo las salidas validadas y finales vuelvan al LLM principal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Implementar Plataformas de Contexto</w:t>
      </w:r>
      <w:r w:rsidDel="00000000" w:rsidR="00000000" w:rsidRPr="00000000">
        <w:rPr>
          <w:rFonts w:ascii="Google Sans" w:cs="Google Sans" w:eastAsia="Google Sans" w:hAnsi="Google Sans"/>
          <w:color w:val="1f1f1f"/>
          <w:rtl w:val="0"/>
        </w:rPr>
        <w:t xml:space="preserve">: Utilizar plataformas de contexto empresariales para unificar las capas de información técnica, operativa y de negocio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Esto evita el arranque en frío y proporciona a los agentes las bases semánticas necesarias para responder con relevancia, fiabilidad y retención de memoria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Establecer Bucles de Escritura Activos</w:t>
      </w:r>
      <w:r w:rsidDel="00000000" w:rsidR="00000000" w:rsidRPr="00000000">
        <w:rPr>
          <w:rFonts w:ascii="Google Sans" w:cs="Google Sans" w:eastAsia="Google Sans" w:hAnsi="Google Sans"/>
          <w:color w:val="1f1f1f"/>
          <w:rtl w:val="0"/>
        </w:rPr>
        <w:t xml:space="preserve">: Transicionar las plataformas de metadatos de un estado pasivo y de solo lectura a un esquema de bucle activo con escritura directa (write-back)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Permitir que los agentes sugieran documentación, propongan nuevos términos de negocio y etiqueten datos sensibles ayuda a reducir la deuda de metadatos del negocio de manera continua y autónoma</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Enforce de Validación Neuro-Simbólica</w:t>
      </w:r>
      <w:r w:rsidDel="00000000" w:rsidR="00000000" w:rsidRPr="00000000">
        <w:rPr>
          <w:rFonts w:ascii="Google Sans" w:cs="Google Sans" w:eastAsia="Google Sans" w:hAnsi="Google Sans"/>
          <w:color w:val="1f1f1f"/>
          <w:rtl w:val="0"/>
        </w:rPr>
        <w:t xml:space="preserve">: Groundear de manera estricta las decisiones críticas del negocio utilizando bucles de Monitorear-Generar-Razonar (MGR) sobre gráficos de conocimiento estructurados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Este patrón de diseño proporciona una capa determinista de validación simbólica que previene alucinaciones y mitiga los riesgos en entornos corporativos de alta responsabilidad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A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Fuentes citadas</w:t>
      </w:r>
    </w:p>
    <w:p w:rsidR="00000000" w:rsidDel="00000000" w:rsidP="00000000" w:rsidRDefault="00000000" w:rsidRPr="00000000" w14:paraId="000001A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Question Answering to Task Completion: A Survey on Agent System and Harness Design - Preprints.org, </w:t>
      </w:r>
      <w:hyperlink r:id="rId20">
        <w:r w:rsidDel="00000000" w:rsidR="00000000" w:rsidRPr="00000000">
          <w:rPr>
            <w:rFonts w:ascii="Google Sans" w:cs="Google Sans" w:eastAsia="Google Sans" w:hAnsi="Google Sans"/>
            <w:color w:val="0000ee"/>
            <w:sz w:val="24"/>
            <w:szCs w:val="24"/>
            <w:u w:val="single"/>
            <w:rtl w:val="0"/>
          </w:rPr>
          <w:t xml:space="preserve">https://www.preprints.org/manuscript/202606.1312</w:t>
        </w:r>
      </w:hyperlink>
      <w:r w:rsidDel="00000000" w:rsidR="00000000" w:rsidRPr="00000000">
        <w:rPr>
          <w:rtl w:val="0"/>
        </w:rPr>
      </w:r>
    </w:p>
    <w:p w:rsidR="00000000" w:rsidDel="00000000" w:rsidP="00000000" w:rsidRDefault="00000000" w:rsidRPr="00000000" w14:paraId="000001A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Review] Large Language Model Agent: A Survey on Methodology, Applications and Challenges - Moonlight, </w:t>
      </w:r>
      <w:hyperlink r:id="rId21">
        <w:r w:rsidDel="00000000" w:rsidR="00000000" w:rsidRPr="00000000">
          <w:rPr>
            <w:rFonts w:ascii="Google Sans" w:cs="Google Sans" w:eastAsia="Google Sans" w:hAnsi="Google Sans"/>
            <w:color w:val="0000ee"/>
            <w:sz w:val="24"/>
            <w:szCs w:val="24"/>
            <w:u w:val="single"/>
            <w:rtl w:val="0"/>
          </w:rPr>
          <w:t xml:space="preserve">https://www.themoonlight.io/en/review/large-language-model-agent-a-survey-on-methodology-applications-and-challenges</w:t>
        </w:r>
      </w:hyperlink>
      <w:r w:rsidDel="00000000" w:rsidR="00000000" w:rsidRPr="00000000">
        <w:rPr>
          <w:rtl w:val="0"/>
        </w:rPr>
      </w:r>
    </w:p>
    <w:p w:rsidR="00000000" w:rsidDel="00000000" w:rsidP="00000000" w:rsidRDefault="00000000" w:rsidRPr="00000000" w14:paraId="000001A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A Survey on Methodology, Applications and Challenges, </w:t>
      </w:r>
      <w:hyperlink r:id="rId22">
        <w:r w:rsidDel="00000000" w:rsidR="00000000" w:rsidRPr="00000000">
          <w:rPr>
            <w:rFonts w:ascii="Google Sans" w:cs="Google Sans" w:eastAsia="Google Sans" w:hAnsi="Google Sans"/>
            <w:color w:val="0000ee"/>
            <w:sz w:val="24"/>
            <w:szCs w:val="24"/>
            <w:u w:val="single"/>
            <w:rtl w:val="0"/>
          </w:rPr>
          <w:t xml:space="preserve">https://arxiv.org/html/2503.21460v1</w:t>
        </w:r>
      </w:hyperlink>
      <w:r w:rsidDel="00000000" w:rsidR="00000000" w:rsidRPr="00000000">
        <w:rPr>
          <w:rtl w:val="0"/>
        </w:rPr>
      </w:r>
    </w:p>
    <w:p w:rsidR="00000000" w:rsidDel="00000000" w:rsidP="00000000" w:rsidRDefault="00000000" w:rsidRPr="00000000" w14:paraId="000001A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Agent Era Is Here: A Comprehensive Survey of Large Language Model Agents, </w:t>
      </w:r>
      <w:hyperlink r:id="rId23">
        <w:r w:rsidDel="00000000" w:rsidR="00000000" w:rsidRPr="00000000">
          <w:rPr>
            <w:rFonts w:ascii="Google Sans" w:cs="Google Sans" w:eastAsia="Google Sans" w:hAnsi="Google Sans"/>
            <w:color w:val="0000ee"/>
            <w:sz w:val="24"/>
            <w:szCs w:val="24"/>
            <w:u w:val="single"/>
            <w:rtl w:val="0"/>
          </w:rPr>
          <w:t xml:space="preserve">https://huggingface.co/blog/luojunyu/llm-agent</w:t>
        </w:r>
      </w:hyperlink>
      <w:r w:rsidDel="00000000" w:rsidR="00000000" w:rsidRPr="00000000">
        <w:rPr>
          <w:rtl w:val="0"/>
        </w:rPr>
      </w:r>
    </w:p>
    <w:p w:rsidR="00000000" w:rsidDel="00000000" w:rsidP="00000000" w:rsidRDefault="00000000" w:rsidRPr="00000000" w14:paraId="000001A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Language Model Agent: A Survey on Methodology, Applications and Challenges - arXiv, </w:t>
      </w:r>
      <w:hyperlink r:id="rId24">
        <w:r w:rsidDel="00000000" w:rsidR="00000000" w:rsidRPr="00000000">
          <w:rPr>
            <w:rFonts w:ascii="Google Sans" w:cs="Google Sans" w:eastAsia="Google Sans" w:hAnsi="Google Sans"/>
            <w:color w:val="0000ee"/>
            <w:sz w:val="24"/>
            <w:szCs w:val="24"/>
            <w:u w:val="single"/>
            <w:rtl w:val="0"/>
          </w:rPr>
          <w:t xml:space="preserve">https://arxiv.org/pdf/2503.21460</w:t>
        </w:r>
      </w:hyperlink>
      <w:r w:rsidDel="00000000" w:rsidR="00000000" w:rsidRPr="00000000">
        <w:rPr>
          <w:rtl w:val="0"/>
        </w:rPr>
      </w:r>
    </w:p>
    <w:p w:rsidR="00000000" w:rsidDel="00000000" w:rsidP="00000000" w:rsidRDefault="00000000" w:rsidRPr="00000000" w14:paraId="000001A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 Programmer.ie: Modern AI programming, </w:t>
      </w:r>
      <w:hyperlink r:id="rId25">
        <w:r w:rsidDel="00000000" w:rsidR="00000000" w:rsidRPr="00000000">
          <w:rPr>
            <w:rFonts w:ascii="Google Sans" w:cs="Google Sans" w:eastAsia="Google Sans" w:hAnsi="Google Sans"/>
            <w:color w:val="0000ee"/>
            <w:sz w:val="24"/>
            <w:szCs w:val="24"/>
            <w:u w:val="single"/>
            <w:rtl w:val="0"/>
          </w:rPr>
          <w:t xml:space="preserve">https://programmer.ie/post/agents_llm/</w:t>
        </w:r>
      </w:hyperlink>
      <w:r w:rsidDel="00000000" w:rsidR="00000000" w:rsidRPr="00000000">
        <w:rPr>
          <w:rtl w:val="0"/>
        </w:rPr>
      </w:r>
    </w:p>
    <w:p w:rsidR="00000000" w:rsidDel="00000000" w:rsidP="00000000" w:rsidRDefault="00000000" w:rsidRPr="00000000" w14:paraId="000001A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w:t>
      </w:r>
      <w:hyperlink r:id="rId26">
        <w:r w:rsidDel="00000000" w:rsidR="00000000" w:rsidRPr="00000000">
          <w:rPr>
            <w:rFonts w:ascii="Google Sans" w:cs="Google Sans" w:eastAsia="Google Sans" w:hAnsi="Google Sans"/>
            <w:color w:val="0000ee"/>
            <w:sz w:val="24"/>
            <w:szCs w:val="24"/>
            <w:u w:val="single"/>
            <w:rtl w:val="0"/>
          </w:rPr>
          <w:t xml:space="preserve">https://modelcontextprotocol.io/docs/getting-started/intro</w:t>
        </w:r>
      </w:hyperlink>
      <w:r w:rsidDel="00000000" w:rsidR="00000000" w:rsidRPr="00000000">
        <w:rPr>
          <w:rtl w:val="0"/>
        </w:rPr>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Context Management - DataHub, </w:t>
      </w:r>
      <w:hyperlink r:id="rId27">
        <w:r w:rsidDel="00000000" w:rsidR="00000000" w:rsidRPr="00000000">
          <w:rPr>
            <w:rFonts w:ascii="Google Sans" w:cs="Google Sans" w:eastAsia="Google Sans" w:hAnsi="Google Sans"/>
            <w:color w:val="0000ee"/>
            <w:sz w:val="24"/>
            <w:szCs w:val="24"/>
            <w:u w:val="single"/>
            <w:rtl w:val="0"/>
          </w:rPr>
          <w:t xml:space="preserve">https://datahub.com/blog/mcp-context-management/</w:t>
        </w:r>
      </w:hyperlink>
      <w:r w:rsidDel="00000000" w:rsidR="00000000" w:rsidRPr="00000000">
        <w:rPr>
          <w:rtl w:val="0"/>
        </w:rPr>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Management: The Missing Piece for Agentic AI - DataHub, </w:t>
      </w:r>
      <w:hyperlink r:id="rId28">
        <w:r w:rsidDel="00000000" w:rsidR="00000000" w:rsidRPr="00000000">
          <w:rPr>
            <w:rFonts w:ascii="Google Sans" w:cs="Google Sans" w:eastAsia="Google Sans" w:hAnsi="Google Sans"/>
            <w:color w:val="0000ee"/>
            <w:sz w:val="24"/>
            <w:szCs w:val="24"/>
            <w:u w:val="single"/>
            <w:rtl w:val="0"/>
          </w:rPr>
          <w:t xml:space="preserve">https://datahub.com/blog/context-management/</w:t>
        </w:r>
      </w:hyperlink>
      <w:r w:rsidDel="00000000" w:rsidR="00000000" w:rsidRPr="00000000">
        <w:rPr>
          <w:rtl w:val="0"/>
        </w:rPr>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Management Tools in 2026 | DataHub, </w:t>
      </w:r>
      <w:hyperlink r:id="rId29">
        <w:r w:rsidDel="00000000" w:rsidR="00000000" w:rsidRPr="00000000">
          <w:rPr>
            <w:rFonts w:ascii="Google Sans" w:cs="Google Sans" w:eastAsia="Google Sans" w:hAnsi="Google Sans"/>
            <w:color w:val="0000ee"/>
            <w:sz w:val="24"/>
            <w:szCs w:val="24"/>
            <w:u w:val="single"/>
            <w:rtl w:val="0"/>
          </w:rPr>
          <w:t xml:space="preserve">https://datahub.com/blog/context-management-tools/</w:t>
        </w:r>
      </w:hyperlink>
      <w:r w:rsidDel="00000000" w:rsidR="00000000" w:rsidRPr="00000000">
        <w:rPr>
          <w:rtl w:val="0"/>
        </w:rPr>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MCPs Give Agents Access. They Don't Give Them Understanding - Typedef.ai, </w:t>
      </w:r>
      <w:hyperlink r:id="rId30">
        <w:r w:rsidDel="00000000" w:rsidR="00000000" w:rsidRPr="00000000">
          <w:rPr>
            <w:rFonts w:ascii="Google Sans" w:cs="Google Sans" w:eastAsia="Google Sans" w:hAnsi="Google Sans"/>
            <w:color w:val="0000ee"/>
            <w:sz w:val="24"/>
            <w:szCs w:val="24"/>
            <w:u w:val="single"/>
            <w:rtl w:val="0"/>
          </w:rPr>
          <w:t xml:space="preserve">https://www.typedef.ai/blog/mcps-give-agents-access-they-don-t-give-them-understanding</w:t>
        </w:r>
      </w:hyperlink>
      <w:r w:rsidDel="00000000" w:rsidR="00000000" w:rsidRPr="00000000">
        <w:rPr>
          <w:rtl w:val="0"/>
        </w:rPr>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Context Platform for AI Agents | DataHub Cloud, </w:t>
      </w:r>
      <w:hyperlink r:id="rId31">
        <w:r w:rsidDel="00000000" w:rsidR="00000000" w:rsidRPr="00000000">
          <w:rPr>
            <w:rFonts w:ascii="Google Sans" w:cs="Google Sans" w:eastAsia="Google Sans" w:hAnsi="Google Sans"/>
            <w:color w:val="0000ee"/>
            <w:sz w:val="24"/>
            <w:szCs w:val="24"/>
            <w:u w:val="single"/>
            <w:rtl w:val="0"/>
          </w:rPr>
          <w:t xml:space="preserve">https://datahub.com/products/context-platform/</w:t>
        </w:r>
      </w:hyperlink>
      <w:r w:rsidDel="00000000" w:rsidR="00000000" w:rsidRPr="00000000">
        <w:rPr>
          <w:rtl w:val="0"/>
        </w:rPr>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Code execution with MCP: building more efficient AI agents - Anthropic, </w:t>
      </w:r>
      <w:hyperlink r:id="rId32">
        <w:r w:rsidDel="00000000" w:rsidR="00000000" w:rsidRPr="00000000">
          <w:rPr>
            <w:rFonts w:ascii="Google Sans" w:cs="Google Sans" w:eastAsia="Google Sans" w:hAnsi="Google Sans"/>
            <w:color w:val="0000ee"/>
            <w:sz w:val="24"/>
            <w:szCs w:val="24"/>
            <w:u w:val="single"/>
            <w:rtl w:val="0"/>
          </w:rPr>
          <w:t xml:space="preserve">https://www.anthropic.com/engineering/code-execution-with-mcp</w:t>
        </w:r>
      </w:hyperlink>
      <w:r w:rsidDel="00000000" w:rsidR="00000000" w:rsidRPr="00000000">
        <w:rPr>
          <w:rtl w:val="0"/>
        </w:rPr>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frameworks, metrics &amp; testing strategies - Algolia, </w:t>
      </w:r>
      <w:hyperlink r:id="rId33">
        <w:r w:rsidDel="00000000" w:rsidR="00000000" w:rsidRPr="00000000">
          <w:rPr>
            <w:rFonts w:ascii="Google Sans" w:cs="Google Sans" w:eastAsia="Google Sans" w:hAnsi="Google Sans"/>
            <w:color w:val="0000ee"/>
            <w:sz w:val="24"/>
            <w:szCs w:val="24"/>
            <w:u w:val="single"/>
            <w:rtl w:val="0"/>
          </w:rPr>
          <w:t xml:space="preserve">https://www.algolia.com/blog/ai/ai-agent-evaluation-frameworks-metrics-testing-strategies</w:t>
        </w:r>
      </w:hyperlink>
      <w:r w:rsidDel="00000000" w:rsidR="00000000" w:rsidRPr="00000000">
        <w:rPr>
          <w:rtl w:val="0"/>
        </w:rPr>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Trust, Testing, and Optimization - Quantiphi, </w:t>
      </w:r>
      <w:hyperlink r:id="rId34">
        <w:r w:rsidDel="00000000" w:rsidR="00000000" w:rsidRPr="00000000">
          <w:rPr>
            <w:rFonts w:ascii="Google Sans" w:cs="Google Sans" w:eastAsia="Google Sans" w:hAnsi="Google Sans"/>
            <w:color w:val="0000ee"/>
            <w:sz w:val="24"/>
            <w:szCs w:val="24"/>
            <w:u w:val="single"/>
            <w:rtl w:val="0"/>
          </w:rPr>
          <w:t xml:space="preserve">https://quantiphi.com/blog/ai-agent-evaluation/</w:t>
        </w:r>
      </w:hyperlink>
      <w:r w:rsidDel="00000000" w:rsidR="00000000" w:rsidRPr="00000000">
        <w:rPr>
          <w:rtl w:val="0"/>
        </w:rPr>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Build Production-Grade Agents - Mastra, </w:t>
      </w:r>
      <w:hyperlink r:id="rId35">
        <w:r w:rsidDel="00000000" w:rsidR="00000000" w:rsidRPr="00000000">
          <w:rPr>
            <w:rFonts w:ascii="Google Sans" w:cs="Google Sans" w:eastAsia="Google Sans" w:hAnsi="Google Sans"/>
            <w:color w:val="0000ee"/>
            <w:sz w:val="24"/>
            <w:szCs w:val="24"/>
            <w:u w:val="single"/>
            <w:rtl w:val="0"/>
          </w:rPr>
          <w:t xml:space="preserve">https://mastra.ai/articles/ai-agent-evaluation</w:t>
        </w:r>
      </w:hyperlink>
      <w:r w:rsidDel="00000000" w:rsidR="00000000" w:rsidRPr="00000000">
        <w:rPr>
          <w:rtl w:val="0"/>
        </w:rPr>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Context Kit - DataHub, </w:t>
      </w:r>
      <w:hyperlink r:id="rId36">
        <w:r w:rsidDel="00000000" w:rsidR="00000000" w:rsidRPr="00000000">
          <w:rPr>
            <w:rFonts w:ascii="Google Sans" w:cs="Google Sans" w:eastAsia="Google Sans" w:hAnsi="Google Sans"/>
            <w:color w:val="0000ee"/>
            <w:sz w:val="24"/>
            <w:szCs w:val="24"/>
            <w:u w:val="single"/>
            <w:rtl w:val="0"/>
          </w:rPr>
          <w:t xml:space="preserve">https://docs.datahub.com/docs/dev-guides/agent-context/agent-context</w:t>
        </w:r>
      </w:hyperlink>
      <w:r w:rsidDel="00000000" w:rsidR="00000000" w:rsidRPr="00000000">
        <w:rPr>
          <w:rtl w:val="0"/>
        </w:rPr>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reliable AI agents with the dbt MCP server, </w:t>
      </w:r>
      <w:hyperlink r:id="rId37">
        <w:r w:rsidDel="00000000" w:rsidR="00000000" w:rsidRPr="00000000">
          <w:rPr>
            <w:rFonts w:ascii="Google Sans" w:cs="Google Sans" w:eastAsia="Google Sans" w:hAnsi="Google Sans"/>
            <w:color w:val="0000ee"/>
            <w:sz w:val="24"/>
            <w:szCs w:val="24"/>
            <w:u w:val="single"/>
            <w:rtl w:val="0"/>
          </w:rPr>
          <w:t xml:space="preserve">https://www.getdbt.com/resources/webinars/build-reliable-ai-agents-with-the-dbt-mcp-server</w:t>
        </w:r>
      </w:hyperlink>
      <w:r w:rsidDel="00000000" w:rsidR="00000000" w:rsidRPr="00000000">
        <w:rPr>
          <w:rtl w:val="0"/>
        </w:rPr>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rinadelph/Agent-MCP: Agent-MCP is a framework for creating multi-agent systems that enables coordinated, efficient AI collaboration through the Model Context Protocol (MCP). The system is designed for developers building AI applications that benefit from multiple specialized agents working in parallel on different aspects of a project., </w:t>
      </w:r>
      <w:hyperlink r:id="rId38">
        <w:r w:rsidDel="00000000" w:rsidR="00000000" w:rsidRPr="00000000">
          <w:rPr>
            <w:rFonts w:ascii="Google Sans" w:cs="Google Sans" w:eastAsia="Google Sans" w:hAnsi="Google Sans"/>
            <w:color w:val="0000ee"/>
            <w:sz w:val="24"/>
            <w:szCs w:val="24"/>
            <w:u w:val="single"/>
            <w:rtl w:val="0"/>
          </w:rPr>
          <w:t xml:space="preserve">https://github.com/rinadelph/Agent-MCP</w:t>
        </w:r>
      </w:hyperlink>
      <w:r w:rsidDel="00000000" w:rsidR="00000000" w:rsidRPr="00000000">
        <w:rPr>
          <w:rtl w:val="0"/>
        </w:rPr>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Multi-Agent Intelligence: MCP-Driven Patterns in Agent Framework | Microsoft Community Hub, </w:t>
      </w:r>
      <w:hyperlink r:id="rId39">
        <w:r w:rsidDel="00000000" w:rsidR="00000000" w:rsidRPr="00000000">
          <w:rPr>
            <w:rFonts w:ascii="Google Sans" w:cs="Google Sans" w:eastAsia="Google Sans" w:hAnsi="Google Sans"/>
            <w:color w:val="0000ee"/>
            <w:sz w:val="24"/>
            <w:szCs w:val="24"/>
            <w:u w:val="single"/>
            <w:rtl w:val="0"/>
          </w:rPr>
          <w:t xml:space="preserve">https://techcommunity.microsoft.com/blog/azuredevcommunityblog/orchestrating-multi-agent-intelligence-mcp-driven-patterns-in-agent-framework/4462150</w:t>
        </w:r>
      </w:hyperlink>
      <w:r w:rsidDel="00000000" w:rsidR="00000000" w:rsidRPr="00000000">
        <w:rPr>
          <w:rtl w:val="0"/>
        </w:rPr>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Metacognitive Multi-Agent Systems (MMAS) with Symbolic Semantic Graphs (SSGs) and GraphRAG - ResearchGate, </w:t>
      </w:r>
      <w:hyperlink r:id="rId40">
        <w:r w:rsidDel="00000000" w:rsidR="00000000" w:rsidRPr="00000000">
          <w:rPr>
            <w:rFonts w:ascii="Google Sans" w:cs="Google Sans" w:eastAsia="Google Sans" w:hAnsi="Google Sans"/>
            <w:color w:val="0000ee"/>
            <w:sz w:val="24"/>
            <w:szCs w:val="24"/>
            <w:u w:val="single"/>
            <w:rtl w:val="0"/>
          </w:rPr>
          <w:t xml:space="preserve">https://www.researchgate.net/publication/401397769_Metacognitive_Multi-Agent_Systems_MMAS_with_Symbolic_Semantic_Graphs_SSGs_and_GraphRAG</w:t>
        </w:r>
      </w:hyperlink>
      <w:r w:rsidDel="00000000" w:rsidR="00000000" w:rsidRPr="00000000">
        <w:rPr>
          <w:rtl w:val="0"/>
        </w:rPr>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an Agentic AI SRE Co-Pilot for Incident Response - DZone, </w:t>
      </w:r>
      <w:hyperlink r:id="rId41">
        <w:r w:rsidDel="00000000" w:rsidR="00000000" w:rsidRPr="00000000">
          <w:rPr>
            <w:rFonts w:ascii="Google Sans" w:cs="Google Sans" w:eastAsia="Google Sans" w:hAnsi="Google Sans"/>
            <w:color w:val="0000ee"/>
            <w:sz w:val="24"/>
            <w:szCs w:val="24"/>
            <w:u w:val="single"/>
            <w:rtl w:val="0"/>
          </w:rPr>
          <w:t xml:space="preserve">https://dzone.com/articles/agentic-ai-sre-copilot-incident-response</w:t>
        </w:r>
      </w:hyperlink>
      <w:r w:rsidDel="00000000" w:rsidR="00000000" w:rsidRPr="00000000">
        <w:rPr>
          <w:rtl w:val="0"/>
        </w:rPr>
      </w:r>
    </w:p>
    <w:p w:rsidR="00000000" w:rsidDel="00000000" w:rsidP="00000000" w:rsidRDefault="00000000" w:rsidRPr="00000000" w14:paraId="000001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Model Context Protocol (MCP)? - Databricks, </w:t>
      </w:r>
      <w:hyperlink r:id="rId42">
        <w:r w:rsidDel="00000000" w:rsidR="00000000" w:rsidRPr="00000000">
          <w:rPr>
            <w:rFonts w:ascii="Google Sans" w:cs="Google Sans" w:eastAsia="Google Sans" w:hAnsi="Google Sans"/>
            <w:color w:val="0000ee"/>
            <w:sz w:val="24"/>
            <w:szCs w:val="24"/>
            <w:u w:val="single"/>
            <w:rtl w:val="0"/>
          </w:rPr>
          <w:t xml:space="preserve">https://www.databricks.com/blog/what-is-model-context-protocol</w:t>
        </w:r>
      </w:hyperlink>
      <w:r w:rsidDel="00000000" w:rsidR="00000000" w:rsidRPr="00000000">
        <w:rPr>
          <w:rtl w:val="0"/>
        </w:rPr>
      </w:r>
    </w:p>
    <w:p w:rsidR="00000000" w:rsidDel="00000000" w:rsidP="00000000" w:rsidRDefault="00000000" w:rsidRPr="00000000" w14:paraId="000001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effective AI agents with Model Context Protocol (MCP) | Red Hat Developer, </w:t>
      </w:r>
      <w:hyperlink r:id="rId43">
        <w:r w:rsidDel="00000000" w:rsidR="00000000" w:rsidRPr="00000000">
          <w:rPr>
            <w:rFonts w:ascii="Google Sans" w:cs="Google Sans" w:eastAsia="Google Sans" w:hAnsi="Google Sans"/>
            <w:color w:val="0000ee"/>
            <w:sz w:val="24"/>
            <w:szCs w:val="24"/>
            <w:u w:val="single"/>
            <w:rtl w:val="0"/>
          </w:rPr>
          <w:t xml:space="preserve">https://developers.redhat.com/articles/2026/01/08/building-effective-ai-agents-mcp</w:t>
        </w:r>
      </w:hyperlink>
      <w:r w:rsidDel="00000000" w:rsidR="00000000" w:rsidRPr="00000000">
        <w:rPr>
          <w:rtl w:val="0"/>
        </w:rPr>
      </w:r>
    </w:p>
    <w:p w:rsidR="00000000" w:rsidDel="00000000" w:rsidP="00000000" w:rsidRDefault="00000000" w:rsidRPr="00000000" w14:paraId="000001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Passive Warehouses to Autonomous Data Systems with the Model Context Protocol | by Sendoa Moronta | May, 2026 | Medium, </w:t>
      </w:r>
      <w:hyperlink r:id="rId44">
        <w:r w:rsidDel="00000000" w:rsidR="00000000" w:rsidRPr="00000000">
          <w:rPr>
            <w:rFonts w:ascii="Google Sans" w:cs="Google Sans" w:eastAsia="Google Sans" w:hAnsi="Google Sans"/>
            <w:color w:val="0000ee"/>
            <w:sz w:val="24"/>
            <w:szCs w:val="24"/>
            <w:u w:val="single"/>
            <w:rtl w:val="0"/>
          </w:rPr>
          <w:t xml:space="preserve">https://medium.com/@sendoamoronta/the-next-evolution-of-data-platforms-is-not-another-warehouse-e580e25d7fd3</w:t>
        </w:r>
      </w:hyperlink>
      <w:r w:rsidDel="00000000" w:rsidR="00000000" w:rsidRPr="00000000">
        <w:rPr>
          <w:rtl w:val="0"/>
        </w:rPr>
      </w:r>
    </w:p>
    <w:p w:rsidR="00000000" w:rsidDel="00000000" w:rsidP="00000000" w:rsidRDefault="00000000" w:rsidRPr="00000000" w14:paraId="000001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Specification - Model Context Protocol, </w:t>
      </w:r>
      <w:hyperlink r:id="rId45">
        <w:r w:rsidDel="00000000" w:rsidR="00000000" w:rsidRPr="00000000">
          <w:rPr>
            <w:rFonts w:ascii="Google Sans" w:cs="Google Sans" w:eastAsia="Google Sans" w:hAnsi="Google Sans"/>
            <w:color w:val="0000ee"/>
            <w:sz w:val="24"/>
            <w:szCs w:val="24"/>
            <w:u w:val="single"/>
            <w:rtl w:val="0"/>
          </w:rPr>
          <w:t xml:space="preserve">https://modelcontextprotocol.io/specification/2025-11-25</w:t>
        </w:r>
      </w:hyperlink>
      <w:r w:rsidDel="00000000" w:rsidR="00000000" w:rsidRPr="00000000">
        <w:rPr>
          <w:rtl w:val="0"/>
        </w:rPr>
      </w:r>
    </w:p>
    <w:p w:rsidR="00000000" w:rsidDel="00000000" w:rsidP="00000000" w:rsidRDefault="00000000" w:rsidRPr="00000000" w14:paraId="000001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architecture patterns for multi-agent AI systems - IBM Developer, </w:t>
      </w:r>
      <w:hyperlink r:id="rId46">
        <w:r w:rsidDel="00000000" w:rsidR="00000000" w:rsidRPr="00000000">
          <w:rPr>
            <w:rFonts w:ascii="Google Sans" w:cs="Google Sans" w:eastAsia="Google Sans" w:hAnsi="Google Sans"/>
            <w:color w:val="0000ee"/>
            <w:sz w:val="24"/>
            <w:szCs w:val="24"/>
            <w:u w:val="single"/>
            <w:rtl w:val="0"/>
          </w:rPr>
          <w:t xml:space="preserve">https://developer.ibm.com/articles/mcp-architecture-patterns-ai-systems/</w:t>
        </w:r>
      </w:hyperlink>
      <w:r w:rsidDel="00000000" w:rsidR="00000000" w:rsidRPr="00000000">
        <w:rPr>
          <w:rtl w:val="0"/>
        </w:rPr>
      </w:r>
    </w:p>
    <w:p w:rsidR="00000000" w:rsidDel="00000000" w:rsidP="00000000" w:rsidRDefault="00000000" w:rsidRPr="00000000" w14:paraId="000001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the Managed Service for Apache Airflow remote MCP server, </w:t>
      </w:r>
      <w:hyperlink r:id="rId47">
        <w:r w:rsidDel="00000000" w:rsidR="00000000" w:rsidRPr="00000000">
          <w:rPr>
            <w:rFonts w:ascii="Google Sans" w:cs="Google Sans" w:eastAsia="Google Sans" w:hAnsi="Google Sans"/>
            <w:color w:val="0000ee"/>
            <w:sz w:val="24"/>
            <w:szCs w:val="24"/>
            <w:u w:val="single"/>
            <w:rtl w:val="0"/>
          </w:rPr>
          <w:t xml:space="preserve">https://docs.cloud.google.com/composer/docs/composer-3/use-composer-mcp</w:t>
        </w:r>
      </w:hyperlink>
      <w:r w:rsidDel="00000000" w:rsidR="00000000" w:rsidRPr="00000000">
        <w:rPr>
          <w:rtl w:val="0"/>
        </w:rPr>
      </w:r>
    </w:p>
    <w:p w:rsidR="00000000" w:rsidDel="00000000" w:rsidP="00000000" w:rsidRDefault="00000000" w:rsidRPr="00000000" w14:paraId="000001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abhishekbhakat/airflow-mcp-server - GitHub, </w:t>
      </w:r>
      <w:hyperlink r:id="rId48">
        <w:r w:rsidDel="00000000" w:rsidR="00000000" w:rsidRPr="00000000">
          <w:rPr>
            <w:rFonts w:ascii="Google Sans" w:cs="Google Sans" w:eastAsia="Google Sans" w:hAnsi="Google Sans"/>
            <w:color w:val="0000ee"/>
            <w:sz w:val="24"/>
            <w:szCs w:val="24"/>
            <w:u w:val="single"/>
            <w:rtl w:val="0"/>
          </w:rPr>
          <w:t xml:space="preserve">https://github.com/abhishekbhakat/airflow-mcp-server</w:t>
        </w:r>
      </w:hyperlink>
      <w:r w:rsidDel="00000000" w:rsidR="00000000" w:rsidRPr="00000000">
        <w:rPr>
          <w:rtl w:val="0"/>
        </w:rPr>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Airflow API MCP Server, </w:t>
      </w:r>
      <w:hyperlink r:id="rId49">
        <w:r w:rsidDel="00000000" w:rsidR="00000000" w:rsidRPr="00000000">
          <w:rPr>
            <w:rFonts w:ascii="Google Sans" w:cs="Google Sans" w:eastAsia="Google Sans" w:hAnsi="Google Sans"/>
            <w:color w:val="0000ee"/>
            <w:sz w:val="24"/>
            <w:szCs w:val="24"/>
            <w:u w:val="single"/>
            <w:rtl w:val="0"/>
          </w:rPr>
          <w:t xml:space="preserve">https://mcpservers.org/servers/github-com-call518-mcp-airflow-api</w:t>
        </w:r>
      </w:hyperlink>
      <w:r w:rsidDel="00000000" w:rsidR="00000000" w:rsidRPr="00000000">
        <w:rPr>
          <w:rtl w:val="0"/>
        </w:rPr>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Modern Data Engineer's Guide to Model Context Protocol: Why MCP is Transforming Data Infrastructure Management - Medium, </w:t>
      </w:r>
      <w:hyperlink r:id="rId50">
        <w:r w:rsidDel="00000000" w:rsidR="00000000" w:rsidRPr="00000000">
          <w:rPr>
            <w:rFonts w:ascii="Google Sans" w:cs="Google Sans" w:eastAsia="Google Sans" w:hAnsi="Google Sans"/>
            <w:color w:val="0000ee"/>
            <w:sz w:val="24"/>
            <w:szCs w:val="24"/>
            <w:u w:val="single"/>
            <w:rtl w:val="0"/>
          </w:rPr>
          <w:t xml:space="preserve">https://medium.com/@reliabledataengineering/the-modern-data-engineers-guide-to-model-context-protocol-why-mcp-is-transforming-data-784dde0f466f</w:t>
        </w:r>
      </w:hyperlink>
      <w:r w:rsidDel="00000000" w:rsidR="00000000" w:rsidRPr="00000000">
        <w:rPr>
          <w:rtl w:val="0"/>
        </w:rPr>
      </w:r>
    </w:p>
    <w:p w:rsidR="00000000" w:rsidDel="00000000" w:rsidP="00000000" w:rsidRDefault="00000000" w:rsidRPr="00000000" w14:paraId="000001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Owners vs Stewards vs Custodians: Roles Explained - Censinet, </w:t>
      </w:r>
      <w:hyperlink r:id="rId51">
        <w:r w:rsidDel="00000000" w:rsidR="00000000" w:rsidRPr="00000000">
          <w:rPr>
            <w:rFonts w:ascii="Google Sans" w:cs="Google Sans" w:eastAsia="Google Sans" w:hAnsi="Google Sans"/>
            <w:color w:val="0000ee"/>
            <w:sz w:val="24"/>
            <w:szCs w:val="24"/>
            <w:u w:val="single"/>
            <w:rtl w:val="0"/>
          </w:rPr>
          <w:t xml:space="preserve">https://censinet.com/perspectives/data-owners-vs-stewards-vs-custodians-roles-explained</w:t>
        </w:r>
      </w:hyperlink>
      <w:r w:rsidDel="00000000" w:rsidR="00000000" w:rsidRPr="00000000">
        <w:rPr>
          <w:rtl w:val="0"/>
        </w:rPr>
      </w:r>
    </w:p>
    <w:p w:rsidR="00000000" w:rsidDel="00000000" w:rsidP="00000000" w:rsidRDefault="00000000" w:rsidRPr="00000000" w14:paraId="000001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Steward - Responsibilities, Types &amp; Tips for Success | Collate Learning Center, </w:t>
      </w:r>
      <w:hyperlink r:id="rId52">
        <w:r w:rsidDel="00000000" w:rsidR="00000000" w:rsidRPr="00000000">
          <w:rPr>
            <w:rFonts w:ascii="Google Sans" w:cs="Google Sans" w:eastAsia="Google Sans" w:hAnsi="Google Sans"/>
            <w:color w:val="0000ee"/>
            <w:sz w:val="24"/>
            <w:szCs w:val="24"/>
            <w:u w:val="single"/>
            <w:rtl w:val="0"/>
          </w:rPr>
          <w:t xml:space="preserve">https://www.getcollate.io/learning-center/data-steward</w:t>
        </w:r>
      </w:hyperlink>
      <w:r w:rsidDel="00000000" w:rsidR="00000000" w:rsidRPr="00000000">
        <w:rPr>
          <w:rtl w:val="0"/>
        </w:rPr>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Stewardship: Definition, Benefits &amp; Key Roles Explained (2026) - Atlan, </w:t>
      </w:r>
      <w:hyperlink r:id="rId53">
        <w:r w:rsidDel="00000000" w:rsidR="00000000" w:rsidRPr="00000000">
          <w:rPr>
            <w:rFonts w:ascii="Google Sans" w:cs="Google Sans" w:eastAsia="Google Sans" w:hAnsi="Google Sans"/>
            <w:color w:val="0000ee"/>
            <w:sz w:val="24"/>
            <w:szCs w:val="24"/>
            <w:u w:val="single"/>
            <w:rtl w:val="0"/>
          </w:rPr>
          <w:t xml:space="preserve">https://atlan.com/data-stewardship-101/</w:t>
        </w:r>
      </w:hyperlink>
      <w:r w:rsidDel="00000000" w:rsidR="00000000" w:rsidRPr="00000000">
        <w:rPr>
          <w:rtl w:val="0"/>
        </w:rPr>
      </w:r>
    </w:p>
    <w:p w:rsidR="00000000" w:rsidDel="00000000" w:rsidP="00000000" w:rsidRDefault="00000000" w:rsidRPr="00000000" w14:paraId="000001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Data Products with Knowledge Catalog and MCP remote server, </w:t>
      </w:r>
      <w:hyperlink r:id="rId54">
        <w:r w:rsidDel="00000000" w:rsidR="00000000" w:rsidRPr="00000000">
          <w:rPr>
            <w:rFonts w:ascii="Google Sans" w:cs="Google Sans" w:eastAsia="Google Sans" w:hAnsi="Google Sans"/>
            <w:color w:val="0000ee"/>
            <w:sz w:val="24"/>
            <w:szCs w:val="24"/>
            <w:u w:val="single"/>
            <w:rtl w:val="0"/>
          </w:rPr>
          <w:t xml:space="preserve">https://discuss.google.dev/t/agentic-data-products-with-knowledge-catalog-and-mcp-remote-server/367004</w:t>
        </w:r>
      </w:hyperlink>
      <w:r w:rsidDel="00000000" w:rsidR="00000000" w:rsidRPr="00000000">
        <w:rPr>
          <w:rtl w:val="0"/>
        </w:rPr>
      </w:r>
    </w:p>
    <w:p w:rsidR="00000000" w:rsidDel="00000000" w:rsidP="00000000" w:rsidRDefault="00000000" w:rsidRPr="00000000" w14:paraId="000001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agents for the Autonomous Network Operations framework | Google Cloud Blog, </w:t>
      </w:r>
      <w:hyperlink r:id="rId55">
        <w:r w:rsidDel="00000000" w:rsidR="00000000" w:rsidRPr="00000000">
          <w:rPr>
            <w:rFonts w:ascii="Google Sans" w:cs="Google Sans" w:eastAsia="Google Sans" w:hAnsi="Google Sans"/>
            <w:color w:val="0000ee"/>
            <w:sz w:val="24"/>
            <w:szCs w:val="24"/>
            <w:u w:val="single"/>
            <w:rtl w:val="0"/>
          </w:rPr>
          <w:t xml:space="preserve">https://cloud.google.com/blog/topics/telecommunications/new-agents-for-the-autonomous-network-operations-framework</w:t>
        </w:r>
      </w:hyperlink>
      <w:r w:rsidDel="00000000" w:rsidR="00000000" w:rsidRPr="00000000">
        <w:rPr>
          <w:rtl w:val="0"/>
        </w:rPr>
      </w:r>
    </w:p>
    <w:p w:rsidR="00000000" w:rsidDel="00000000" w:rsidP="00000000" w:rsidRDefault="00000000" w:rsidRPr="00000000" w14:paraId="000001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Steward &amp; Core Network agents - Future Connections, </w:t>
      </w:r>
      <w:hyperlink r:id="rId56">
        <w:r w:rsidDel="00000000" w:rsidR="00000000" w:rsidRPr="00000000">
          <w:rPr>
            <w:rFonts w:ascii="Google Sans" w:cs="Google Sans" w:eastAsia="Google Sans" w:hAnsi="Google Sans"/>
            <w:color w:val="0000ee"/>
            <w:sz w:val="24"/>
            <w:szCs w:val="24"/>
            <w:u w:val="single"/>
            <w:rtl w:val="0"/>
          </w:rPr>
          <w:t xml:space="preserve">https://futureconnections.com/blog/data-steward-core-network-agents/</w:t>
        </w:r>
      </w:hyperlink>
      <w:r w:rsidDel="00000000" w:rsidR="00000000" w:rsidRPr="00000000">
        <w:rPr>
          <w:rtl w:val="0"/>
        </w:rPr>
      </w:r>
    </w:p>
    <w:p w:rsidR="00000000" w:rsidDel="00000000" w:rsidP="00000000" w:rsidRDefault="00000000" w:rsidRPr="00000000" w14:paraId="000001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DTW Ignite 2026 - Future Connections, </w:t>
      </w:r>
      <w:hyperlink r:id="rId57">
        <w:r w:rsidDel="00000000" w:rsidR="00000000" w:rsidRPr="00000000">
          <w:rPr>
            <w:rFonts w:ascii="Google Sans" w:cs="Google Sans" w:eastAsia="Google Sans" w:hAnsi="Google Sans"/>
            <w:color w:val="0000ee"/>
            <w:sz w:val="24"/>
            <w:szCs w:val="24"/>
            <w:u w:val="single"/>
            <w:rtl w:val="0"/>
          </w:rPr>
          <w:t xml:space="preserve">https://futureconnections.com/events/dtw-ignite-2026/</w:t>
        </w:r>
      </w:hyperlink>
      <w:r w:rsidDel="00000000" w:rsidR="00000000" w:rsidRPr="00000000">
        <w:rPr>
          <w:rtl w:val="0"/>
        </w:rPr>
      </w:r>
    </w:p>
    <w:p w:rsidR="00000000" w:rsidDel="00000000" w:rsidP="00000000" w:rsidRDefault="00000000" w:rsidRPr="00000000" w14:paraId="000001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DataHub Analytics Agent: Open-Source Talk-to-Data DataHub, </w:t>
      </w:r>
      <w:hyperlink r:id="rId58">
        <w:r w:rsidDel="00000000" w:rsidR="00000000" w:rsidRPr="00000000">
          <w:rPr>
            <w:rFonts w:ascii="Google Sans" w:cs="Google Sans" w:eastAsia="Google Sans" w:hAnsi="Google Sans"/>
            <w:color w:val="0000ee"/>
            <w:sz w:val="24"/>
            <w:szCs w:val="24"/>
            <w:u w:val="single"/>
            <w:rtl w:val="0"/>
          </w:rPr>
          <w:t xml:space="preserve">https://datahub.com/blog/datahub-analytics-agent/</w:t>
        </w:r>
      </w:hyperlink>
      <w:r w:rsidDel="00000000" w:rsidR="00000000" w:rsidRPr="00000000">
        <w:rPr>
          <w:rtl w:val="0"/>
        </w:rPr>
      </w:r>
    </w:p>
    <w:p w:rsidR="00000000" w:rsidDel="00000000" w:rsidP="00000000" w:rsidRDefault="00000000" w:rsidRPr="00000000" w14:paraId="000001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DataHub: The Semantic Backbone of Enterprise Data Analytics Agents, </w:t>
      </w:r>
      <w:hyperlink r:id="rId59">
        <w:r w:rsidDel="00000000" w:rsidR="00000000" w:rsidRPr="00000000">
          <w:rPr>
            <w:rFonts w:ascii="Google Sans" w:cs="Google Sans" w:eastAsia="Google Sans" w:hAnsi="Google Sans"/>
            <w:color w:val="0000ee"/>
            <w:sz w:val="24"/>
            <w:szCs w:val="24"/>
            <w:u w:val="single"/>
            <w:rtl w:val="0"/>
          </w:rPr>
          <w:t xml:space="preserve">https://datahub.com/blog/semantic-backbone-of-enterprise-data-analytics-agents/</w:t>
        </w:r>
      </w:hyperlink>
      <w:r w:rsidDel="00000000" w:rsidR="00000000" w:rsidRPr="00000000">
        <w:rPr>
          <w:rtl w:val="0"/>
        </w:rPr>
      </w:r>
    </w:p>
    <w:p w:rsidR="00000000" w:rsidDel="00000000" w:rsidP="00000000" w:rsidRDefault="00000000" w:rsidRPr="00000000" w14:paraId="000001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Data Stewardship? Everything You Need to Know - Snowflake, </w:t>
      </w:r>
      <w:hyperlink r:id="rId60">
        <w:r w:rsidDel="00000000" w:rsidR="00000000" w:rsidRPr="00000000">
          <w:rPr>
            <w:rFonts w:ascii="Google Sans" w:cs="Google Sans" w:eastAsia="Google Sans" w:hAnsi="Google Sans"/>
            <w:color w:val="0000ee"/>
            <w:sz w:val="24"/>
            <w:szCs w:val="24"/>
            <w:u w:val="single"/>
            <w:rtl w:val="0"/>
          </w:rPr>
          <w:t xml:space="preserve">https://www.snowflake.com/en/data-governance/data-stewardship/</w:t>
        </w:r>
      </w:hyperlink>
      <w:r w:rsidDel="00000000" w:rsidR="00000000" w:rsidRPr="00000000">
        <w:rPr>
          <w:rtl w:val="0"/>
        </w:rPr>
      </w:r>
    </w:p>
    <w:p w:rsidR="00000000" w:rsidDel="00000000" w:rsidP="00000000" w:rsidRDefault="00000000" w:rsidRPr="00000000" w14:paraId="000001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astronomer/agents: AI agent tooling for data engineering workflows. - GitHub, </w:t>
      </w:r>
      <w:hyperlink r:id="rId61">
        <w:r w:rsidDel="00000000" w:rsidR="00000000" w:rsidRPr="00000000">
          <w:rPr>
            <w:rFonts w:ascii="Google Sans" w:cs="Google Sans" w:eastAsia="Google Sans" w:hAnsi="Google Sans"/>
            <w:color w:val="0000ee"/>
            <w:sz w:val="24"/>
            <w:szCs w:val="24"/>
            <w:u w:val="single"/>
            <w:rtl w:val="0"/>
          </w:rPr>
          <w:t xml:space="preserve">https://github.com/astronomer/agents?utm_cta=apps-workload-page</w:t>
        </w:r>
      </w:hyperlink>
      <w:r w:rsidDel="00000000" w:rsidR="00000000" w:rsidRPr="00000000">
        <w:rPr>
          <w:rtl w:val="0"/>
        </w:rPr>
      </w:r>
    </w:p>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dbt and Google with AI agents, </w:t>
      </w:r>
      <w:hyperlink r:id="rId62">
        <w:r w:rsidDel="00000000" w:rsidR="00000000" w:rsidRPr="00000000">
          <w:rPr>
            <w:rFonts w:ascii="Google Sans" w:cs="Google Sans" w:eastAsia="Google Sans" w:hAnsi="Google Sans"/>
            <w:color w:val="0000ee"/>
            <w:sz w:val="24"/>
            <w:szCs w:val="24"/>
            <w:u w:val="single"/>
            <w:rtl w:val="0"/>
          </w:rPr>
          <w:t xml:space="preserve">https://www.getdbt.com/blog/exploring-dbt-and-google-with-ai-agents</w:t>
        </w:r>
      </w:hyperlink>
      <w:r w:rsidDel="00000000" w:rsidR="00000000" w:rsidRPr="00000000">
        <w:rPr>
          <w:rtl w:val="0"/>
        </w:rPr>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astronomer/astro-airflow-mcp: MCP server for Apache Airflow instances. Runs standalone or as an Airflow plugin. - GitHub, </w:t>
      </w:r>
      <w:hyperlink r:id="rId63">
        <w:r w:rsidDel="00000000" w:rsidR="00000000" w:rsidRPr="00000000">
          <w:rPr>
            <w:rFonts w:ascii="Google Sans" w:cs="Google Sans" w:eastAsia="Google Sans" w:hAnsi="Google Sans"/>
            <w:color w:val="0000ee"/>
            <w:sz w:val="24"/>
            <w:szCs w:val="24"/>
            <w:u w:val="single"/>
            <w:rtl w:val="0"/>
          </w:rPr>
          <w:t xml:space="preserve">https://github.com/astronomer/astro-airflow-mcp</w:t>
        </w:r>
      </w:hyperlink>
      <w:r w:rsidDel="00000000" w:rsidR="00000000" w:rsidRPr="00000000">
        <w:rPr>
          <w:rtl w:val="0"/>
        </w:rPr>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astronomer/agents: AI agent tooling for data engineering workflows. - GitHub, </w:t>
      </w:r>
      <w:hyperlink r:id="rId64">
        <w:r w:rsidDel="00000000" w:rsidR="00000000" w:rsidRPr="00000000">
          <w:rPr>
            <w:rFonts w:ascii="Google Sans" w:cs="Google Sans" w:eastAsia="Google Sans" w:hAnsi="Google Sans"/>
            <w:color w:val="0000ee"/>
            <w:sz w:val="24"/>
            <w:szCs w:val="24"/>
            <w:u w:val="single"/>
            <w:rtl w:val="0"/>
          </w:rPr>
          <w:t xml:space="preserve">https://github.com/astronomer/agents</w:t>
        </w:r>
      </w:hyperlink>
      <w:r w:rsidDel="00000000" w:rsidR="00000000" w:rsidRPr="00000000">
        <w:rPr>
          <w:rtl w:val="0"/>
        </w:rPr>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Releases · astronomer/agents - GitHub, </w:t>
      </w:r>
      <w:hyperlink r:id="rId65">
        <w:r w:rsidDel="00000000" w:rsidR="00000000" w:rsidRPr="00000000">
          <w:rPr>
            <w:rFonts w:ascii="Google Sans" w:cs="Google Sans" w:eastAsia="Google Sans" w:hAnsi="Google Sans"/>
            <w:color w:val="0000ee"/>
            <w:sz w:val="24"/>
            <w:szCs w:val="24"/>
            <w:u w:val="single"/>
            <w:rtl w:val="0"/>
          </w:rPr>
          <w:t xml:space="preserve">https://github.com/astronomer/agents/releases</w:t>
        </w:r>
      </w:hyperlink>
      <w:r w:rsidDel="00000000" w:rsidR="00000000" w:rsidRPr="00000000">
        <w:rPr>
          <w:rtl w:val="0"/>
        </w:rPr>
      </w:r>
    </w:p>
    <w:p w:rsidR="00000000" w:rsidDel="00000000" w:rsidP="00000000" w:rsidRDefault="00000000" w:rsidRPr="00000000" w14:paraId="000001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Predictive Data Analytics? Definition, Benefits &amp; Use Cases, </w:t>
      </w:r>
      <w:hyperlink r:id="rId66">
        <w:r w:rsidDel="00000000" w:rsidR="00000000" w:rsidRPr="00000000">
          <w:rPr>
            <w:rFonts w:ascii="Google Sans" w:cs="Google Sans" w:eastAsia="Google Sans" w:hAnsi="Google Sans"/>
            <w:color w:val="0000ee"/>
            <w:sz w:val="24"/>
            <w:szCs w:val="24"/>
            <w:u w:val="single"/>
            <w:rtl w:val="0"/>
          </w:rPr>
          <w:t xml:space="preserve">https://lumenore.com/blog/what-is-predictive-data-analytics-definition-benefits-use-cases/</w:t>
        </w:r>
      </w:hyperlink>
      <w:r w:rsidDel="00000000" w:rsidR="00000000" w:rsidRPr="00000000">
        <w:rPr>
          <w:rtl w:val="0"/>
        </w:rPr>
      </w:r>
    </w:p>
    <w:p w:rsidR="00000000" w:rsidDel="00000000" w:rsidP="00000000" w:rsidRDefault="00000000" w:rsidRPr="00000000" w14:paraId="000001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Pipeline System Design: Data Ingestion, Training, and Serving | InfraSketch Blog, </w:t>
      </w:r>
      <w:hyperlink r:id="rId67">
        <w:r w:rsidDel="00000000" w:rsidR="00000000" w:rsidRPr="00000000">
          <w:rPr>
            <w:rFonts w:ascii="Google Sans" w:cs="Google Sans" w:eastAsia="Google Sans" w:hAnsi="Google Sans"/>
            <w:color w:val="0000ee"/>
            <w:sz w:val="24"/>
            <w:szCs w:val="24"/>
            <w:u w:val="single"/>
            <w:rtl w:val="0"/>
          </w:rPr>
          <w:t xml:space="preserve">https://infrasketch.net/blog/ai-pipeline-system-design</w:t>
        </w:r>
      </w:hyperlink>
      <w:r w:rsidDel="00000000" w:rsidR="00000000" w:rsidRPr="00000000">
        <w:rPr>
          <w:rtl w:val="0"/>
        </w:rPr>
      </w:r>
    </w:p>
    <w:p w:rsidR="00000000" w:rsidDel="00000000" w:rsidP="00000000" w:rsidRDefault="00000000" w:rsidRPr="00000000" w14:paraId="000001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An Open Data Architecture With Data Observability - Sifflet, </w:t>
      </w:r>
      <w:hyperlink r:id="rId68">
        <w:r w:rsidDel="00000000" w:rsidR="00000000" w:rsidRPr="00000000">
          <w:rPr>
            <w:rFonts w:ascii="Google Sans" w:cs="Google Sans" w:eastAsia="Google Sans" w:hAnsi="Google Sans"/>
            <w:color w:val="0000ee"/>
            <w:sz w:val="24"/>
            <w:szCs w:val="24"/>
            <w:u w:val="single"/>
            <w:rtl w:val="0"/>
          </w:rPr>
          <w:t xml:space="preserve">https://www.siffletdata.com/blog/open-data-architecture</w:t>
        </w:r>
      </w:hyperlink>
      <w:r w:rsidDel="00000000" w:rsidR="00000000" w:rsidRPr="00000000">
        <w:rPr>
          <w:rtl w:val="0"/>
        </w:rPr>
      </w:r>
    </w:p>
    <w:p w:rsidR="00000000" w:rsidDel="00000000" w:rsidP="00000000" w:rsidRDefault="00000000" w:rsidRPr="00000000" w14:paraId="000001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agentic schema-drift detection tool for Microsoft Fabric that auto-fixes downstream Power BI reports using column-level lineage : r/MicrosoftFabric - Reddit, </w:t>
      </w:r>
      <w:hyperlink r:id="rId69">
        <w:r w:rsidDel="00000000" w:rsidR="00000000" w:rsidRPr="00000000">
          <w:rPr>
            <w:rFonts w:ascii="Google Sans" w:cs="Google Sans" w:eastAsia="Google Sans" w:hAnsi="Google Sans"/>
            <w:color w:val="0000ee"/>
            <w:sz w:val="24"/>
            <w:szCs w:val="24"/>
            <w:u w:val="single"/>
            <w:rtl w:val="0"/>
          </w:rPr>
          <w:t xml:space="preserve">https://www.reddit.com/r/MicrosoftFabric/comments/1unpyw1/i_built_an_agentic_schemadrift_detection_tool_for/</w:t>
        </w:r>
      </w:hyperlink>
      <w:r w:rsidDel="00000000" w:rsidR="00000000" w:rsidRPr="00000000">
        <w:rPr>
          <w:rtl w:val="0"/>
        </w:rPr>
      </w:r>
    </w:p>
    <w:p w:rsidR="00000000" w:rsidDel="00000000" w:rsidP="00000000" w:rsidRDefault="00000000" w:rsidRPr="00000000" w14:paraId="000001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AIGP 2026 Study Guide: AI Governance Mastery | PDF | Artificial Intelligence - Scribd, </w:t>
      </w:r>
      <w:hyperlink r:id="rId70">
        <w:r w:rsidDel="00000000" w:rsidR="00000000" w:rsidRPr="00000000">
          <w:rPr>
            <w:rFonts w:ascii="Google Sans" w:cs="Google Sans" w:eastAsia="Google Sans" w:hAnsi="Google Sans"/>
            <w:color w:val="0000ee"/>
            <w:sz w:val="24"/>
            <w:szCs w:val="24"/>
            <w:u w:val="single"/>
            <w:rtl w:val="0"/>
          </w:rPr>
          <w:t xml:space="preserve">https://www.scribd.com/document/967418203/AIGP-STUDY-GUIDE-2026-2000-Practice-Materials-18-Full-length-Tests-To-Master-AI-Governance-Certification-With-Confidence-AIGP-CERTIFICATION-EXAM</w:t>
        </w:r>
      </w:hyperlink>
      <w:r w:rsidDel="00000000" w:rsidR="00000000" w:rsidRPr="00000000">
        <w:rPr>
          <w:rtl w:val="0"/>
        </w:rPr>
      </w:r>
    </w:p>
    <w:p w:rsidR="00000000" w:rsidDel="00000000" w:rsidP="00000000" w:rsidRDefault="00000000" w:rsidRPr="00000000" w14:paraId="000001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feature extraction? Meaning, Architecture, Examples, Use, </w:t>
      </w:r>
      <w:hyperlink r:id="rId71">
        <w:r w:rsidDel="00000000" w:rsidR="00000000" w:rsidRPr="00000000">
          <w:rPr>
            <w:rFonts w:ascii="Google Sans" w:cs="Google Sans" w:eastAsia="Google Sans" w:hAnsi="Google Sans"/>
            <w:color w:val="0000ee"/>
            <w:sz w:val="24"/>
            <w:szCs w:val="24"/>
            <w:u w:val="single"/>
            <w:rtl w:val="0"/>
          </w:rPr>
          <w:t xml:space="preserve">https://aiopsschool.com/blog/feature-extraction/</w:t>
        </w:r>
      </w:hyperlink>
      <w:r w:rsidDel="00000000" w:rsidR="00000000" w:rsidRPr="00000000">
        <w:rPr>
          <w:rtl w:val="0"/>
        </w:rPr>
      </w:r>
    </w:p>
    <w:p w:rsidR="00000000" w:rsidDel="00000000" w:rsidP="00000000" w:rsidRDefault="00000000" w:rsidRPr="00000000" w14:paraId="000001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Prompt engineering is ontology engineering in denial : r/AI_Agents - Reddit, </w:t>
      </w:r>
      <w:hyperlink r:id="rId72">
        <w:r w:rsidDel="00000000" w:rsidR="00000000" w:rsidRPr="00000000">
          <w:rPr>
            <w:rFonts w:ascii="Google Sans" w:cs="Google Sans" w:eastAsia="Google Sans" w:hAnsi="Google Sans"/>
            <w:color w:val="0000ee"/>
            <w:sz w:val="24"/>
            <w:szCs w:val="24"/>
            <w:u w:val="single"/>
            <w:rtl w:val="0"/>
          </w:rPr>
          <w:t xml:space="preserve">https://www.reddit.com/r/AI_Agents/comments/1r05nab/prompt_engineering_is_ontology_engineering_in/</w:t>
        </w:r>
      </w:hyperlink>
      <w:r w:rsidDel="00000000" w:rsidR="00000000" w:rsidRPr="00000000">
        <w:rPr>
          <w:rtl w:val="0"/>
        </w:rPr>
      </w:r>
    </w:p>
    <w:p w:rsidR="00000000" w:rsidDel="00000000" w:rsidP="00000000" w:rsidRDefault="00000000" w:rsidRPr="00000000" w14:paraId="000001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Knowlee vs Validio (2026): Agentic OS with Graph Brain vs Agentic Data Management, </w:t>
      </w:r>
      <w:hyperlink r:id="rId73">
        <w:r w:rsidDel="00000000" w:rsidR="00000000" w:rsidRPr="00000000">
          <w:rPr>
            <w:rFonts w:ascii="Google Sans" w:cs="Google Sans" w:eastAsia="Google Sans" w:hAnsi="Google Sans"/>
            <w:color w:val="0000ee"/>
            <w:sz w:val="24"/>
            <w:szCs w:val="24"/>
            <w:u w:val="single"/>
            <w:rtl w:val="0"/>
          </w:rPr>
          <w:t xml:space="preserve">https://www.knowlee.ai/compare/knowlee-vs-validio</w:t>
        </w:r>
      </w:hyperlink>
      <w:r w:rsidDel="00000000" w:rsidR="00000000" w:rsidRPr="00000000">
        <w:rPr>
          <w:rtl w:val="0"/>
        </w:rPr>
      </w:r>
    </w:p>
    <w:p w:rsidR="00000000" w:rsidDel="00000000" w:rsidP="00000000" w:rsidRDefault="00000000" w:rsidRPr="00000000" w14:paraId="000001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scAgents: A Multi-Agent Framework for Fully Autonomous End-to-End Single-Cell Perturbation Analysis - OpenReview, </w:t>
      </w:r>
      <w:hyperlink r:id="rId74">
        <w:r w:rsidDel="00000000" w:rsidR="00000000" w:rsidRPr="00000000">
          <w:rPr>
            <w:rFonts w:ascii="Google Sans" w:cs="Google Sans" w:eastAsia="Google Sans" w:hAnsi="Google Sans"/>
            <w:color w:val="0000ee"/>
            <w:sz w:val="24"/>
            <w:szCs w:val="24"/>
            <w:u w:val="single"/>
            <w:rtl w:val="0"/>
          </w:rPr>
          <w:t xml:space="preserve">https://openreview.net/pdf/6d301309c5bd61fc08973d9a68bec30191eba8fa.pdf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401397769_Metacognitive_Multi-Agent_Systems_MMAS_with_Symbolic_Semantic_Graphs_SSGs_and_GraphRAG" TargetMode="External"/><Relationship Id="rId42" Type="http://schemas.openxmlformats.org/officeDocument/2006/relationships/hyperlink" Target="https://www.databricks.com/blog/what-is-model-context-protocol" TargetMode="External"/><Relationship Id="rId41" Type="http://schemas.openxmlformats.org/officeDocument/2006/relationships/hyperlink" Target="https://dzone.com/articles/agentic-ai-sre-copilot-incident-response" TargetMode="External"/><Relationship Id="rId44" Type="http://schemas.openxmlformats.org/officeDocument/2006/relationships/hyperlink" Target="https://medium.com/@sendoamoronta/the-next-evolution-of-data-platforms-is-not-another-warehouse-e580e25d7fd3" TargetMode="External"/><Relationship Id="rId43" Type="http://schemas.openxmlformats.org/officeDocument/2006/relationships/hyperlink" Target="https://developers.redhat.com/articles/2026/01/08/building-effective-ai-agents-mcp" TargetMode="External"/><Relationship Id="rId46" Type="http://schemas.openxmlformats.org/officeDocument/2006/relationships/hyperlink" Target="https://developer.ibm.com/articles/mcp-architecture-patterns-ai-systems/" TargetMode="External"/><Relationship Id="rId45" Type="http://schemas.openxmlformats.org/officeDocument/2006/relationships/hyperlink" Target="https://modelcontextprotocol.io/specification/2025-11-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48" Type="http://schemas.openxmlformats.org/officeDocument/2006/relationships/hyperlink" Target="https://github.com/abhishekbhakat/airflow-mcp-server" TargetMode="External"/><Relationship Id="rId47" Type="http://schemas.openxmlformats.org/officeDocument/2006/relationships/hyperlink" Target="https://docs.cloud.google.com/composer/docs/composer-3/use-composer-mcp" TargetMode="External"/><Relationship Id="rId49" Type="http://schemas.openxmlformats.org/officeDocument/2006/relationships/hyperlink" Target="https://mcpservers.org/servers/github-com-call518-mcp-airflow-api"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3.png"/><Relationship Id="rId8" Type="http://schemas.openxmlformats.org/officeDocument/2006/relationships/image" Target="media/image7.png"/><Relationship Id="rId73" Type="http://schemas.openxmlformats.org/officeDocument/2006/relationships/hyperlink" Target="https://www.knowlee.ai/compare/knowlee-vs-validio" TargetMode="External"/><Relationship Id="rId72" Type="http://schemas.openxmlformats.org/officeDocument/2006/relationships/hyperlink" Target="https://www.reddit.com/r/AI_Agents/comments/1r05nab/prompt_engineering_is_ontology_engineering_in/" TargetMode="External"/><Relationship Id="rId31" Type="http://schemas.openxmlformats.org/officeDocument/2006/relationships/hyperlink" Target="https://datahub.com/products/context-platform/" TargetMode="External"/><Relationship Id="rId30" Type="http://schemas.openxmlformats.org/officeDocument/2006/relationships/hyperlink" Target="https://www.typedef.ai/blog/mcps-give-agents-access-they-don-t-give-them-understanding" TargetMode="External"/><Relationship Id="rId74" Type="http://schemas.openxmlformats.org/officeDocument/2006/relationships/hyperlink" Target="https://openreview.net/pdf/6d301309c5bd61fc08973d9a68bec30191eba8fa.pdf" TargetMode="External"/><Relationship Id="rId33" Type="http://schemas.openxmlformats.org/officeDocument/2006/relationships/hyperlink" Target="https://www.algolia.com/blog/ai/ai-agent-evaluation-frameworks-metrics-testing-strategies" TargetMode="External"/><Relationship Id="rId32" Type="http://schemas.openxmlformats.org/officeDocument/2006/relationships/hyperlink" Target="https://www.anthropic.com/engineering/code-execution-with-mcp" TargetMode="External"/><Relationship Id="rId35" Type="http://schemas.openxmlformats.org/officeDocument/2006/relationships/hyperlink" Target="https://mastra.ai/articles/ai-agent-evaluation" TargetMode="External"/><Relationship Id="rId34" Type="http://schemas.openxmlformats.org/officeDocument/2006/relationships/hyperlink" Target="https://quantiphi.com/blog/ai-agent-evaluation/" TargetMode="External"/><Relationship Id="rId71" Type="http://schemas.openxmlformats.org/officeDocument/2006/relationships/hyperlink" Target="https://aiopsschool.com/blog/feature-extraction/" TargetMode="External"/><Relationship Id="rId70" Type="http://schemas.openxmlformats.org/officeDocument/2006/relationships/hyperlink" Target="https://www.scribd.com/document/967418203/AIGP-STUDY-GUIDE-2026-2000-Practice-Materials-18-Full-length-Tests-To-Master-AI-Governance-Certification-With-Confidence-AIGP-CERTIFICATION-EXAM" TargetMode="External"/><Relationship Id="rId37" Type="http://schemas.openxmlformats.org/officeDocument/2006/relationships/hyperlink" Target="https://www.getdbt.com/resources/webinars/build-reliable-ai-agents-with-the-dbt-mcp-server" TargetMode="External"/><Relationship Id="rId36" Type="http://schemas.openxmlformats.org/officeDocument/2006/relationships/hyperlink" Target="https://docs.datahub.com/docs/dev-guides/agent-context/agent-context" TargetMode="External"/><Relationship Id="rId39" Type="http://schemas.openxmlformats.org/officeDocument/2006/relationships/hyperlink" Target="https://techcommunity.microsoft.com/blog/azuredevcommunityblog/orchestrating-multi-agent-intelligence-mcp-driven-patterns-in-agent-framework/4462150" TargetMode="External"/><Relationship Id="rId38" Type="http://schemas.openxmlformats.org/officeDocument/2006/relationships/hyperlink" Target="https://github.com/rinadelph/Agent-MCP" TargetMode="External"/><Relationship Id="rId62" Type="http://schemas.openxmlformats.org/officeDocument/2006/relationships/hyperlink" Target="https://www.getdbt.com/blog/exploring-dbt-and-google-with-ai-agents" TargetMode="External"/><Relationship Id="rId61" Type="http://schemas.openxmlformats.org/officeDocument/2006/relationships/hyperlink" Target="https://github.com/astronomer/agents?utm_cta=apps-workload-page" TargetMode="External"/><Relationship Id="rId20" Type="http://schemas.openxmlformats.org/officeDocument/2006/relationships/hyperlink" Target="https://www.preprints.org/manuscript/202606.1312" TargetMode="External"/><Relationship Id="rId64" Type="http://schemas.openxmlformats.org/officeDocument/2006/relationships/hyperlink" Target="https://github.com/astronomer/agents" TargetMode="External"/><Relationship Id="rId63" Type="http://schemas.openxmlformats.org/officeDocument/2006/relationships/hyperlink" Target="https://github.com/astronomer/astro-airflow-mcp" TargetMode="External"/><Relationship Id="rId22" Type="http://schemas.openxmlformats.org/officeDocument/2006/relationships/hyperlink" Target="https://arxiv.org/html/2503.21460v1" TargetMode="External"/><Relationship Id="rId66" Type="http://schemas.openxmlformats.org/officeDocument/2006/relationships/hyperlink" Target="https://lumenore.com/blog/what-is-predictive-data-analytics-definition-benefits-use-cases/" TargetMode="External"/><Relationship Id="rId21" Type="http://schemas.openxmlformats.org/officeDocument/2006/relationships/hyperlink" Target="https://www.themoonlight.io/en/review/large-language-model-agent-a-survey-on-methodology-applications-and-challenges" TargetMode="External"/><Relationship Id="rId65" Type="http://schemas.openxmlformats.org/officeDocument/2006/relationships/hyperlink" Target="https://github.com/astronomer/agents/releases" TargetMode="External"/><Relationship Id="rId24" Type="http://schemas.openxmlformats.org/officeDocument/2006/relationships/hyperlink" Target="https://arxiv.org/pdf/2503.21460" TargetMode="External"/><Relationship Id="rId68" Type="http://schemas.openxmlformats.org/officeDocument/2006/relationships/hyperlink" Target="https://www.siffletdata.com/blog/open-data-architecture" TargetMode="External"/><Relationship Id="rId23" Type="http://schemas.openxmlformats.org/officeDocument/2006/relationships/hyperlink" Target="https://huggingface.co/blog/luojunyu/llm-agent" TargetMode="External"/><Relationship Id="rId67" Type="http://schemas.openxmlformats.org/officeDocument/2006/relationships/hyperlink" Target="https://infrasketch.net/blog/ai-pipeline-system-design" TargetMode="External"/><Relationship Id="rId60" Type="http://schemas.openxmlformats.org/officeDocument/2006/relationships/hyperlink" Target="https://www.snowflake.com/en/data-governance/data-stewardship/" TargetMode="External"/><Relationship Id="rId26" Type="http://schemas.openxmlformats.org/officeDocument/2006/relationships/hyperlink" Target="https://modelcontextprotocol.io/docs/getting-started/intro" TargetMode="External"/><Relationship Id="rId25" Type="http://schemas.openxmlformats.org/officeDocument/2006/relationships/hyperlink" Target="https://programmer.ie/post/agents_llm/" TargetMode="External"/><Relationship Id="rId69" Type="http://schemas.openxmlformats.org/officeDocument/2006/relationships/hyperlink" Target="https://www.reddit.com/r/MicrosoftFabric/comments/1unpyw1/i_built_an_agentic_schemadrift_detection_tool_for/" TargetMode="External"/><Relationship Id="rId28" Type="http://schemas.openxmlformats.org/officeDocument/2006/relationships/hyperlink" Target="https://datahub.com/blog/context-management/" TargetMode="External"/><Relationship Id="rId27" Type="http://schemas.openxmlformats.org/officeDocument/2006/relationships/hyperlink" Target="https://datahub.com/blog/mcp-context-management/" TargetMode="External"/><Relationship Id="rId29" Type="http://schemas.openxmlformats.org/officeDocument/2006/relationships/hyperlink" Target="https://datahub.com/blog/context-management-tools/" TargetMode="External"/><Relationship Id="rId51" Type="http://schemas.openxmlformats.org/officeDocument/2006/relationships/hyperlink" Target="https://censinet.com/perspectives/data-owners-vs-stewards-vs-custodians-roles-explained" TargetMode="External"/><Relationship Id="rId50" Type="http://schemas.openxmlformats.org/officeDocument/2006/relationships/hyperlink" Target="https://medium.com/@reliabledataengineering/the-modern-data-engineers-guide-to-model-context-protocol-why-mcp-is-transforming-data-784dde0f466f" TargetMode="External"/><Relationship Id="rId53" Type="http://schemas.openxmlformats.org/officeDocument/2006/relationships/hyperlink" Target="https://atlan.com/data-stewardship-101/" TargetMode="External"/><Relationship Id="rId52" Type="http://schemas.openxmlformats.org/officeDocument/2006/relationships/hyperlink" Target="https://www.getcollate.io/learning-center/data-steward" TargetMode="External"/><Relationship Id="rId11" Type="http://schemas.openxmlformats.org/officeDocument/2006/relationships/image" Target="media/image14.png"/><Relationship Id="rId55" Type="http://schemas.openxmlformats.org/officeDocument/2006/relationships/hyperlink" Target="https://cloud.google.com/blog/topics/telecommunications/new-agents-for-the-autonomous-network-operations-framework" TargetMode="External"/><Relationship Id="rId10" Type="http://schemas.openxmlformats.org/officeDocument/2006/relationships/image" Target="media/image8.png"/><Relationship Id="rId54" Type="http://schemas.openxmlformats.org/officeDocument/2006/relationships/hyperlink" Target="https://discuss.google.dev/t/agentic-data-products-with-knowledge-catalog-and-mcp-remote-server/367004" TargetMode="External"/><Relationship Id="rId13" Type="http://schemas.openxmlformats.org/officeDocument/2006/relationships/image" Target="media/image6.png"/><Relationship Id="rId57" Type="http://schemas.openxmlformats.org/officeDocument/2006/relationships/hyperlink" Target="https://futureconnections.com/events/dtw-ignite-2026/" TargetMode="External"/><Relationship Id="rId12" Type="http://schemas.openxmlformats.org/officeDocument/2006/relationships/image" Target="media/image12.png"/><Relationship Id="rId56" Type="http://schemas.openxmlformats.org/officeDocument/2006/relationships/hyperlink" Target="https://futureconnections.com/blog/data-steward-core-network-agents/" TargetMode="External"/><Relationship Id="rId15" Type="http://schemas.openxmlformats.org/officeDocument/2006/relationships/image" Target="media/image11.png"/><Relationship Id="rId59" Type="http://schemas.openxmlformats.org/officeDocument/2006/relationships/hyperlink" Target="https://datahub.com/blog/semantic-backbone-of-enterprise-data-analytics-agents/" TargetMode="External"/><Relationship Id="rId14" Type="http://schemas.openxmlformats.org/officeDocument/2006/relationships/image" Target="media/image10.png"/><Relationship Id="rId58" Type="http://schemas.openxmlformats.org/officeDocument/2006/relationships/hyperlink" Target="https://datahub.com/blog/datahub-analytics-agent/" TargetMode="External"/><Relationship Id="rId17" Type="http://schemas.openxmlformats.org/officeDocument/2006/relationships/image" Target="media/image1.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