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PLAN DE GESTIÓN DE CAMBIOS</w:t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3343667" cy="116173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>
      <w:pPr>
        <w:spacing w:line="48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Junio del 2016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Propósito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siguiente documento define las actividades y funciones para gestionar y controlar el   cambio durante la ejecución y mantenimiento de los proyectos que se desarrollarán. El presente documento está destinado al director del proyecto, el equipo del proyecto, el sponsor del proyecto y cualquier otro líder de alto nivel, cuyo apoyo son necesarios.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de la Gestión de Cambio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Manuel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siguiente tabla 1 se detallan los roles y responsabilidades asignadas a la de Gestión de Cambios</w:t>
      </w:r>
    </w:p>
    <w:tbl>
      <w:tblPr>
        <w:tblStyle w:val="Table1"/>
        <w:bidi w:val="0"/>
        <w:tblW w:w="9360.0" w:type="dxa"/>
        <w:jc w:val="center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0"/>
        <w:gridCol w:w="1480"/>
        <w:gridCol w:w="4200"/>
        <w:gridCol w:w="1740"/>
        <w:tblGridChange w:id="0">
          <w:tblGrid>
            <w:gridCol w:w="1940"/>
            <w:gridCol w:w="1480"/>
            <w:gridCol w:w="4200"/>
            <w:gridCol w:w="1740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Rol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 Asignada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Niveles De Autoridad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Altas decisiones sobre el proyecto.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sobre el proyecto.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DM, EB, AC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Analizan el impacto del cambio, aprueban o rechazan los cambios propuestos por los interesados.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solicitudes de cambios relevantes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Autoridad sobre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 la gestión de cambios.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EB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impactos de las Solicitudes de Cambio y hacer recomendaciones.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Aprobar Solicitudes de Cambio.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y aprobar solicitudes de cambio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Asistente de Gestión de Proyectos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Captar las iniciativas de cambio de los stakeholders y formalizarlas en Solicitudes de Cambio.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solicitudes de cambio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cambios cuando lo crea conveniente y oportuno.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cambios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1: Roles y Responsabilidades de la Gestión de Cambios.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Tipificación de  la solicitud de cambios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tienen que ser descritos y clasificados para su mejor gestión.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Tipos de cambios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ACCIÓN CORRECTIVA:Este tipo de cambio no pasa por el Proceso General de Gestión de Cambios, en su lugar el Project Manager tiene la autoridad para aprobarlo y coordinar su ejecución.</w:t>
        <w:br w:type="textWrapping"/>
        <w:t xml:space="preserve">2. ACCIÓN PREVENTIVA: Este tipo de cambio no pasa por el Proceso General de Gestión de Cambios, en su lugar el Project Manager tiene la autoridad para aprobarlo y coordinar su ejecución.</w:t>
        <w:br w:type="textWrapping"/>
        <w:t xml:space="preserve">3. REPARACION DE DEFECTO: Este tipo de cambio no pasa por el Proceso General de Gestión de Cambios, en su lugar el Inspector de Calidad tiene la autoridad para aprobarlo y coordinar su ejecución.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Prioridad de las solicitudes de cambios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solicitudes de cambios son atendidas de acuerdo a su urgencia y al impacto que el cambio respectivo tenga, de acuerdo a estos dos aspectos se les asigna una prioridad, asi podemos gestionar mejor aquellos cambios que requieran de nuestra inmediata atención. Las prioridades de las solicitudes de cambios pueden ser: baja, normal, alta o urgente, las cuales son detallados en la Tabla 2.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15.0" w:type="dxa"/>
        <w:jc w:val="left"/>
        <w:tblInd w:w="3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6"/>
        <w:gridCol w:w="5529"/>
        <w:tblGridChange w:id="0">
          <w:tblGrid>
            <w:gridCol w:w="3086"/>
            <w:gridCol w:w="552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conveniente realizar este cambio junto a otros cuando, por ejemplo, se decidan actualizar ciertos paquetes de software o se compre nuevo hardware, etc.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conveniente realizar el cambio pero siempre que ello no entorpezca algún otro cambio de más alta prioridad.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cambio que debe realizarse sin demora pues está asociado a errores conocidos que deterioran apreciablemente la calidad del servicio. El CAB debe evaluar este cambio en su próxima reunión y adoptar las medidas pertinentes que permitan una pronta solución.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Urgente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76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necesario resolver un problema que está provocando una interrupción o deterioro grave del servicio. Un cambio de prioridad urgente desencadena un proceso denominado cambio de emergencia que trataremos de forma independiente.</w:t>
            </w:r>
          </w:p>
        </w:tc>
      </w:tr>
    </w:tbl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2: Priorización de las solicitudes de cambios</w:t>
      </w:r>
    </w:p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General de la Gestión de 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-Karem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proceso de de gestión de cambios se aplica cuando un elemento de la configuración va a sufrir una modificación por alguna razón específica.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describirán las actividades, la documentación necesaria y las políticas para cada una de las fases del proceso de Gestión de Cambios.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Recibir y  Analizar la 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completa el documento de Solicitud de Cambio.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del grupo de gestión del cambio.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petición de cambio.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el documento de la solicitud de cambio al CCC.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la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Solicitud debe completar todos los campos que se especifican como necesarios en el documento de la solicitud de cambio, caso contrario se rechazará y se termina el proceso.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Sólo se registrará el cambio en el momento en que el CCC autorice el mismo.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autorización tiene un máximo de 3 días para generarse y el escalamiento que se realiza es el siguiente: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cambios: 1 día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Coordinador Técnico: 1 día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Comité de Control de Cambios: 1 día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Pasados estos 3 días sin obtenerse la autorización del CCC, se rechazará y se dará por cerrado el proceso.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Clasificar 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inicial del cambio (tipo y prioridad).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 de cambio (SC).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del SC debe ser completa y consistente.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y prioridad del SC debe de ser documentada y anexarse a la solicitud de cambio.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Cualquier observación debe anexarse a la solicitud de cambio.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actividades durante el proceso de clasificación se deben documentar en la herramienta suministrada para la gestión de SC.</w:t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del impacto y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las áreas del sistema afectadas.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las personas expertas en estas áreas (DBA, Analista funcional, Analista técnico, etc.)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y análisis del impacto del cambio de parte del CCC y el grupo de personas expertas afectadas al cambio.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el riesgo del cambio.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modificación al alcance del cambio.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Ajustar el plan de trabajo del cambio.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el impacto sobre los cambios en curso.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UC vs Clases.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Requerimientos vs UC.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actividad se puede contar con participación de diversos miembros del equipo de proyectos como los analistas, arquitectos de software y programadores.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impactos y riesgos que afecten alguna funcionalidad del software en producción deberán ser comunicados al responsable de la solicitud de cambio.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los cambios  impactan a clientes del negocio o de manera general a la organización (redes, agenda, internet, etc.) se deberá  presentar ante el comité de cambios como un cambio de mayor prioridad.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finalizar el Análisis de Impacto de los cambios en curso, en el caso de proyectos debe existir la medición de pruebas realizadas, entregas y el diseño aprobado por parte de arquitectura.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cambio que genere un cambio de versión sobre cualquier componente de TI, debe adjuntar su correspondiente explicación frente al impacto sobre las aplicaciones, servidores o BD, para poder adelantar un análisis de riesgo apropiado.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Aprobación del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la clasificación del cambio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Decidir aprobación del cambio.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relaciones con otros cambios.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Comunicar la aprobación del cambio.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Agrupar cambios en entregas.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actualizar la solicitud de cambio, asignando al responsable del cambio junto con las observaciones como resultado del análisis realizado en las anteriores actividades.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cambio mayor o crítico debe ser aprobado por el comité de cambios, y los cambios urgentes son aprobados por el comité de urgencias.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actividades durante este procedimiento se deben documentar en la herramienta suministrada para la gestión de la SC.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Comunicar al responsable de la solicitud del cambio y a los miembros involucrados en los procesos de gestión de cambios.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Calendarización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fechas.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 los implicados del cambio.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equipo que estará a cargo de la implementación del cambio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la implementación deberá obtener libre acceso a la información histórica sobre el proceso de negocio que afecta el cambio.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grupo de gestión de cambios,  realizará  en forma conjunta con el proceso de gestión de entrega, la planificación del cambio en el tiempo, coordinando la inter-relación y el efecto sobre los cambios que están en marcha.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solicitudes de cambio que hayan cumplido con el ciclo del proceso hasta la fase de aprobación, tendrán un seguimiento continuo.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oficializaran las fechas estimadas para la puesta en producción del cambio solicitado, actualizando también las fechas de los otros cambios si es que se ven afectados.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de tareas a los miembros del equipo a cargo de la implementación.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seguimiento a los planes de trabajo para el cambio.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realización de pruebas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Implementación del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Organización de Tareas.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implementación gestionara las tareas que se asignen a cada miembro del equipo de la implementación.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implementación deberá solicitar los recursos necesarios para las pruebas que realizarán previos a la presentación del usuario final.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liberación tiene un día hábil (24 horas) para poder realizar la puesta en producción del cambio solicitado.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Urgentes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Convocar a comité de cambios de emergencia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solicitud de cambio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Aprobar el cambio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 planificar cambios afectados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Preparar e implementar el cambio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al cambio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el cambio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Trazabilidad UC vs Requisitos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de requisitos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Casos de Uso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la configuración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análisis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diseño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deberá analizar la solicitud de cambios en un promedio de tiempo no mayor a 3 horas.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 emergencia es el encargado de aceptar la solicitud de cambio.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 emergencia debe justificar que el cambio sea urgente, en caso no serlo se deberá reclasificar la solicitud de cambio.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 de la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efectos.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 satisfacción de usuarios.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 Release Implementados.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evaluar la satisfacción de los usuarios haciendo un monitoreo por siete días hábiles.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alguna eventualidad, el analista debe comunicar al CCC.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28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 solicitud de cambio cuya etapa de verificación post-implementación se haya culminado.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las SC cuya verificación de actualización se haya completado de acuerdo al procedimiento establecido en Gestión de Configuraciones, validado y aprobado por el Gerente.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las SC cuyo proceso de licencia se haya culminado de acuerdo a los procedimientos establecidos por Gestión de la Entrega.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contingencia ante SOLICITUDES de CAMBIOS URGENTES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-Manuel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 la necesidad de cambios con prioridad e impacto altos se requiere de un plan de contingencia para atender solicitudes de cambio sumamente urgentes que no pueden esperar la reunión del Comité de Control de Cambios.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Project Manager será el único autorizado para utilizar y ejecutar este Plan de Contingencia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tabla 3 se describen las actividades correspondientes al Plan de Contingencia ante Solicitudes de Cambios Urgentes: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245"/>
        <w:gridCol w:w="2235"/>
        <w:tblGridChange w:id="0">
          <w:tblGrid>
            <w:gridCol w:w="2880"/>
            <w:gridCol w:w="4245"/>
            <w:gridCol w:w="2235"/>
          </w:tblGrid>
        </w:tblGridChange>
      </w:tblGrid>
      <w:tr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la Solicitud de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registra personalmente la solicitud.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la Solicitud de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verifica la solicitud.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Impactos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evalúa impactos.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Tomar Decisión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toma la decisión consultando telefónicamente al Sponsor, o en su defecto consultando a por lo menos dos miembros del Comité de Control de Cambios.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Formalizar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convoca al Comité de Control de Cambios y sustenta la necesidad de haber utilizado este procedimiento de urgencia. Comité de Control de Cambios formaliza la aprobación o reconsidera la decisión del Project Manager.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Ejecutar Decisión del Comité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ejecuta decisión del Comité.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Implantar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implanta el cambio.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Concluir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concluye el proceso de cambio.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3: Actividades del Plan de Contingencia ante Solicitudes de Cambios Urgentes.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Solicitud de cambios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solicitudes de cambios deben tener el siguiente formato: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12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360"/>
        <w:gridCol w:w="2325"/>
        <w:gridCol w:w="360"/>
        <w:gridCol w:w="2115"/>
        <w:gridCol w:w="360"/>
        <w:gridCol w:w="2700"/>
        <w:tblGridChange w:id="0">
          <w:tblGrid>
            <w:gridCol w:w="1905"/>
            <w:gridCol w:w="360"/>
            <w:gridCol w:w="2325"/>
            <w:gridCol w:w="360"/>
            <w:gridCol w:w="2115"/>
            <w:gridCol w:w="360"/>
            <w:gridCol w:w="2700"/>
          </w:tblGrid>
        </w:tblGridChange>
      </w:tblGrid>
      <w:tr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cambio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Numero2digitos_siglasSistema_SiglasProyecto</w:t>
            </w:r>
          </w:p>
        </w:tc>
      </w:tr>
      <w:tr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ind w:left="27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Área del proceso donde se solicita el cambio</w:t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Sistema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 de la solicitud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Rechazado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80.0" w:type="dxa"/>
        <w:jc w:val="left"/>
        <w:tblInd w:w="-2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2160"/>
        <w:gridCol w:w="2160"/>
        <w:gridCol w:w="3135"/>
        <w:tblGridChange w:id="0">
          <w:tblGrid>
            <w:gridCol w:w="2625"/>
            <w:gridCol w:w="2160"/>
            <w:gridCol w:w="2160"/>
            <w:gridCol w:w="3135"/>
          </w:tblGrid>
        </w:tblGridChange>
      </w:tblGrid>
      <w:tr>
        <w:tc>
          <w:tcPr>
            <w:gridSpan w:val="4"/>
            <w:shd w:fill="f3f3f3"/>
          </w:tcPr>
          <w:p w:rsidR="00000000" w:rsidDel="00000000" w:rsidP="00000000" w:rsidRDefault="00000000" w:rsidRPr="00000000">
            <w:pPr>
              <w:tabs>
                <w:tab w:val="left" w:pos="990"/>
              </w:tabs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Conformación del equipo de trabajo por parte de la Dependencia interesada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Horas x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líder 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 Todo equipo de trabajo deberá definir un usuario líder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20.0" w:type="dxa"/>
        <w:jc w:val="left"/>
        <w:tblInd w:w="-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5"/>
        <w:gridCol w:w="5325"/>
        <w:tblGridChange w:id="0">
          <w:tblGrid>
            <w:gridCol w:w="4695"/>
            <w:gridCol w:w="5325"/>
          </w:tblGrid>
        </w:tblGridChange>
      </w:tblGrid>
      <w:tr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Costos de realizar el cambio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(en 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Horas hombre</w:t>
            </w:r>
          </w:p>
        </w:tc>
        <w:tc>
          <w:tcPr>
            <w:shd w:fill="e7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Honorarios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0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5"/>
        <w:tblGridChange w:id="0">
          <w:tblGrid>
            <w:gridCol w:w="1000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del plan de acción institucional al cual le apunta el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2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la necesidad de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3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Beneficios esperados con el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5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Definir Riesgos potenciales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Gestión de 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Merlin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209550</wp:posOffset>
            </wp:positionV>
            <wp:extent cx="5943600" cy="2705100"/>
            <wp:effectExtent b="0" l="0" r="0" t="0"/>
            <wp:wrapSquare wrapText="bothSides" distB="114300" distT="11430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4895850</wp:posOffset>
            </wp:positionV>
            <wp:extent cx="5943600" cy="1714500"/>
            <wp:effectExtent b="0" l="0" r="0" t="0"/>
            <wp:wrapSquare wrapText="bothSides" distB="114300" distT="114300" distL="114300" distR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2552700</wp:posOffset>
            </wp:positionV>
            <wp:extent cx="5943600" cy="2371725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1"/>
      <w:bidi w:val="0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cccccc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SW-TEAM</w:t>
          </w:r>
        </w:p>
      </w:tc>
      <w:tc>
        <w:tcPr>
          <w:shd w:fill="cccccc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Documento del Plan de Gestión de Cambios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Versión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