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Revisión Histórica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80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1995"/>
        <w:gridCol w:w="1995"/>
        <w:gridCol w:w="3195"/>
        <w:tblGridChange w:id="0">
          <w:tblGrid>
            <w:gridCol w:w="1995"/>
            <w:gridCol w:w="1995"/>
            <w:gridCol w:w="1995"/>
            <w:gridCol w:w="3195"/>
          </w:tblGrid>
        </w:tblGridChange>
      </w:tblGrid>
      <w:tr>
        <w:trPr>
          <w:trHeight w:val="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/06/16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Elí Blas Pagola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ESPECIFICACIÓN DEL CASO DE USO: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GENERAR </w:t>
      </w:r>
      <w:r w:rsidDel="00000000" w:rsidR="00000000" w:rsidRPr="00000000">
        <w:rPr>
          <w:b w:val="1"/>
          <w:sz w:val="36"/>
          <w:szCs w:val="36"/>
          <w:rtl w:val="0"/>
        </w:rPr>
        <w:t xml:space="preserve">PADRÓN ELECTORAL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567" w:right="183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1. BREVE DESCRIPCIÓN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708" w:right="183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En este caso de uso </w:t>
      </w:r>
      <w:r w:rsidDel="00000000" w:rsidR="00000000" w:rsidRPr="00000000">
        <w:rPr>
          <w:sz w:val="24"/>
          <w:szCs w:val="24"/>
          <w:rtl w:val="0"/>
        </w:rPr>
        <w:t xml:space="preserve">permitirá obtener la relación de los electores (padrón electoral) de un determinado proceso electoral.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0" w:right="183" w:firstLine="72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2. PRE CONDICIONES</w:t>
      </w:r>
    </w:p>
    <w:p w:rsidR="00000000" w:rsidDel="00000000" w:rsidP="00000000" w:rsidRDefault="00000000" w:rsidRPr="00000000">
      <w:pPr>
        <w:spacing w:after="160" w:before="0" w:line="240" w:lineRule="auto"/>
        <w:ind w:left="720" w:right="183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2.1. El Jefe de Proceso Electoral deberá estar logueado</w:t>
      </w:r>
    </w:p>
    <w:p w:rsidR="00000000" w:rsidDel="00000000" w:rsidP="00000000" w:rsidRDefault="00000000" w:rsidRPr="00000000">
      <w:pPr>
        <w:spacing w:after="160" w:before="0" w:line="240" w:lineRule="auto"/>
        <w:ind w:left="567" w:right="183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. 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40" w:lineRule="auto"/>
        <w:ind w:left="1281" w:right="183" w:hanging="357"/>
        <w:jc w:val="both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Jefe del Proceso Electoral ingrese a la opción “Proceso Electoral” XXYY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40" w:lineRule="auto"/>
        <w:ind w:left="1281" w:right="183" w:hanging="357"/>
        <w:jc w:val="both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un pantalla con varias opciones de administración, entre ellas una que indica “Generar Padrón Electoral”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40" w:lineRule="auto"/>
        <w:ind w:left="1281" w:right="183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actor selecciona la opción “Generar Padrón Electoral”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40" w:lineRule="auto"/>
        <w:ind w:left="1281" w:right="183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un mensaje de confirmación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40" w:lineRule="auto"/>
        <w:ind w:left="1281" w:right="183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Jefe del Proceso confirma la generación del Padrón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40" w:lineRule="auto"/>
        <w:ind w:left="1281" w:right="183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genera el padrón electoral con la relación de los estudiantes matriculados en el presente semestre y que no tengan deudas mayores a S/. 150 ; en la pantalla se mostrará Apellidos y Nombres del estudiante, Código de estudiante, ordenados por facultad y escuela. Además el sistema muestra la opción de imprimir, exportar.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40" w:lineRule="auto"/>
        <w:ind w:left="1281" w:right="183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el padrón electoral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40" w:lineRule="auto"/>
        <w:ind w:left="1281" w:right="183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finaliza el CUS</w:t>
      </w:r>
    </w:p>
    <w:p w:rsidR="00000000" w:rsidDel="00000000" w:rsidP="00000000" w:rsidRDefault="00000000" w:rsidRPr="00000000">
      <w:pPr>
        <w:spacing w:after="160" w:before="0" w:line="240" w:lineRule="auto"/>
        <w:ind w:left="567" w:right="1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567" w:right="183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3. FLUJOS ALTERNATIVOS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708" w:right="181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3.1. Cancelación de la generación del Padrón Electoral: Paso 5</w:t>
      </w:r>
    </w:p>
    <w:p w:rsidR="00000000" w:rsidDel="00000000" w:rsidP="00000000" w:rsidRDefault="00000000" w:rsidRPr="00000000">
      <w:pPr>
        <w:spacing w:after="160" w:before="0" w:line="240" w:lineRule="auto"/>
        <w:ind w:left="1428" w:right="181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3.1.1. El Jefe del Proceso no confirma la generación del Padrón Electoral</w:t>
      </w:r>
    </w:p>
    <w:p w:rsidR="00000000" w:rsidDel="00000000" w:rsidP="00000000" w:rsidRDefault="00000000" w:rsidRPr="00000000">
      <w:pPr>
        <w:spacing w:after="160" w:before="0" w:line="240" w:lineRule="auto"/>
        <w:ind w:left="1428" w:right="181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3.1.2. El sistema vuelve al paso 2</w:t>
      </w:r>
    </w:p>
    <w:p w:rsidR="00000000" w:rsidDel="00000000" w:rsidP="00000000" w:rsidRDefault="00000000" w:rsidRPr="00000000">
      <w:pPr>
        <w:spacing w:after="160" w:before="0" w:line="240" w:lineRule="auto"/>
        <w:ind w:left="0" w:right="1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567" w:right="1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567" w:right="183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. POSTCONDICIÓN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567" w:right="183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En el sistema queda registrado el padrón electoral para dicho Proceso Electoral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567" w:right="1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right="183" w:firstLine="0"/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pgSz w:h="17338" w:w="11906"/>
      <w:pgMar w:bottom="1418" w:top="1815" w:left="1092" w:right="1092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722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61"/>
      <w:gridCol w:w="4861"/>
      <w:tblGridChange w:id="0">
        <w:tblGrid>
          <w:gridCol w:w="4861"/>
          <w:gridCol w:w="4861"/>
        </w:tblGrid>
      </w:tblGridChange>
    </w:tblGrid>
    <w:tr>
      <w:tc>
        <w:tcPr>
          <w:shd w:fill="b7b7b7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Sistema de Voto Electrónico</w:t>
          </w:r>
        </w:p>
      </w:tc>
      <w:tc>
        <w:tcPr>
          <w:shd w:fill="b7b7b7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Especificación de Casos de Uso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SW-TEAM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287" w:firstLine="926.9999999999999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firstLine="1647"/>
      </w:pPr>
      <w:rPr/>
    </w:lvl>
    <w:lvl w:ilvl="2">
      <w:start w:val="1"/>
      <w:numFmt w:val="lowerRoman"/>
      <w:lvlText w:val="%3."/>
      <w:lvlJc w:val="right"/>
      <w:pPr>
        <w:ind w:left="2727" w:firstLine="2547"/>
      </w:pPr>
      <w:rPr/>
    </w:lvl>
    <w:lvl w:ilvl="3">
      <w:start w:val="1"/>
      <w:numFmt w:val="decimal"/>
      <w:lvlText w:val="%4."/>
      <w:lvlJc w:val="left"/>
      <w:pPr>
        <w:ind w:left="3447" w:firstLine="3087"/>
      </w:pPr>
      <w:rPr/>
    </w:lvl>
    <w:lvl w:ilvl="4">
      <w:start w:val="1"/>
      <w:numFmt w:val="lowerLetter"/>
      <w:lvlText w:val="%5."/>
      <w:lvlJc w:val="left"/>
      <w:pPr>
        <w:ind w:left="4167" w:firstLine="3807"/>
      </w:pPr>
      <w:rPr/>
    </w:lvl>
    <w:lvl w:ilvl="5">
      <w:start w:val="1"/>
      <w:numFmt w:val="lowerRoman"/>
      <w:lvlText w:val="%6."/>
      <w:lvlJc w:val="right"/>
      <w:pPr>
        <w:ind w:left="4887" w:firstLine="4707"/>
      </w:pPr>
      <w:rPr/>
    </w:lvl>
    <w:lvl w:ilvl="6">
      <w:start w:val="1"/>
      <w:numFmt w:val="decimal"/>
      <w:lvlText w:val="%7."/>
      <w:lvlJc w:val="left"/>
      <w:pPr>
        <w:ind w:left="5607" w:firstLine="5247"/>
      </w:pPr>
      <w:rPr/>
    </w:lvl>
    <w:lvl w:ilvl="7">
      <w:start w:val="1"/>
      <w:numFmt w:val="lowerLetter"/>
      <w:lvlText w:val="%8."/>
      <w:lvlJc w:val="left"/>
      <w:pPr>
        <w:ind w:left="6327" w:firstLine="5967"/>
      </w:pPr>
      <w:rPr/>
    </w:lvl>
    <w:lvl w:ilvl="8">
      <w:start w:val="1"/>
      <w:numFmt w:val="lowerRoman"/>
      <w:lvlText w:val="%9."/>
      <w:lvlJc w:val="right"/>
      <w:pPr>
        <w:ind w:left="7047" w:firstLine="686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