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858F" w14:textId="69312EC2" w:rsidR="00D1773A" w:rsidRDefault="00FC78C5" w:rsidP="0031763A">
      <w:pPr>
        <w:pStyle w:val="Sinespaciado"/>
        <w:jc w:val="both"/>
        <w:rPr>
          <w:rFonts w:ascii="Verdana" w:hAnsi="Verdana" w:cs="Arial"/>
          <w:lang w:val="es-CO"/>
        </w:rPr>
      </w:pPr>
      <w:r>
        <w:rPr>
          <w:rFonts w:ascii="Verdana" w:hAnsi="Verdana" w:cs="Verdana"/>
          <w:b/>
        </w:rPr>
        <w:t>RADICADO:</w:t>
      </w:r>
      <w:r>
        <w:rPr>
          <w:rFonts w:ascii="Verdana" w:hAnsi="Verdana" w:cs="Verdana"/>
        </w:rPr>
        <w:tab/>
        <w:tab/>
        <w:t>76001400300520260114700</w:t>
      </w:r>
    </w:p>
    <w:p w14:paraId="76294D3A" w14:textId="3E68F79B" w:rsidR="0031763A" w:rsidRPr="00EC6FCF" w:rsidRDefault="00FC78C5" w:rsidP="0031763A">
      <w:pPr>
        <w:pStyle w:val="Sinespaciado"/>
        <w:jc w:val="both"/>
        <w:rPr>
          <w:rFonts w:ascii="Verdana" w:hAnsi="Verdana" w:cs="Arial"/>
          <w:lang w:val="es-CO"/>
        </w:rPr>
      </w:pPr>
      <w:r>
        <w:rPr>
          <w:rFonts w:ascii="Verdana" w:hAnsi="Verdana" w:cs="Verdana"/>
          <w:b/>
        </w:rPr>
        <w:t xml:space="preserve">TIPO DE PROCESO: </w:t>
      </w:r>
      <w:r>
        <w:rPr>
          <w:rFonts w:ascii="Verdana" w:hAnsi="Verdana" w:cs="Verdana"/>
        </w:rPr>
        <w:tab/>
        <w:t xml:space="preserve">ACCIÓN DE TUTELA </w:t>
      </w:r>
    </w:p>
    <w:p w14:paraId="29849F1C" w14:textId="345AF94D" w:rsidR="0031763A" w:rsidRPr="00274010" w:rsidRDefault="00FC78C5" w:rsidP="00445216">
      <w:pPr>
        <w:widowControl w:val="0"/>
        <w:autoSpaceDE w:val="0"/>
        <w:autoSpaceDN w:val="0"/>
        <w:adjustRightInd w:val="0"/>
        <w:spacing w:after="0" w:line="240" w:lineRule="auto"/>
        <w:ind w:left="3540" w:hanging="3540"/>
        <w:jc w:val="both"/>
        <w:rPr>
          <w:rFonts w:ascii="Verdana" w:eastAsiaTheme="minorEastAsia" w:hAnsi="Verdana" w:cs="Arial"/>
          <w:kern w:val="0"/>
          <w:highlight w:val="yellow"/>
          <w:lang w:eastAsia="es-ES"/>
          <w14:ligatures w14:val="none"/>
        </w:rPr>
      </w:pPr>
      <w:r>
        <w:rPr>
          <w:rFonts w:ascii="Verdana" w:hAnsi="Verdana" w:cs="Verdana"/>
          <w:b/>
        </w:rPr>
        <w:t>ACCIONANTE:</w:t>
      </w:r>
      <w:r>
        <w:rPr>
          <w:rFonts w:ascii="Verdana" w:hAnsi="Verdana" w:cs="Verdana"/>
        </w:rPr>
        <w:t xml:space="preserve">               LUZ ANGELA MARULANDA LÓPEZ - C.C. 66.985.186</w:t>
      </w:r>
    </w:p>
    <w:p w14:paraId="35417A73" w14:textId="59F92B63" w:rsidR="000979B5" w:rsidRDefault="00FC78C5" w:rsidP="0031763A">
      <w:pPr>
        <w:widowControl w:val="0"/>
        <w:autoSpaceDE w:val="0"/>
        <w:autoSpaceDN w:val="0"/>
        <w:adjustRightInd w:val="0"/>
        <w:spacing w:after="0" w:line="240" w:lineRule="auto"/>
        <w:ind w:left="2832" w:hanging="2832"/>
        <w:jc w:val="both"/>
        <w:rPr>
          <w:rFonts w:ascii="Verdana" w:eastAsiaTheme="minorEastAsia" w:hAnsi="Verdana" w:cs="Arial"/>
          <w:kern w:val="0"/>
          <w:lang w:eastAsia="es-ES"/>
          <w14:ligatures w14:val="none"/>
        </w:rPr>
      </w:pPr>
      <w:r>
        <w:rPr>
          <w:rFonts w:ascii="Verdana" w:hAnsi="Verdana" w:cs="Verdana"/>
          <w:b/>
        </w:rPr>
        <w:t>ACCIONADO:</w:t>
      </w:r>
      <w:r>
        <w:rPr>
          <w:rFonts w:ascii="Verdana" w:hAnsi="Verdana" w:cs="Verdana"/>
        </w:rPr>
        <w:tab/>
        <w:t>UNIVERSIDAD LIBRE SECCIONAL CALI</w:t>
      </w:r>
    </w:p>
    <w:p w14:paraId="19F809DF" w14:textId="42C30673" w:rsidR="0031763A" w:rsidRPr="00EC6FCF" w:rsidRDefault="00FC78C5" w:rsidP="0031763A">
      <w:pPr>
        <w:widowControl w:val="0"/>
        <w:autoSpaceDE w:val="0"/>
        <w:autoSpaceDN w:val="0"/>
        <w:adjustRightInd w:val="0"/>
        <w:spacing w:after="0" w:line="240" w:lineRule="auto"/>
        <w:ind w:left="2832" w:hanging="2832"/>
        <w:jc w:val="both"/>
        <w:rPr>
          <w:rFonts w:ascii="Verdana" w:eastAsiaTheme="minorEastAsia" w:hAnsi="Verdana" w:cs="Arial"/>
          <w:b/>
          <w:bCs/>
          <w:kern w:val="0"/>
          <w:lang w:eastAsia="es-ES"/>
          <w14:ligatures w14:val="none"/>
        </w:rPr>
      </w:pPr>
      <w:r>
        <w:rPr>
          <w:rFonts w:ascii="Verdana" w:hAnsi="Verdana" w:cs="Verdana"/>
          <w:b/>
        </w:rPr>
        <w:t>VINCULADOS:</w:t>
      </w:r>
      <w:r>
        <w:rPr>
          <w:rFonts w:ascii="Verdana" w:hAnsi="Verdana" w:cs="Verdana"/>
        </w:rPr>
        <w:tab/>
        <w:t xml:space="preserve">MINISTERIO DE EDUCACIÓN NACIONAL </w:t>
      </w:r>
    </w:p>
    <w:p w14:paraId="6F70F7E6" w14:textId="77777777" w:rsidR="00C84FDE" w:rsidRPr="00EC6FCF" w:rsidRDefault="00C84FDE" w:rsidP="00C84FDE">
      <w:pPr>
        <w:autoSpaceDE w:val="0"/>
        <w:autoSpaceDN w:val="0"/>
        <w:adjustRightInd w:val="0"/>
        <w:spacing w:after="0" w:line="240" w:lineRule="auto"/>
        <w:ind w:left="2832" w:hanging="2832"/>
        <w:jc w:val="both"/>
        <w:rPr>
          <w:rFonts w:ascii="Verdana" w:hAnsi="Verdana" w:cs="Arial"/>
          <w:b/>
          <w:bCs/>
          <w:color w:val="000000"/>
          <w:kern w:val="0"/>
          <w:lang w:val="es-ES_tradnl"/>
        </w:rPr>
      </w:pPr>
    </w:p>
    <w:p w14:paraId="06C0E8A1" w14:textId="77777777" w:rsidR="00A30EB6" w:rsidRPr="00EC6FCF" w:rsidRDefault="00A30EB6" w:rsidP="00C84FDE">
      <w:pPr>
        <w:autoSpaceDE w:val="0"/>
        <w:autoSpaceDN w:val="0"/>
        <w:adjustRightInd w:val="0"/>
        <w:spacing w:after="0" w:line="240" w:lineRule="auto"/>
        <w:ind w:left="2832" w:hanging="2832"/>
        <w:jc w:val="both"/>
        <w:rPr>
          <w:rFonts w:ascii="Verdana" w:hAnsi="Verdana" w:cs="Arial"/>
          <w:color w:val="000000"/>
          <w:kern w:val="0"/>
          <w:lang w:val="es-ES_tradnl"/>
        </w:rPr>
      </w:pPr>
    </w:p>
    <w:p w14:paraId="218B80AB" w14:textId="77777777" w:rsidR="00336A40" w:rsidRDefault="00336A40" w:rsidP="00C84FDE">
      <w:pPr>
        <w:autoSpaceDE w:val="0"/>
        <w:autoSpaceDN w:val="0"/>
        <w:adjustRightInd w:val="0"/>
        <w:spacing w:after="0" w:line="240" w:lineRule="auto"/>
        <w:ind w:left="2832" w:hanging="2832"/>
        <w:jc w:val="both"/>
        <w:rPr>
          <w:rFonts w:ascii="Verdana" w:hAnsi="Verdana" w:cs="Arial"/>
          <w:color w:val="000000"/>
          <w:kern w:val="0"/>
          <w:lang w:val="es-ES_tradnl"/>
        </w:rPr>
      </w:pPr>
    </w:p>
    <w:p w14:paraId="5BE31F0D" w14:textId="13DD0813" w:rsidR="00C84FDE" w:rsidRPr="00EC6FCF" w:rsidRDefault="00C84FDE" w:rsidP="00C84FDE">
      <w:pPr>
        <w:autoSpaceDE w:val="0"/>
        <w:autoSpaceDN w:val="0"/>
        <w:adjustRightInd w:val="0"/>
        <w:spacing w:after="0" w:line="240" w:lineRule="auto"/>
        <w:ind w:left="2832" w:hanging="2832"/>
        <w:jc w:val="both"/>
        <w:rPr>
          <w:rFonts w:ascii="Verdana" w:hAnsi="Verdana" w:cs="Arial"/>
          <w:color w:val="000000"/>
          <w:kern w:val="0"/>
          <w:lang w:val="es-ES_tradnl"/>
        </w:rPr>
      </w:pPr>
      <w:r w:rsidRPr="00EC6FCF">
        <w:rPr>
          <w:rFonts w:ascii="Verdana" w:hAnsi="Verdana" w:cs="Verdana"/>
          <w:color w:val="000000"/>
          <w:kern w:val="0"/>
          <w:lang w:val="es-ES_tradnl"/>
        </w:rPr>
        <w:t xml:space="preserve">Cordial saludo, </w:t>
      </w:r>
    </w:p>
    <w:p w14:paraId="27F0EB5E" w14:textId="77777777" w:rsidR="00EE57EF" w:rsidRPr="00EC6FCF" w:rsidRDefault="00EE57EF" w:rsidP="00C84FDE">
      <w:pPr>
        <w:autoSpaceDE w:val="0"/>
        <w:autoSpaceDN w:val="0"/>
        <w:adjustRightInd w:val="0"/>
        <w:spacing w:after="0" w:line="240" w:lineRule="auto"/>
        <w:jc w:val="both"/>
        <w:rPr>
          <w:rFonts w:ascii="Verdana" w:hAnsi="Verdana" w:cs="Arial"/>
        </w:rPr>
      </w:pPr>
    </w:p>
    <w:p w14:paraId="1617D7F4" w14:textId="77B598B4" w:rsidR="00C84FDE" w:rsidRPr="00EC6FCF" w:rsidRDefault="00C84FDE" w:rsidP="00C84FDE">
      <w:pPr>
        <w:autoSpaceDE w:val="0"/>
        <w:autoSpaceDN w:val="0"/>
        <w:adjustRightInd w:val="0"/>
        <w:spacing w:after="0" w:line="240" w:lineRule="auto"/>
        <w:jc w:val="both"/>
        <w:rPr>
          <w:rFonts w:ascii="Verdana" w:hAnsi="Verdana" w:cs="Arial"/>
          <w:color w:val="000000"/>
        </w:rPr>
      </w:pPr>
      <w:r>
        <w:rPr>
          <w:rFonts w:ascii="Verdana" w:hAnsi="Verdana" w:cs="Verdana"/>
        </w:rPr>
        <w:t>En atención al auto admisorio proferido el 25 de septiembre de 2026, proveniente de su Despacho y allegado al Ministerio de Educación mediante correo electrónico, DEICY TATIANA ROMERO GUIO, mayor de edad, identificada con la Cédula de Ciudadanía número 1.049.603.149 portadora de la tarjeta profesional No. 191.016 del Consejo Superior de la Judicatura, representante judicial de la Nación – Ministerio de Educación Nacional, en mi calidad de Jefe de la Oficina Asesora Jurídica, otorgada mediante de la Resolución No. 023816 de 01 de septiembre de 2026, y de la delegación efectuada por medio de la Resolución No. 20980 de 10 de diciembre de 2014, expedida por el Ministro de Educación Nacional, en virtud del artículo 159 de la Ley 1437 de 2011, dentro de la oportunidad legal me permito dar contestación en los términos que a continuación se siguen:</w:t>
      </w:r>
    </w:p>
    <w:p w14:paraId="2BC46410" w14:textId="77777777" w:rsidR="00C84FDE" w:rsidRPr="00EC6FCF" w:rsidRDefault="00C84FDE" w:rsidP="00C84FDE">
      <w:pPr>
        <w:autoSpaceDE w:val="0"/>
        <w:autoSpaceDN w:val="0"/>
        <w:adjustRightInd w:val="0"/>
        <w:spacing w:line="252" w:lineRule="auto"/>
        <w:jc w:val="both"/>
        <w:rPr>
          <w:rFonts w:ascii="Verdana" w:hAnsi="Verdana" w:cs="Arial"/>
          <w:color w:val="000000"/>
        </w:rPr>
      </w:pPr>
    </w:p>
    <w:p w14:paraId="283F8B09" w14:textId="77777777" w:rsidR="00C84FDE" w:rsidRPr="00EC6FCF" w:rsidRDefault="00C84FDE" w:rsidP="00C84FDE">
      <w:pPr>
        <w:autoSpaceDE w:val="0"/>
        <w:autoSpaceDN w:val="0"/>
        <w:adjustRightInd w:val="0"/>
        <w:spacing w:line="240" w:lineRule="auto"/>
        <w:jc w:val="both"/>
        <w:rPr>
          <w:rFonts w:ascii="Verdana" w:hAnsi="Verdana" w:cs="Arial"/>
          <w:b/>
          <w:bCs/>
          <w:color w:val="000000"/>
        </w:rPr>
      </w:pPr>
      <w:r w:rsidRPr="00EC6FCF">
        <w:rPr>
          <w:rFonts w:ascii="Verdana" w:hAnsi="Verdana" w:cs="Verdana"/>
          <w:bCs/>
          <w:color w:val="000000"/>
        </w:rPr>
        <w:t>SOBRE EL CÓMPUTO DEL TÉRMINO JUDICIAL PARA CONTESTAR LA ACCIÓN DE TUTELA</w:t>
      </w:r>
    </w:p>
    <w:p w14:paraId="28C5AE37" w14:textId="77777777" w:rsidR="00C84FDE" w:rsidRPr="00EC6FCF" w:rsidRDefault="00C84FDE" w:rsidP="00C84FDE">
      <w:pPr>
        <w:autoSpaceDE w:val="0"/>
        <w:autoSpaceDN w:val="0"/>
        <w:adjustRightInd w:val="0"/>
        <w:spacing w:line="240" w:lineRule="auto"/>
        <w:jc w:val="both"/>
        <w:rPr>
          <w:rFonts w:ascii="Verdana" w:hAnsi="Verdana" w:cs="Arial"/>
          <w:color w:val="000000"/>
        </w:rPr>
      </w:pPr>
      <w:r w:rsidRPr="00EC6FCF">
        <w:rPr>
          <w:rFonts w:ascii="Verdana" w:hAnsi="Verdana" w:cs="Verdana"/>
          <w:color w:val="000000"/>
        </w:rPr>
        <w:t>La Sentencia SU-487 de 2025 unificó la jurisprudencia en relación con la notificación del auto admisorio de la acción de tutela y el término para que los vinculados den respuesta. En dicha providencia, la Corte Constitucional estableció que cuando la notificación de auto admisorio se realiza por medios electrónicos, el término para contestar no empieza a contarse el mismo día en que se envía el correo, sino a partir del día hábil siguiente a la confirmación de recepción del mensaje o, en su defecto, dos (2) días hábiles después del envío del correo electrónico, en caso de no constar acuse de recibo. Así, cuando no hay constancia de acuse de recibo del correo electrónico, el plazo para dar respuesta a la tutela se entiende ampliado en dos (2) días hábiles, contados a partir del segundo día posterior al envío. Esto evita que el término procesal se compute de forma que genere indefensión o imposibilidad material de ejercicio del derecho de contradicción, especialmente tratándose de entidades públicas.</w:t>
      </w:r>
    </w:p>
    <w:p w14:paraId="42B93492" w14:textId="5EAD8310" w:rsidR="00C84FDE" w:rsidRPr="00EC6FCF" w:rsidRDefault="00C84FDE" w:rsidP="00C84FDE">
      <w:pPr>
        <w:autoSpaceDE w:val="0"/>
        <w:autoSpaceDN w:val="0"/>
        <w:adjustRightInd w:val="0"/>
        <w:spacing w:line="240" w:lineRule="auto"/>
        <w:jc w:val="both"/>
        <w:rPr>
          <w:rFonts w:ascii="Verdana" w:hAnsi="Verdana" w:cs="Arial"/>
          <w:color w:val="000000"/>
        </w:rPr>
      </w:pPr>
      <w:r>
        <w:rPr>
          <w:rFonts w:ascii="Verdana" w:hAnsi="Verdana" w:cs="Verdana"/>
        </w:rPr>
        <w:t>Ahora bien, para el presente caso, se debe tener en cuenta que el despacho judicial envió por correo electrónico la notificación electrónica el día 25 de septiembre de 2026, y que, teniendo en cuenta lo previsto en la Sentencia SU-487 de 2025, el Ministerio de Educación Nacional cuenta con dos (2) días adicionales para presentar la contestación de tutela. Esta previsión busca salvaguardar los derechos procesales y se alinea con lo dispuesto en el artículo 8 de la Ley 2213 de 2022, que regula las notificaciones personales realizadas por medios tecnológicos.</w:t>
      </w:r>
    </w:p>
    <w:p w14:paraId="56228E8B" w14:textId="77777777" w:rsidR="00C84FDE" w:rsidRPr="00EC6FCF" w:rsidRDefault="00C84FDE" w:rsidP="00C84FDE">
      <w:pPr>
        <w:autoSpaceDE w:val="0"/>
        <w:autoSpaceDN w:val="0"/>
        <w:adjustRightInd w:val="0"/>
        <w:spacing w:line="240" w:lineRule="auto"/>
        <w:jc w:val="both"/>
        <w:rPr>
          <w:rFonts w:ascii="Verdana" w:hAnsi="Verdana" w:cs="Arial"/>
          <w:color w:val="000000"/>
        </w:rPr>
      </w:pPr>
      <w:r w:rsidRPr="00EC6FCF">
        <w:rPr>
          <w:rFonts w:ascii="Verdana" w:hAnsi="Verdana" w:cs="Verdana"/>
          <w:color w:val="000000"/>
        </w:rPr>
        <w:t>Por lo tanto, esta Cartera Ministerial se encuentra dentro del término legal para emitir el correspondiente pronunciamiento en los siguientes términos:</w:t>
      </w:r>
    </w:p>
    <w:p w14:paraId="06C34B9B" w14:textId="77777777" w:rsidR="00C84FDE" w:rsidRPr="00EC6FCF" w:rsidRDefault="00C84FDE" w:rsidP="00C84FDE">
      <w:pPr>
        <w:autoSpaceDE w:val="0"/>
        <w:autoSpaceDN w:val="0"/>
        <w:adjustRightInd w:val="0"/>
        <w:spacing w:line="252" w:lineRule="auto"/>
        <w:jc w:val="both"/>
        <w:rPr>
          <w:rFonts w:ascii="Verdana" w:hAnsi="Verdana" w:cs="Arial"/>
          <w:color w:val="000000"/>
        </w:rPr>
      </w:pPr>
    </w:p>
    <w:p w14:paraId="0D383C5F" w14:textId="6DEC5AEB" w:rsidR="00C84FDE" w:rsidRPr="00EC6FCF" w:rsidRDefault="00D37BD7">
      <w:pPr>
        <w:numPr>
          <w:ilvl w:val="11"/>
          <w:numId w:val="2"/>
        </w:numPr>
        <w:autoSpaceDE w:val="0"/>
        <w:autoSpaceDN w:val="0"/>
        <w:adjustRightInd w:val="0"/>
        <w:spacing w:line="252" w:lineRule="auto"/>
        <w:jc w:val="both"/>
        <w:rPr>
          <w:rFonts w:ascii="Verdana" w:hAnsi="Verdana" w:cs="Arial"/>
          <w:b/>
          <w:bCs/>
          <w:color w:val="000000"/>
          <w:u w:val="single"/>
        </w:rPr>
      </w:pPr>
      <w:r w:rsidRPr="00EC6FCF">
        <w:rPr>
          <w:rFonts w:ascii="Verdana" w:hAnsi="Verdana" w:cs="Verdana"/>
          <w:bCs/>
          <w:color w:val="000000"/>
        </w:rPr>
        <w:t xml:space="preserve">      I.         ANTECEDENTES</w:t>
      </w:r>
    </w:p>
    <w:p w14:paraId="4170D1CB" w14:textId="650CFC03" w:rsidR="00C84FDE" w:rsidRPr="00EC6FCF" w:rsidRDefault="00C84FDE" w:rsidP="00C84FDE">
      <w:pPr>
        <w:autoSpaceDE w:val="0"/>
        <w:autoSpaceDN w:val="0"/>
        <w:adjustRightInd w:val="0"/>
        <w:spacing w:after="0" w:line="240" w:lineRule="auto"/>
        <w:jc w:val="both"/>
        <w:rPr>
          <w:rFonts w:ascii="Verdana" w:hAnsi="Verdana" w:cs="Arial"/>
          <w:kern w:val="0"/>
          <w:lang w:val="es-ES_tradnl"/>
        </w:rPr>
      </w:pPr>
      <w:r>
        <w:rPr>
          <w:rFonts w:ascii="Verdana" w:hAnsi="Verdana" w:cs="Verdana"/>
        </w:rPr>
        <w:t xml:space="preserve">El 25 de septiembre de 2026 fuimos notificados por parte del despacho judicial del auto que ordenó nuestra vinculación en la acción de tutela. </w:t>
      </w:r>
    </w:p>
    <w:p w14:paraId="202D24F3" w14:textId="77777777" w:rsidR="00C84FDE" w:rsidRPr="00EC6FCF" w:rsidRDefault="00C84FDE" w:rsidP="00C84FDE">
      <w:pPr>
        <w:autoSpaceDE w:val="0"/>
        <w:autoSpaceDN w:val="0"/>
        <w:adjustRightInd w:val="0"/>
        <w:spacing w:after="0" w:line="240" w:lineRule="auto"/>
        <w:jc w:val="both"/>
        <w:rPr>
          <w:rFonts w:ascii="Verdana" w:hAnsi="Verdana" w:cs="Arial"/>
          <w:b/>
          <w:bCs/>
          <w:color w:val="000000"/>
          <w:kern w:val="0"/>
          <w:lang w:val="es-ES_tradnl"/>
        </w:rPr>
      </w:pPr>
    </w:p>
    <w:p w14:paraId="7EEF4DB3" w14:textId="77777777" w:rsidR="00C84FDE" w:rsidRPr="00EC6FCF" w:rsidRDefault="00C84FDE" w:rsidP="00C84FDE">
      <w:pPr>
        <w:autoSpaceDE w:val="0"/>
        <w:autoSpaceDN w:val="0"/>
        <w:adjustRightInd w:val="0"/>
        <w:spacing w:line="252" w:lineRule="auto"/>
        <w:ind w:left="1080" w:hanging="720"/>
        <w:jc w:val="both"/>
        <w:rPr>
          <w:rFonts w:ascii="Verdana" w:hAnsi="Verdana" w:cs="Arial"/>
          <w:b/>
          <w:bCs/>
          <w:color w:val="000000"/>
          <w:lang w:val="es-ES"/>
        </w:rPr>
      </w:pPr>
      <w:r w:rsidRPr="00EC6FCF">
        <w:rPr>
          <w:rFonts w:ascii="Verdana" w:hAnsi="Verdana" w:cs="Verdana"/>
          <w:bCs/>
          <w:color w:val="000000"/>
          <w:lang w:val="es-ES"/>
        </w:rPr>
        <w:t>II.</w:t>
      </w:r>
      <w:r w:rsidRPr="00EC6FCF">
        <w:rPr>
          <w:rFonts w:ascii="Verdana" w:hAnsi="Verdana" w:cs="Verdana"/>
          <w:bCs/>
          <w:color w:val="000000"/>
          <w:lang w:val="es-ES"/>
        </w:rPr>
        <w:tab/>
        <w:t>PRETENSIÓN DE LA ACCIONANTE</w:t>
      </w:r>
    </w:p>
    <w:p w14:paraId="3D84BA8C" w14:textId="77777777" w:rsidR="00C84FDE" w:rsidRPr="00EC6FCF" w:rsidRDefault="00C84FDE" w:rsidP="00C84FDE">
      <w:pPr>
        <w:autoSpaceDE w:val="0"/>
        <w:autoSpaceDN w:val="0"/>
        <w:adjustRightInd w:val="0"/>
        <w:spacing w:line="252" w:lineRule="auto"/>
        <w:jc w:val="both"/>
        <w:rPr>
          <w:rFonts w:ascii="Verdana" w:hAnsi="Verdana" w:cs="Arial"/>
          <w:i/>
          <w:iCs/>
          <w:color w:val="000000"/>
        </w:rPr>
      </w:pPr>
      <w:r w:rsidRPr="00EC6FCF">
        <w:rPr>
          <w:rFonts w:ascii="Verdana" w:hAnsi="Verdana" w:cs="Verdana"/>
          <w:color w:val="000000"/>
          <w:lang w:val="es-ES"/>
        </w:rPr>
        <w:t>La</w:t>
      </w:r>
      <w:r w:rsidRPr="00EC6FCF">
        <w:rPr>
          <w:rFonts w:ascii="Verdana" w:hAnsi="Verdana" w:cs="Verdana"/>
          <w:color w:val="000000"/>
        </w:rPr>
        <w:t xml:space="preserve"> accionante solicitó que se le garantice la protección de sus derechos fundamentales, por lo que pretendió:</w:t>
      </w:r>
      <w:r w:rsidRPr="00EC6FCF">
        <w:rPr>
          <w:rFonts w:ascii="Verdana" w:hAnsi="Verdana" w:cs="Verdana"/>
          <w:iCs/>
          <w:color w:val="000000"/>
        </w:rPr>
        <w:t xml:space="preserve"> </w:t>
      </w:r>
    </w:p>
    <w:p w14:paraId="611742FF" w14:textId="77777777" w:rsidR="00274010" w:rsidRPr="00E23F03" w:rsidRDefault="00A3406D" w:rsidP="00274010">
      <w:pPr>
        <w:autoSpaceDE w:val="0"/>
        <w:autoSpaceDN w:val="0"/>
        <w:adjustRightInd w:val="0"/>
        <w:spacing w:after="0" w:line="252" w:lineRule="auto"/>
        <w:ind w:left="708"/>
        <w:jc w:val="both"/>
        <w:rPr>
          <w:i/>
          <w:iCs/>
          <w:highlight w:val="yellow"/>
        </w:rPr>
      </w:pPr>
      <w:r>
        <w:rPr>
          <w:rFonts w:ascii="Verdana" w:hAnsi="Verdana" w:cs="Verdana"/>
          <w:i/>
        </w:rPr>
        <w:t>“PRIMERA. AMPARAR los derechos fundamentales a la Dignidad Humana, Protección de la Familia, Trabajo, Mínimo Vital y el Interés Superior de mi hija menor de edad</w:t>
      </w:r>
    </w:p>
    <w:p w14:paraId="3B35E060" w14:textId="77777777" w:rsidR="00274010" w:rsidRPr="00E23F03" w:rsidRDefault="00274010" w:rsidP="00274010">
      <w:pPr>
        <w:autoSpaceDE w:val="0"/>
        <w:autoSpaceDN w:val="0"/>
        <w:adjustRightInd w:val="0"/>
        <w:spacing w:after="0" w:line="252" w:lineRule="auto"/>
        <w:ind w:left="708"/>
        <w:jc w:val="both"/>
        <w:rPr>
          <w:i/>
          <w:iCs/>
          <w:highlight w:val="yellow"/>
        </w:rPr>
      </w:pPr>
      <w:r>
        <w:rPr>
          <w:rFonts w:ascii="Verdana" w:hAnsi="Verdana" w:cs="Verdana"/>
          <w:i/>
        </w:rPr>
        <w:t>SEGUNDA. ORDENAR a LA CORPORACION UNIVERSIDAD LIBRE que, en el término perentorio de cuarenta y ocho (48) horas, proceda a AUTORIZAR Y HABILITAR temporalmente la modalidad de Trabajo en Casa a mi favor, mientras dure la contingencia de la planta física del colegio de mi hija y se mantenga la modalidad virtual de sus clases</w:t>
      </w:r>
    </w:p>
    <w:p w14:paraId="5F912D75" w14:textId="77777777" w:rsidR="00274010" w:rsidRPr="00E23F03" w:rsidRDefault="00274010" w:rsidP="00274010">
      <w:pPr>
        <w:autoSpaceDE w:val="0"/>
        <w:autoSpaceDN w:val="0"/>
        <w:adjustRightInd w:val="0"/>
        <w:spacing w:after="0" w:line="252" w:lineRule="auto"/>
        <w:ind w:left="708"/>
        <w:jc w:val="both"/>
        <w:rPr>
          <w:i/>
          <w:iCs/>
          <w:highlight w:val="yellow"/>
        </w:rPr>
      </w:pPr>
    </w:p>
    <w:p w14:paraId="43B3BBD2" w14:textId="77777777" w:rsidR="00274010" w:rsidRPr="00E23F03" w:rsidRDefault="00274010" w:rsidP="00274010">
      <w:pPr>
        <w:autoSpaceDE w:val="0"/>
        <w:autoSpaceDN w:val="0"/>
        <w:adjustRightInd w:val="0"/>
        <w:spacing w:after="0" w:line="252" w:lineRule="auto"/>
        <w:ind w:left="708"/>
        <w:jc w:val="both"/>
        <w:rPr>
          <w:i/>
          <w:iCs/>
          <w:highlight w:val="yellow"/>
        </w:rPr>
      </w:pPr>
    </w:p>
    <w:p w14:paraId="6AC114F6" w14:textId="77777777" w:rsidR="00274010" w:rsidRPr="00E23F03" w:rsidRDefault="00274010" w:rsidP="00274010">
      <w:pPr>
        <w:autoSpaceDE w:val="0"/>
        <w:autoSpaceDN w:val="0"/>
        <w:adjustRightInd w:val="0"/>
        <w:spacing w:after="0" w:line="252" w:lineRule="auto"/>
        <w:ind w:left="708"/>
        <w:jc w:val="both"/>
        <w:rPr>
          <w:i/>
          <w:iCs/>
          <w:highlight w:val="yellow"/>
        </w:rPr>
      </w:pPr>
    </w:p>
    <w:p w14:paraId="6E7A845A" w14:textId="2B931969" w:rsidR="006406C5" w:rsidRPr="00274010" w:rsidRDefault="00274010" w:rsidP="00E23F03">
      <w:pPr>
        <w:autoSpaceDE w:val="0"/>
        <w:autoSpaceDN w:val="0"/>
        <w:adjustRightInd w:val="0"/>
        <w:spacing w:after="0" w:line="252" w:lineRule="auto"/>
        <w:ind w:left="708"/>
        <w:jc w:val="both"/>
        <w:rPr>
          <w:rFonts w:ascii="Verdana" w:hAnsi="Verdana" w:cs="Arial"/>
          <w:i/>
          <w:iCs/>
          <w:color w:val="000000"/>
          <w:sz w:val="20"/>
          <w:szCs w:val="20"/>
        </w:rPr>
      </w:pPr>
    </w:p>
    <w:p w14:paraId="357AAF96" w14:textId="77777777" w:rsidR="00954A02" w:rsidRPr="00EC6FCF" w:rsidRDefault="00954A02" w:rsidP="00954A02">
      <w:pPr>
        <w:autoSpaceDE w:val="0"/>
        <w:autoSpaceDN w:val="0"/>
        <w:adjustRightInd w:val="0"/>
        <w:spacing w:after="0" w:line="252" w:lineRule="auto"/>
        <w:jc w:val="both"/>
        <w:rPr>
          <w:rFonts w:ascii="Verdana" w:hAnsi="Verdana" w:cs="Arial"/>
          <w:b/>
          <w:bCs/>
          <w:i/>
          <w:iCs/>
          <w:color w:val="000000"/>
          <w:sz w:val="20"/>
          <w:szCs w:val="20"/>
        </w:rPr>
      </w:pPr>
    </w:p>
    <w:p w14:paraId="749A3326" w14:textId="5ED59A87" w:rsidR="00954A02" w:rsidRDefault="003A4C15" w:rsidP="00954A02">
      <w:pPr>
        <w:numPr>
          <w:ilvl w:val="0"/>
          <w:numId w:val="10"/>
        </w:numPr>
        <w:autoSpaceDE w:val="0"/>
        <w:autoSpaceDN w:val="0"/>
        <w:adjustRightInd w:val="0"/>
        <w:spacing w:after="0" w:line="252" w:lineRule="auto"/>
        <w:jc w:val="both"/>
        <w:rPr>
          <w:rFonts w:ascii="Verdana" w:hAnsi="Verdana" w:cs="Arial"/>
          <w:b/>
          <w:bCs/>
          <w:color w:val="000000"/>
          <w:sz w:val="20"/>
          <w:szCs w:val="20"/>
        </w:rPr>
      </w:pPr>
      <w:r>
        <w:rPr>
          <w:rFonts w:ascii="Verdana" w:hAnsi="Verdana" w:cs="Verdana"/>
          <w:bCs/>
          <w:color w:val="000000"/>
          <w:sz w:val="20"/>
          <w:szCs w:val="20"/>
        </w:rPr>
        <w:t>DE LOS DERECHOS DE PETICIÓN RADICADOS ANTE EL MINISTERIO DE EDUCACIÓN NACIONAL</w:t>
      </w:r>
    </w:p>
    <w:p w14:paraId="70479E9A" w14:textId="77777777" w:rsidR="003A4C15" w:rsidRDefault="003A4C15" w:rsidP="003A4C15">
      <w:pPr>
        <w:autoSpaceDE w:val="0"/>
        <w:autoSpaceDN w:val="0"/>
        <w:adjustRightInd w:val="0"/>
        <w:spacing w:after="0" w:line="252" w:lineRule="auto"/>
        <w:jc w:val="both"/>
        <w:rPr>
          <w:rFonts w:ascii="Verdana" w:hAnsi="Verdana" w:cs="Arial"/>
          <w:b/>
          <w:bCs/>
          <w:color w:val="000000"/>
          <w:sz w:val="20"/>
          <w:szCs w:val="20"/>
        </w:rPr>
      </w:pPr>
    </w:p>
    <w:p w14:paraId="5AA91F3B"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Verdana"/>
          <w:color w:val="000000"/>
          <w:sz w:val="20"/>
          <w:szCs w:val="20"/>
        </w:rPr>
        <w:t>En nuestro sistema de gestión documental se realizó una búsqueda, con la intensión de conocer si el accionante o su apoderada había radicado solicitud alguna ante nuestra entidad, a lo que arrojo la búsqueda negativa, por ello podemos comenzar afirmando que en ningún momento hemos violado el Derecho de Petición del accionante. Manifestamos al Despacho la imposibilidad de responder una petición la cual no ha sido radicada en nuestros canales oficiales, los cuales son virtuales y presenciales. </w:t>
      </w:r>
    </w:p>
    <w:p w14:paraId="251FFFF7"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Verdana"/>
          <w:color w:val="000000"/>
          <w:sz w:val="20"/>
          <w:szCs w:val="20"/>
        </w:rPr>
        <w:t> </w:t>
      </w:r>
    </w:p>
    <w:p w14:paraId="57AB5EED" w14:textId="6C23F1EC"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Verdana"/>
          <w:color w:val="000000"/>
          <w:sz w:val="20"/>
          <w:szCs w:val="20"/>
        </w:rPr>
        <w:t xml:space="preserve">Los virtuales pueden ser radicados en nuestra web (atencionalciudadano@mineducacion.gov.co), la cual de manera instantánea emitirá un radicado interno iniciado con el No. </w:t>
      </w:r>
      <w:r w:rsidRPr="00E56F6F">
        <w:rPr>
          <w:rFonts w:ascii="Verdana" w:hAnsi="Verdana" w:cs="Verdana"/>
          <w:color w:val="000000"/>
          <w:sz w:val="20"/>
          <w:szCs w:val="20"/>
        </w:rPr>
        <w:t>2026-ER-….,</w:t>
      </w:r>
      <w:r w:rsidRPr="00EC6FCF">
        <w:rPr>
          <w:rFonts w:ascii="Verdana" w:hAnsi="Verdana" w:cs="Verdana"/>
          <w:color w:val="000000"/>
          <w:sz w:val="20"/>
          <w:szCs w:val="20"/>
        </w:rPr>
        <w:t>  </w:t>
      </w:r>
    </w:p>
    <w:p w14:paraId="64658CC7"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Verdana"/>
          <w:color w:val="000000"/>
          <w:sz w:val="20"/>
          <w:szCs w:val="20"/>
        </w:rPr>
        <w:t> </w:t>
      </w:r>
    </w:p>
    <w:p w14:paraId="26D6909A"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Verdana"/>
          <w:color w:val="000000"/>
          <w:sz w:val="20"/>
          <w:szCs w:val="20"/>
        </w:rPr>
        <w:t>De manera física y/o presencial, en la dirección: Calle 43 No. 57 - 14. CAN. Bogotá.  </w:t>
      </w:r>
    </w:p>
    <w:p w14:paraId="1076236A"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Verdana"/>
          <w:color w:val="000000"/>
          <w:sz w:val="20"/>
          <w:szCs w:val="20"/>
        </w:rPr>
        <w:t> </w:t>
      </w:r>
    </w:p>
    <w:p w14:paraId="1F394737" w14:textId="063246E0" w:rsidR="00954A02" w:rsidRPr="00EC6FCF" w:rsidRDefault="00954A02" w:rsidP="00B10186">
      <w:pPr>
        <w:widowControl w:val="0"/>
        <w:autoSpaceDE w:val="0"/>
        <w:autoSpaceDN w:val="0"/>
        <w:adjustRightInd w:val="0"/>
        <w:spacing w:after="0" w:line="240" w:lineRule="auto"/>
        <w:jc w:val="both"/>
        <w:rPr>
          <w:rFonts w:ascii="Verdana" w:hAnsi="Verdana" w:cs="Arial"/>
          <w:color w:val="000000"/>
          <w:sz w:val="20"/>
          <w:szCs w:val="20"/>
        </w:rPr>
      </w:pPr>
      <w:r>
        <w:rPr>
          <w:rFonts w:ascii="Verdana" w:hAnsi="Verdana" w:cs="Verdana"/>
        </w:rPr>
        <w:t xml:space="preserve">Como se logra evidenciar en el escrito de tutela y sus anexos, la petición que nos ordenan responder no ha sido radicada en nuestra Entidad, por el contrario, manifiesta el accionante haberlo radicado ante la </w:t>
      </w:r>
      <w:r>
        <w:rPr>
          <w:rFonts w:ascii="Verdana" w:hAnsi="Verdana" w:cs="Verdana"/>
        </w:rPr>
        <w:t>UNIVERSIDAD LIBRE SECCIONAL CALI</w:t>
      </w:r>
      <w:r>
        <w:rPr>
          <w:rFonts w:ascii="Verdana" w:hAnsi="Verdana" w:cs="Verdana"/>
        </w:rPr>
        <w:t xml:space="preserve">, entidad diferente a esta Cartera Ministerial. </w:t>
      </w:r>
    </w:p>
    <w:p w14:paraId="22CFDA86" w14:textId="6D347252" w:rsidR="00020FE8" w:rsidRPr="00EC6FCF" w:rsidRDefault="00020FE8" w:rsidP="00954A02">
      <w:pPr>
        <w:autoSpaceDE w:val="0"/>
        <w:autoSpaceDN w:val="0"/>
        <w:adjustRightInd w:val="0"/>
        <w:spacing w:after="0" w:line="252" w:lineRule="auto"/>
        <w:jc w:val="both"/>
        <w:rPr>
          <w:rFonts w:ascii="Verdana" w:hAnsi="Verdana" w:cs="Arial"/>
          <w:i/>
          <w:iCs/>
          <w:color w:val="000000"/>
          <w:sz w:val="20"/>
          <w:szCs w:val="20"/>
        </w:rPr>
      </w:pPr>
    </w:p>
    <w:p w14:paraId="6280E4DD" w14:textId="77777777" w:rsidR="00A26EF0" w:rsidRPr="00EC6FCF" w:rsidRDefault="00A26EF0" w:rsidP="00A26EF0">
      <w:pPr>
        <w:autoSpaceDE w:val="0"/>
        <w:autoSpaceDN w:val="0"/>
        <w:adjustRightInd w:val="0"/>
        <w:spacing w:after="0" w:line="252" w:lineRule="auto"/>
        <w:ind w:left="708"/>
        <w:jc w:val="both"/>
        <w:rPr>
          <w:rFonts w:ascii="Verdana" w:hAnsi="Verdana" w:cs="Arial"/>
          <w:i/>
          <w:iCs/>
          <w:color w:val="000000"/>
          <w:sz w:val="20"/>
          <w:szCs w:val="20"/>
        </w:rPr>
      </w:pPr>
    </w:p>
    <w:p w14:paraId="23CA99B3" w14:textId="7F63773F" w:rsidR="0064575A" w:rsidRDefault="00C84FDE" w:rsidP="00954A02">
      <w:pPr>
        <w:autoSpaceDE w:val="0"/>
        <w:autoSpaceDN w:val="0"/>
        <w:adjustRightInd w:val="0"/>
        <w:spacing w:line="252" w:lineRule="auto"/>
        <w:ind w:left="708"/>
        <w:jc w:val="both"/>
        <w:rPr>
          <w:rFonts w:ascii="Verdana" w:hAnsi="Verdana" w:cs="Arial"/>
          <w:b/>
          <w:bCs/>
          <w:kern w:val="0"/>
        </w:rPr>
      </w:pPr>
      <w:r w:rsidRPr="007E73B0">
        <w:rPr>
          <w:rFonts w:ascii="Verdana" w:hAnsi="Verdana" w:cs="Verdana"/>
          <w:bCs/>
        </w:rPr>
        <w:t>III.</w:t>
      </w:r>
      <w:r w:rsidRPr="007E73B0">
        <w:rPr>
          <w:rFonts w:ascii="Verdana" w:hAnsi="Verdana" w:cs="Verdana"/>
          <w:bCs/>
        </w:rPr>
        <w:tab/>
      </w:r>
      <w:r w:rsidR="00AE5D88" w:rsidRPr="007E73B0">
        <w:rPr>
          <w:rFonts w:ascii="Verdana" w:hAnsi="Verdana" w:cs="Verdana"/>
          <w:bCs/>
          <w:kern w:val="0"/>
        </w:rPr>
        <w:t>SOBRE LOS HECHOS</w:t>
      </w:r>
    </w:p>
    <w:p w14:paraId="656CAF49" w14:textId="2F51C540" w:rsidR="00974A04" w:rsidRPr="007E73B0" w:rsidRDefault="00B10186" w:rsidP="00974A04">
      <w:pPr>
        <w:autoSpaceDE w:val="0"/>
        <w:autoSpaceDN w:val="0"/>
        <w:adjustRightInd w:val="0"/>
        <w:spacing w:line="252" w:lineRule="auto"/>
        <w:jc w:val="both"/>
        <w:rPr>
          <w:rFonts w:ascii="Verdana" w:hAnsi="Verdana" w:cs="Arial"/>
          <w:kern w:val="0"/>
        </w:rPr>
      </w:pPr>
      <w:r>
        <w:rPr>
          <w:rFonts w:ascii="Verdana" w:hAnsi="Verdana" w:cs="Verdana"/>
          <w:kern w:val="0"/>
        </w:rPr>
        <w:t>E</w:t>
      </w:r>
      <w:r w:rsidR="00974A04" w:rsidRPr="007E73B0">
        <w:rPr>
          <w:rFonts w:ascii="Verdana" w:hAnsi="Verdana" w:cs="Verdana"/>
          <w:kern w:val="0"/>
        </w:rPr>
        <w:t>l Ministerio de Educación es ajeno a los hechos que suscitan la presente acción de tutela, pues lo relatado en ella recae sobre el ámbito de competencia de la institución de educación superior-en adelante IES-, en virtud del principio de autonomía universitaria. </w:t>
      </w:r>
    </w:p>
    <w:p w14:paraId="59CFE707" w14:textId="4BC2F50C" w:rsidR="00AE5D88" w:rsidRPr="007E73B0" w:rsidRDefault="00974A04" w:rsidP="00974A04">
      <w:pPr>
        <w:autoSpaceDE w:val="0"/>
        <w:autoSpaceDN w:val="0"/>
        <w:adjustRightInd w:val="0"/>
        <w:spacing w:line="252" w:lineRule="auto"/>
        <w:jc w:val="both"/>
        <w:rPr>
          <w:rFonts w:ascii="Verdana" w:eastAsia="Arial" w:hAnsi="Verdana" w:cs="Arial"/>
        </w:rPr>
      </w:pPr>
      <w:r w:rsidRPr="007E73B0">
        <w:rPr>
          <w:rFonts w:ascii="Verdana" w:eastAsia="Arial" w:hAnsi="Verdana" w:cs="Verdana"/>
        </w:rPr>
        <w:t>Al respecto</w:t>
      </w:r>
      <w:r w:rsidR="00AE5D88" w:rsidRPr="007E73B0">
        <w:rPr>
          <w:rFonts w:ascii="Verdana" w:eastAsia="Arial" w:hAnsi="Verdana" w:cs="Verdana"/>
        </w:rPr>
        <w:t>, se solicita la declaración de falta de legitimación por pasiva en razón a lo siguiente:</w:t>
      </w:r>
    </w:p>
    <w:p w14:paraId="17DEDDAC" w14:textId="77777777" w:rsidR="00AE5D88" w:rsidRPr="007E73B0" w:rsidRDefault="00AE5D88" w:rsidP="00AE5D88">
      <w:pPr>
        <w:pStyle w:val="Prrafodelista"/>
        <w:numPr>
          <w:ilvl w:val="0"/>
          <w:numId w:val="1"/>
        </w:numPr>
        <w:spacing w:line="259" w:lineRule="auto"/>
        <w:jc w:val="both"/>
        <w:rPr>
          <w:rFonts w:ascii="Verdana" w:eastAsia="Arial" w:hAnsi="Verdana" w:cs="Arial"/>
          <w:sz w:val="22"/>
          <w:szCs w:val="22"/>
        </w:rPr>
      </w:pPr>
      <w:r w:rsidRPr="007E73B0">
        <w:rPr>
          <w:rFonts w:ascii="Verdana" w:eastAsia="Arial" w:hAnsi="Verdana" w:cs="Verdana"/>
          <w:sz w:val="22"/>
          <w:szCs w:val="22"/>
        </w:rPr>
        <w:t xml:space="preserve">Este Ministerio no ha incurrido en violación alguna de los derechos fundamentales invocados por la accionante toda vez que no es función de esta cartera la expedición de documentos relacionados la historial </w:t>
      </w:r>
      <w:r w:rsidRPr="007E73B0">
        <w:rPr>
          <w:rFonts w:ascii="Verdana" w:eastAsia="Arial" w:hAnsi="Verdana" w:cs="Verdana"/>
          <w:sz w:val="22"/>
          <w:szCs w:val="22"/>
        </w:rPr>
        <w:lastRenderedPageBreak/>
        <w:t>académico, gestiones para adelantar procesos de grado, homologación de materias, validación de notas y/o procesos disciplinarios de las instituciones de educación superior.</w:t>
      </w:r>
    </w:p>
    <w:p w14:paraId="5BEAD910" w14:textId="77777777" w:rsidR="00AE5D88" w:rsidRPr="007E73B0" w:rsidRDefault="00AE5D88" w:rsidP="00AE5D88">
      <w:pPr>
        <w:pStyle w:val="Prrafodelista"/>
        <w:jc w:val="both"/>
        <w:rPr>
          <w:rFonts w:ascii="Verdana" w:eastAsia="Arial" w:hAnsi="Verdana" w:cs="Arial"/>
          <w:sz w:val="22"/>
          <w:szCs w:val="22"/>
        </w:rPr>
      </w:pPr>
    </w:p>
    <w:p w14:paraId="5B9622E3" w14:textId="77777777" w:rsidR="00AE5D88" w:rsidRPr="007E73B0" w:rsidRDefault="00AE5D88" w:rsidP="00AE5D88">
      <w:pPr>
        <w:pStyle w:val="Prrafodelista"/>
        <w:numPr>
          <w:ilvl w:val="0"/>
          <w:numId w:val="1"/>
        </w:numPr>
        <w:spacing w:line="259" w:lineRule="auto"/>
        <w:jc w:val="both"/>
        <w:rPr>
          <w:rFonts w:ascii="Verdana" w:eastAsia="Arial" w:hAnsi="Verdana" w:cs="Arial"/>
          <w:sz w:val="22"/>
          <w:szCs w:val="22"/>
        </w:rPr>
      </w:pPr>
      <w:r w:rsidRPr="007E73B0">
        <w:rPr>
          <w:rFonts w:ascii="Verdana" w:eastAsia="Arial" w:hAnsi="Verdana" w:cs="Verdana"/>
          <w:sz w:val="22"/>
          <w:szCs w:val="22"/>
        </w:rPr>
        <w:t>Por otro lado, este Ministerio no tiene la competencia legal o reglamentaria para pronunciarse sobre la polémica suscitada entre la institución y el accionante.</w:t>
      </w:r>
    </w:p>
    <w:p w14:paraId="29C543C5" w14:textId="77777777" w:rsidR="00AE5D88" w:rsidRPr="007E73B0" w:rsidRDefault="00AE5D88" w:rsidP="00AE5D88">
      <w:pPr>
        <w:jc w:val="both"/>
        <w:rPr>
          <w:rFonts w:ascii="Verdana" w:eastAsia="Arial" w:hAnsi="Verdana" w:cs="Arial"/>
        </w:rPr>
      </w:pPr>
      <w:r w:rsidRPr="007E73B0">
        <w:rPr>
          <w:rFonts w:ascii="Verdana" w:eastAsia="Arial" w:hAnsi="Verdana" w:cs="Verdana"/>
        </w:rPr>
        <w:t>Por lo anterior solicitamos se declararse la condición arriba reseñada toda vez que no se ha incurrido en vulneración alguna a los derechos fundamentales por acción u omisión de alguna de las normas que rigen la educación superior.</w:t>
      </w:r>
    </w:p>
    <w:p w14:paraId="0FC5A639" w14:textId="77777777" w:rsidR="00AE5D88" w:rsidRDefault="00AE5D88" w:rsidP="00AE5D88">
      <w:pPr>
        <w:jc w:val="both"/>
        <w:rPr>
          <w:rFonts w:ascii="Verdana" w:eastAsia="Arial" w:hAnsi="Verdana" w:cs="Arial"/>
        </w:rPr>
      </w:pPr>
      <w:r w:rsidRPr="007E73B0">
        <w:rPr>
          <w:rFonts w:ascii="Verdana" w:eastAsia="Arial" w:hAnsi="Verdana" w:cs="Verdana"/>
        </w:rPr>
        <w:t xml:space="preserve">Es preciso indicarle que, la competencia del Ministerio de Educación Nacional en materia de inspección y vigilancia se circunscribe a la verificación del cumplimiento efectivo de las normas de educación superior por parte de las instituciones de este nivel formativo y de sus directivos. Así como, el cumplimiento de sus disposiciones estatutarias y reglamentarias internas y en tal sentido no está facultada para interferir en las </w:t>
      </w:r>
      <w:r w:rsidRPr="007E73B0">
        <w:rPr>
          <w:rFonts w:ascii="Verdana" w:eastAsia="Arial" w:hAnsi="Verdana" w:cs="Verdana"/>
          <w:bCs/>
        </w:rPr>
        <w:t>decisiones administrativas, financieras y académicas que deba adoptar la institución</w:t>
      </w:r>
      <w:r w:rsidRPr="007E73B0">
        <w:rPr>
          <w:rFonts w:ascii="Verdana" w:eastAsia="Arial" w:hAnsi="Verdana" w:cs="Verdana"/>
        </w:rPr>
        <w:t>, en virtud de la autonomía universitaria anteriormente referida.</w:t>
      </w:r>
    </w:p>
    <w:p w14:paraId="2126696F" w14:textId="77777777" w:rsidR="005276CA" w:rsidRPr="00EC6FCF" w:rsidRDefault="005276CA" w:rsidP="005276CA">
      <w:pPr>
        <w:pStyle w:val="Prrafodelista"/>
        <w:numPr>
          <w:ilvl w:val="0"/>
          <w:numId w:val="9"/>
        </w:numPr>
        <w:pBdr>
          <w:top w:val="nil"/>
          <w:left w:val="nil"/>
          <w:bottom w:val="nil"/>
          <w:right w:val="nil"/>
          <w:between w:val="nil"/>
        </w:pBdr>
        <w:spacing w:after="0" w:line="240" w:lineRule="auto"/>
        <w:jc w:val="both"/>
        <w:rPr>
          <w:rFonts w:ascii="Verdana" w:eastAsia="Arial" w:hAnsi="Verdana" w:cs="Arial"/>
          <w:b/>
          <w:sz w:val="22"/>
          <w:szCs w:val="22"/>
        </w:rPr>
      </w:pPr>
      <w:r w:rsidRPr="00EC6FCF">
        <w:rPr>
          <w:rFonts w:ascii="Verdana" w:eastAsia="Arial" w:hAnsi="Verdana" w:cs="Verdana"/>
          <w:sz w:val="22"/>
          <w:szCs w:val="22"/>
        </w:rPr>
        <w:t xml:space="preserve">ICETEX- ENTIDAD CON INDEPENDENCIA ADMINISTRATIVA Y FINANCIERA - ES LA ENCARGADA DE ADMINISTRAR LOS PROGRAMAS. </w:t>
      </w:r>
    </w:p>
    <w:p w14:paraId="59A78BBC" w14:textId="77777777" w:rsidR="005276CA" w:rsidRPr="00EC6FCF" w:rsidRDefault="005276CA" w:rsidP="005276CA">
      <w:pPr>
        <w:pBdr>
          <w:top w:val="nil"/>
          <w:left w:val="nil"/>
          <w:bottom w:val="nil"/>
          <w:right w:val="nil"/>
          <w:between w:val="nil"/>
        </w:pBdr>
        <w:spacing w:after="0" w:line="240" w:lineRule="auto"/>
        <w:jc w:val="both"/>
        <w:rPr>
          <w:rFonts w:ascii="Verdana" w:eastAsia="Arial" w:hAnsi="Verdana" w:cs="Arial"/>
          <w:b/>
        </w:rPr>
      </w:pPr>
    </w:p>
    <w:p w14:paraId="0BA87EEC" w14:textId="77777777" w:rsidR="005276CA" w:rsidRPr="00EC6FCF" w:rsidRDefault="005276CA" w:rsidP="005276CA">
      <w:pPr>
        <w:spacing w:after="0" w:line="240" w:lineRule="auto"/>
        <w:jc w:val="both"/>
        <w:rPr>
          <w:rFonts w:ascii="Verdana" w:eastAsia="Arial" w:hAnsi="Verdana" w:cs="Arial"/>
          <w:b/>
          <w:u w:val="single"/>
        </w:rPr>
      </w:pPr>
      <w:r w:rsidRPr="00EC6FCF">
        <w:rPr>
          <w:rFonts w:ascii="Verdana" w:eastAsia="Arial" w:hAnsi="Verdana" w:cs="Verdana"/>
        </w:rPr>
        <w:t>En materia de prestación del servicio educativo, corresponde al Ministerio de Educación Nacional fijar la política respecto al tema educativo y en tal sentido impartir orientaciones y directrices para su prestación, por parte de las Secretarías de Educación Departamentales, Distritales y Municipales, a través de los establecimientos educativos, tratándose de educación preescolar, básica y media.</w:t>
      </w:r>
    </w:p>
    <w:p w14:paraId="5A19CC1F"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Verdana"/>
        </w:rPr>
        <w:br/>
        <w:t>Con respecto a la educación superior, que se realiza con posterioridad a la educación media y secundaria y tiene por objeto el pleno desarrollo de los alumnos y su formación académica o profesional, corresponde al Estado además de ofrecer las condiciones especiales para su desarrollo, fortaleciendo la investigación científica, facilitar los mecanismos financieros que hagan posible el acceso de todas las personas aptas a la educación superior, tal como lo establece el artículo 69 de nuestra Carta Política.</w:t>
      </w:r>
    </w:p>
    <w:p w14:paraId="2AB8976E"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Verdana"/>
        </w:rPr>
        <w:br/>
      </w:r>
      <w:bookmarkStart w:id="0" w:name="_Hlk215237252"/>
      <w:r w:rsidRPr="00EC6FCF">
        <w:rPr>
          <w:rFonts w:ascii="Verdana" w:eastAsia="Arial" w:hAnsi="Verdana" w:cs="Verdana"/>
        </w:rPr>
        <w:t xml:space="preserve">Precisamente, en desarrollo del artículo 69 de la Constitución Política, el Estado Colombiano a través del Instituto Colombiano de Crédito Educativo y Estudios Técnicos en el Exterior, Mariano Ospina Pérez </w:t>
      </w:r>
      <w:r w:rsidRPr="00EC6FCF">
        <w:rPr>
          <w:rFonts w:ascii="Verdana" w:eastAsia="Arial" w:hAnsi="Verdana" w:cs="Verdana"/>
        </w:rPr>
        <w:t>“ICETEX”,</w:t>
      </w:r>
      <w:r w:rsidRPr="00EC6FCF">
        <w:rPr>
          <w:rFonts w:ascii="Verdana" w:eastAsia="Arial" w:hAnsi="Verdana" w:cs="Verdana"/>
        </w:rPr>
        <w:t xml:space="preserve"> transformado en virtud de la Ley 1002 del 30 de diciembre de 2005, en una entidad financiera de naturaleza especial, propicia los mecanismos financieros que hagan posible el acceso y permanencia de las personas a la educación superior.</w:t>
      </w:r>
    </w:p>
    <w:p w14:paraId="06962C75" w14:textId="77777777" w:rsidR="005276CA" w:rsidRPr="00EC6FCF" w:rsidRDefault="005276CA" w:rsidP="005276CA">
      <w:pPr>
        <w:spacing w:after="0" w:line="240" w:lineRule="auto"/>
        <w:jc w:val="both"/>
        <w:rPr>
          <w:rFonts w:ascii="Verdana" w:eastAsia="Arial" w:hAnsi="Verdana" w:cs="Arial"/>
        </w:rPr>
      </w:pPr>
    </w:p>
    <w:p w14:paraId="4A3441A5"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Verdana"/>
        </w:rPr>
        <w:t xml:space="preserve">De forma adicional, es pertinente informar que en el Decreto 2269 de 2025 </w:t>
      </w:r>
      <w:r w:rsidRPr="00EC6FCF">
        <w:rPr>
          <w:rFonts w:ascii="Verdana" w:eastAsia="Arial" w:hAnsi="Verdana" w:cs="Verdana"/>
          <w:iCs/>
        </w:rPr>
        <w:t>"Por el cual se adopta la estructura del Ministerio de Educación Nacional y se determinan las funciones de sus dependencias."</w:t>
      </w:r>
      <w:r w:rsidRPr="00EC6FCF">
        <w:rPr>
          <w:rFonts w:ascii="Verdana" w:eastAsia="Arial" w:hAnsi="Verdana" w:cs="Verdana"/>
        </w:rPr>
        <w:t xml:space="preserve"> el </w:t>
      </w:r>
      <w:r w:rsidRPr="00EC6FCF">
        <w:rPr>
          <w:rFonts w:ascii="Verdana" w:eastAsia="Arial" w:hAnsi="Verdana" w:cs="Verdana"/>
          <w:bCs/>
        </w:rPr>
        <w:t>ICETEX</w:t>
      </w:r>
      <w:r w:rsidRPr="00EC6FCF">
        <w:rPr>
          <w:rFonts w:ascii="Verdana" w:eastAsia="Arial" w:hAnsi="Verdana" w:cs="Verdana"/>
        </w:rPr>
        <w:t> NO se encuentra como una entidad vinculada a éste.</w:t>
      </w:r>
    </w:p>
    <w:p w14:paraId="51C7392C"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Verdana"/>
        </w:rPr>
        <w:t> </w:t>
      </w:r>
    </w:p>
    <w:p w14:paraId="62E92BD7"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Verdana"/>
        </w:rPr>
        <w:t xml:space="preserve">Lo anterior tiene especial relevancia en cuanto al objeto de debate del proceso en cuanto el ICETEX se encuentra plenamente habilitado para realizar operaciones financieras tendientes a cumplir su objeto, operaciones que, de acuerdo con el artículo 8° están sujetas a las disposiciones de </w:t>
      </w:r>
      <w:r w:rsidRPr="00EC6FCF">
        <w:rPr>
          <w:rFonts w:ascii="Verdana" w:eastAsia="Arial" w:hAnsi="Verdana" w:cs="Verdana"/>
          <w:bCs/>
        </w:rPr>
        <w:t>derecho privado.</w:t>
      </w:r>
    </w:p>
    <w:bookmarkEnd w:id="0"/>
    <w:p w14:paraId="2643D5A9"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Verdana"/>
        </w:rPr>
        <w:br/>
        <w:t xml:space="preserve">Aunado a lo anterior cabe recalcar que los recursos del gobierno colombiano son canalizados a través de </w:t>
      </w:r>
      <w:r w:rsidRPr="00EC6FCF">
        <w:rPr>
          <w:rFonts w:ascii="Verdana" w:eastAsia="Arial" w:hAnsi="Verdana" w:cs="Verdana"/>
        </w:rPr>
        <w:t>ICETEX</w:t>
      </w:r>
      <w:r w:rsidRPr="00EC6FCF">
        <w:rPr>
          <w:rFonts w:ascii="Verdana" w:eastAsia="Arial" w:hAnsi="Verdana" w:cs="Verdana"/>
        </w:rPr>
        <w:t>, teniendo en cuenta que la Ley 1450 de 2011, en su artículo 27, determina:</w:t>
      </w:r>
    </w:p>
    <w:p w14:paraId="13688638" w14:textId="77777777" w:rsidR="005276CA" w:rsidRPr="00EC6FCF" w:rsidRDefault="005276CA" w:rsidP="005276CA">
      <w:pPr>
        <w:spacing w:after="0" w:line="240" w:lineRule="auto"/>
        <w:ind w:left="708"/>
        <w:jc w:val="both"/>
        <w:rPr>
          <w:rFonts w:ascii="Verdana" w:eastAsia="Arial" w:hAnsi="Verdana" w:cs="Arial"/>
          <w:i/>
          <w:sz w:val="20"/>
          <w:szCs w:val="20"/>
        </w:rPr>
      </w:pPr>
      <w:r w:rsidRPr="00EC6FCF">
        <w:rPr>
          <w:rFonts w:ascii="Verdana" w:eastAsia="Arial" w:hAnsi="Verdana" w:cs="Verdana"/>
        </w:rPr>
        <w:lastRenderedPageBreak/>
        <w:br/>
      </w:r>
      <w:r w:rsidRPr="00EC6FCF">
        <w:rPr>
          <w:rFonts w:ascii="Verdana" w:eastAsia="Arial" w:hAnsi="Verdana" w:cs="Verdana"/>
          <w:sz w:val="20"/>
          <w:szCs w:val="20"/>
        </w:rPr>
        <w:t>“</w:t>
      </w:r>
      <w:r w:rsidRPr="00EC6FCF">
        <w:rPr>
          <w:rFonts w:ascii="Verdana" w:eastAsia="Arial" w:hAnsi="Verdana" w:cs="Verdana"/>
          <w:sz w:val="20"/>
          <w:szCs w:val="20"/>
        </w:rPr>
        <w:t>Los recursos de la Nación destinados a becas o a créditos educativos universitarios en Colombia, serán girados al Instituto Colombiano de Crédito Educativo y Estudios Técnicos en el Exterior (ICETEX) y a él corresponde su administración. Los recursos de la Nación destinados a becas o a créditos educativos universitarios para la financiación de maestrías, doctorados o postdoctorados podrán ser girados al Fondo Nacional de Financiamiento para la Ciencia, la Tecnología y la Innovación, Fondo Francisco José de Caldas. En este evento la ejecución de los recursos podrá ser apoyada con la participación de terceros y el Gobierno Nacional reglamentará los criterios de asignación.”</w:t>
      </w:r>
    </w:p>
    <w:p w14:paraId="2BF1D34F" w14:textId="77777777" w:rsidR="005276CA" w:rsidRPr="00EC6FCF" w:rsidRDefault="005276CA" w:rsidP="005276CA">
      <w:pPr>
        <w:spacing w:after="0" w:line="240" w:lineRule="auto"/>
        <w:jc w:val="both"/>
        <w:rPr>
          <w:rFonts w:ascii="Verdana" w:eastAsia="Arial" w:hAnsi="Verdana" w:cs="Arial"/>
        </w:rPr>
      </w:pPr>
    </w:p>
    <w:p w14:paraId="774443AE"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Verdana"/>
        </w:rPr>
        <w:t>En efecto, la Corte Constitucional, al referirse al tema, adujo:</w:t>
      </w:r>
    </w:p>
    <w:p w14:paraId="10E55D14" w14:textId="77777777" w:rsidR="005276CA" w:rsidRPr="00EC6FCF" w:rsidRDefault="005276CA" w:rsidP="005276CA">
      <w:pPr>
        <w:spacing w:after="0" w:line="240" w:lineRule="auto"/>
        <w:jc w:val="both"/>
        <w:rPr>
          <w:rFonts w:ascii="Verdana" w:eastAsia="Arial" w:hAnsi="Verdana" w:cs="Arial"/>
          <w:i/>
        </w:rPr>
      </w:pPr>
    </w:p>
    <w:p w14:paraId="4A308D46" w14:textId="77777777" w:rsidR="005276CA" w:rsidRPr="00EC6FCF" w:rsidRDefault="005276CA" w:rsidP="005276CA">
      <w:pPr>
        <w:spacing w:after="0" w:line="240" w:lineRule="auto"/>
        <w:ind w:left="708"/>
        <w:jc w:val="both"/>
        <w:rPr>
          <w:rFonts w:ascii="Verdana" w:eastAsia="Arial" w:hAnsi="Verdana" w:cs="Arial"/>
          <w:i/>
          <w:sz w:val="20"/>
          <w:szCs w:val="20"/>
        </w:rPr>
      </w:pPr>
      <w:r w:rsidRPr="00EC6FCF">
        <w:rPr>
          <w:rFonts w:ascii="Verdana" w:eastAsia="Arial" w:hAnsi="Verdana" w:cs="Verdana"/>
          <w:sz w:val="20"/>
          <w:szCs w:val="20"/>
        </w:rPr>
        <w:t>“La Corte ha sostenido que la naturaleza de derecho fundamental del derecho a la educación superior, contiene dentro de su núcleo esencial la garantía de que su goce efectivo está a cargo del Estado, lo que significa que si bien éste último no tiene una obligación directa de procurar el acceso inmediato de todas las personas a la educación superior, sí significa que no queda eximido de su responsabilidad de procurar el acceso progresivo de las personas al sistema educativo.”</w:t>
      </w:r>
    </w:p>
    <w:p w14:paraId="70DB1E4D" w14:textId="43A89B6F" w:rsidR="005276CA" w:rsidRPr="00EC6FCF" w:rsidRDefault="005276CA" w:rsidP="005276CA">
      <w:pPr>
        <w:jc w:val="both"/>
        <w:rPr>
          <w:rFonts w:ascii="Verdana" w:eastAsia="Arial" w:hAnsi="Verdana" w:cs="Arial"/>
        </w:rPr>
      </w:pPr>
      <w:r w:rsidRPr="00EC6FCF">
        <w:rPr>
          <w:rFonts w:ascii="Verdana" w:eastAsia="Arial" w:hAnsi="Verdana" w:cs="Verdana"/>
        </w:rPr>
        <w:br/>
        <w:t>Esta labor ha sido encomendada al ICETEX</w:t>
      </w:r>
      <w:r w:rsidRPr="00EC6FCF">
        <w:rPr>
          <w:rFonts w:ascii="Verdana" w:eastAsia="Arial" w:hAnsi="Verdana" w:cs="Verdana"/>
        </w:rPr>
        <w:t xml:space="preserve">, </w:t>
      </w:r>
      <w:r w:rsidRPr="00EC6FCF">
        <w:rPr>
          <w:rFonts w:ascii="Verdana" w:eastAsia="Arial" w:hAnsi="Verdana" w:cs="Verdana"/>
        </w:rPr>
        <w:t>tal como lo ha señalado la Corte Constitucional.</w:t>
      </w:r>
    </w:p>
    <w:p w14:paraId="7EA53931" w14:textId="77777777" w:rsidR="005F097F" w:rsidRPr="00EC6FCF" w:rsidRDefault="005F097F" w:rsidP="005F097F">
      <w:pPr>
        <w:spacing w:after="0" w:line="240" w:lineRule="auto"/>
        <w:jc w:val="both"/>
        <w:rPr>
          <w:rFonts w:ascii="Verdana" w:eastAsia="Arial" w:hAnsi="Verdana" w:cs="Arial"/>
          <w:color w:val="000000" w:themeColor="text1"/>
          <w:sz w:val="20"/>
          <w:szCs w:val="20"/>
        </w:rPr>
      </w:pPr>
    </w:p>
    <w:p w14:paraId="238FFAF3" w14:textId="07AAF314" w:rsidR="005F097F" w:rsidRPr="00EC6FCF" w:rsidRDefault="005F097F">
      <w:pPr>
        <w:pStyle w:val="Prrafodelista"/>
        <w:numPr>
          <w:ilvl w:val="0"/>
          <w:numId w:val="3"/>
        </w:numPr>
        <w:jc w:val="both"/>
        <w:rPr>
          <w:rFonts w:ascii="Verdana" w:hAnsi="Verdana" w:cs="Arial"/>
          <w:b/>
          <w:bCs/>
          <w:sz w:val="22"/>
          <w:szCs w:val="22"/>
        </w:rPr>
      </w:pPr>
      <w:r w:rsidRPr="00EC6FCF">
        <w:rPr>
          <w:rFonts w:ascii="Verdana" w:hAnsi="Verdana" w:cs="Verdana"/>
          <w:bCs/>
          <w:sz w:val="22"/>
          <w:szCs w:val="22"/>
        </w:rPr>
        <w:t>NATURALEZA JURÍDICA DE LA AGENCIA DISTRITAL PARA LA EDUCACIÓN SUPERIOR, LA CIENCIA Y LA TECNOLOGÍA - ATENEA.</w:t>
      </w:r>
    </w:p>
    <w:p w14:paraId="659AF05A" w14:textId="77777777" w:rsidR="005F097F" w:rsidRPr="00EC6FCF" w:rsidRDefault="005F097F" w:rsidP="005F097F">
      <w:pPr>
        <w:jc w:val="both"/>
        <w:rPr>
          <w:rFonts w:ascii="Verdana" w:hAnsi="Verdana" w:cs="Arial"/>
        </w:rPr>
      </w:pPr>
      <w:r w:rsidRPr="00EC6FCF">
        <w:rPr>
          <w:rFonts w:ascii="Verdana" w:hAnsi="Verdana" w:cs="Verdana"/>
        </w:rPr>
        <w:t>La Agencia Distrital para la Educación Superior, la Ciencia y la Tecnología, y conocida como “ATENEA”, es una entidad pública del orden distrital, creada mediante el Decreto 273 de 2020, que la estableció en su artículo primero como una entidad pública personería jurídica, autonomía administrativa, financiera y presupuestal y patrimonio autónomo, adscrita a la Secretaría de Educación de Bogotá D.C.</w:t>
      </w:r>
    </w:p>
    <w:p w14:paraId="04038FC1" w14:textId="77777777" w:rsidR="005F097F" w:rsidRPr="00EC6FCF" w:rsidRDefault="005F097F" w:rsidP="005F097F">
      <w:pPr>
        <w:jc w:val="both"/>
        <w:rPr>
          <w:rFonts w:ascii="Verdana" w:hAnsi="Verdana" w:cs="Arial"/>
        </w:rPr>
      </w:pPr>
      <w:r w:rsidRPr="00EC6FCF">
        <w:rPr>
          <w:rFonts w:ascii="Verdana" w:hAnsi="Verdana" w:cs="Verdana"/>
        </w:rPr>
        <w:t>Su objeto principal consiste en fortalecer, promover, financiar y propiciar la oferta educativa del nivel superior, por lo cual sus funciones circunscriben a:</w:t>
      </w:r>
    </w:p>
    <w:p w14:paraId="17AE9789"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t xml:space="preserve">Artículo 6°. Funciones. La Agencia Distrital para la Educación Superior, la Ciencia y la Tecnología “Atenea” ejercerá las siguientes funciones: </w:t>
      </w:r>
    </w:p>
    <w:p w14:paraId="1FF833FE"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t xml:space="preserve">1.Liderar, acompañar y dar soporte técnico en la formulación y ejecución de las políticas, planes, programas y proyectos distritales de acceso, permanencia y pertinencia de la educación post-media. </w:t>
      </w:r>
    </w:p>
    <w:p w14:paraId="0FEF6D38"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t xml:space="preserve">2. Coordinar el Sistema Distrital de Educación Post-media, que articule la educación media, la educación para el trabajo y el desarrollo humano, la educación informal, la certificación de competencias y la educación superior, con el objeto de promover el desarrollo sostenible de la ciudad y el cierre de brechas. </w:t>
      </w:r>
    </w:p>
    <w:p w14:paraId="6F3DBDEE"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t xml:space="preserve">3. Diseñar y ejecutar planes, programas y proyectos distritales para la transición de la educación media a la superior; y para la articulación entre la educación media y la educación post-media, teniendo en cuenta las posibilidades de acceso de la población a estos niveles, en coordinación con las entidades competentes. </w:t>
      </w:r>
    </w:p>
    <w:p w14:paraId="2EAC4355"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t xml:space="preserve">4. Desarrollar los planes, programas y proyectos distritales para el establecimiento de rutas y modelos de homologación de contenidos académicos y competencias laborales de los actores del Sistema Distrital de Educación Post-media. </w:t>
      </w:r>
    </w:p>
    <w:p w14:paraId="219FCEB3"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t xml:space="preserve">5. Gestionar y ejecutar estrategias de financiamiento público y/o privado, para promover el acceso, permanencia y articulación en educación post-media, la cual incluye la formación para el trabajo, la educación informal, la educación superior y la certificación de competencias, privilegiando la oferta pública. </w:t>
      </w:r>
    </w:p>
    <w:p w14:paraId="0AC9730F"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lastRenderedPageBreak/>
        <w:t xml:space="preserve">6. Gestionar y ejecutar planes, programas y proyectos distritales que promuevan el fortalecimiento y financiamiento de proyectos y redes colaborativas de ciencia, tecnología e innovación con actores del sector público y privado, para mejorar la infraestructura tecnológica del Distrito Capital. </w:t>
      </w:r>
    </w:p>
    <w:p w14:paraId="6D4FCB9B"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t xml:space="preserve">7. Coordinar bajo la orientación de los organismos y entidades competentes en la materia en el Distrito Capital, la formulación y ejecución de la política, planes, programas y proyectos distritales de ciencia, tecnología e innovación; así como en la divulgación y apropiación social de conocimiento resultado de CT+I. </w:t>
      </w:r>
    </w:p>
    <w:p w14:paraId="2942EC40"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t xml:space="preserve">8. Gestionar la creación, promover el fortalecimiento y participar en alianzas y convenios de cooperación con entidades y actores del ecosistema de ciencia, tecnología e innovación, así como la gestión y consecución de recursos para su desarrollo. </w:t>
      </w:r>
    </w:p>
    <w:p w14:paraId="076E1F4E"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t xml:space="preserve">9. Orientar, liderar y desarrollar programas y proyectos distritales de base científica y tecnológica, para la solución de problemas y desafíos de la ciudad y la región, el fortalecimiento de su infraestructura tecnológica y su capital humano, intelectual y relacional, en coordinación con los organismos y entidades competentes en la materia en el Distrito Capital. </w:t>
      </w:r>
    </w:p>
    <w:p w14:paraId="26B3B4D3"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t xml:space="preserve">10. Desarrollar, mantener y actualizar un modelo de análisis de información que permita orientar, con criterios de pertinencia, la oferta en la formación post-media, y que articule la vocación de los y las jóvenes con las necesidades de empleo, emprendimiento e innovación. </w:t>
      </w:r>
    </w:p>
    <w:p w14:paraId="572CD30D"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t xml:space="preserve">11. Suscribir convenios, asociarse o conformar esquemas asociativos con entidades públicas de cualquier nivel de gobierno o con personas de derecho privado, y efectuar lastransferencias o aportes correspondientes, con sujeción a lo dispuesto en la Ley 489 de 1998, el Acuerdo 257 de 2006 y las demás normas legales que modifiquen, adicionen o regulen la materia. </w:t>
      </w:r>
    </w:p>
    <w:p w14:paraId="6DA96FBD"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t xml:space="preserve">12. Realizar todo tipo de actos y negocios jurídicos que se relacionen con su objeto o faciliten su ejecución, así como aquellos que permitan el ejercicio de sus funciones y el cumplimiento de sus obligaciones. </w:t>
      </w:r>
    </w:p>
    <w:p w14:paraId="18309395"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t xml:space="preserve">13. Cobrar por los servicios que preste o los bienes que produzca, cuando a ello haya lugar según lo dispuesto en el ordenamiento jurídico y en sus estatutos. </w:t>
      </w:r>
    </w:p>
    <w:p w14:paraId="1A9A8097"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Cs/>
          <w:sz w:val="20"/>
          <w:szCs w:val="20"/>
        </w:rPr>
        <w:t>14. Las demás que le establezcan las leyes, acuerdos y demás disposiciones aplicables.</w:t>
      </w:r>
    </w:p>
    <w:p w14:paraId="16E666CB" w14:textId="510236B0" w:rsidR="009D01AC" w:rsidRPr="00EC6FCF" w:rsidRDefault="005F097F" w:rsidP="00AE5D88">
      <w:pPr>
        <w:jc w:val="both"/>
        <w:rPr>
          <w:rFonts w:ascii="Verdana" w:hAnsi="Verdana" w:cs="Arial"/>
        </w:rPr>
      </w:pPr>
      <w:r w:rsidRPr="00EC6FCF">
        <w:rPr>
          <w:rFonts w:ascii="Verdana" w:hAnsi="Verdana" w:cs="Verdana"/>
        </w:rPr>
        <w:t>Es fundamental destacar que esta Agencia no es una continuación o un simple cambio de nombre de la Secretaría de Educación del Distrito (SED). Por el contrario, es una entidad nueva que, tras un régimen de transición establecido en su norma de creación, asumió de manera exclusiva las funciones en materia de educación superior, ciencia y tecnología que antes eran competencia de la mencionada Secretaría.</w:t>
      </w:r>
    </w:p>
    <w:p w14:paraId="00086B03" w14:textId="46CB7ADA" w:rsidR="00C84FDE" w:rsidRPr="00EC6FCF" w:rsidRDefault="005C00A3"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p>
    <w:p w14:paraId="5DFE0F88" w14:textId="77777777" w:rsidR="00C84FDE" w:rsidRPr="00EC6FCF" w:rsidRDefault="00C84FDE" w:rsidP="00C84FDE">
      <w:pPr>
        <w:autoSpaceDE w:val="0"/>
        <w:autoSpaceDN w:val="0"/>
        <w:adjustRightInd w:val="0"/>
        <w:spacing w:after="0" w:line="240" w:lineRule="auto"/>
        <w:ind w:left="1080" w:hanging="720"/>
        <w:jc w:val="both"/>
        <w:rPr>
          <w:rFonts w:ascii="Verdana" w:hAnsi="Verdana" w:cs="Arial"/>
          <w:kern w:val="0"/>
        </w:rPr>
      </w:pPr>
      <w:r w:rsidRPr="00EC6FCF">
        <w:rPr>
          <w:rFonts w:ascii="Verdana" w:hAnsi="Verdana" w:cs="Verdana"/>
          <w:bCs/>
          <w:kern w:val="0"/>
        </w:rPr>
        <w:t>IV.</w:t>
      </w:r>
      <w:r w:rsidRPr="00EC6FCF">
        <w:rPr>
          <w:rFonts w:ascii="Verdana" w:hAnsi="Verdana" w:cs="Verdana"/>
          <w:bCs/>
          <w:kern w:val="0"/>
        </w:rPr>
        <w:tab/>
        <w:t>FUNDAMENTOS DE DEFENSA</w:t>
      </w:r>
      <w:r w:rsidRPr="00EC6FCF">
        <w:rPr>
          <w:rFonts w:ascii="Verdana" w:hAnsi="Verdana" w:cs="Verdana"/>
          <w:kern w:val="0"/>
        </w:rPr>
        <w:t> </w:t>
      </w:r>
    </w:p>
    <w:p w14:paraId="76A6AC25"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color w:val="000000"/>
          <w:kern w:val="0"/>
        </w:rPr>
        <w:t> </w:t>
      </w:r>
    </w:p>
    <w:p w14:paraId="094328E1" w14:textId="452E45C7" w:rsidR="007A24C5" w:rsidRPr="00EC6FCF" w:rsidRDefault="00C84FDE" w:rsidP="007B5BFA">
      <w:pPr>
        <w:autoSpaceDE w:val="0"/>
        <w:autoSpaceDN w:val="0"/>
        <w:adjustRightInd w:val="0"/>
        <w:spacing w:after="0" w:line="240" w:lineRule="auto"/>
        <w:jc w:val="both"/>
        <w:rPr>
          <w:rFonts w:ascii="Verdana" w:hAnsi="Verdana" w:cs="Arial"/>
          <w:color w:val="000000"/>
          <w:kern w:val="0"/>
        </w:rPr>
      </w:pPr>
      <w:r w:rsidRPr="00EC6FCF">
        <w:rPr>
          <w:rFonts w:ascii="Verdana" w:hAnsi="Verdana" w:cs="Verdana"/>
          <w:color w:val="000000"/>
          <w:kern w:val="0"/>
        </w:rPr>
        <w:t>En cuanto a las pretensiones contenidas en la acción de tutela se tiene que no son procedentes, por las siguientes razones:</w:t>
      </w:r>
    </w:p>
    <w:p w14:paraId="3BB072DD" w14:textId="77777777" w:rsidR="00C84FDE" w:rsidRPr="00EC6FCF" w:rsidRDefault="00C84FDE" w:rsidP="00C84FDE">
      <w:pPr>
        <w:autoSpaceDE w:val="0"/>
        <w:autoSpaceDN w:val="0"/>
        <w:adjustRightInd w:val="0"/>
        <w:spacing w:after="0" w:line="240" w:lineRule="auto"/>
        <w:ind w:left="1080"/>
        <w:jc w:val="both"/>
        <w:rPr>
          <w:rFonts w:ascii="Verdana" w:hAnsi="Verdana" w:cs="Segoe UI"/>
          <w:kern w:val="0"/>
          <w:sz w:val="18"/>
          <w:szCs w:val="18"/>
        </w:rPr>
      </w:pPr>
      <w:r w:rsidRPr="00EC6FCF">
        <w:rPr>
          <w:rFonts w:ascii="Verdana" w:hAnsi="Verdana" w:cs="Verdana"/>
          <w:kern w:val="0"/>
        </w:rPr>
        <w:t> </w:t>
      </w:r>
    </w:p>
    <w:p w14:paraId="7B335D53" w14:textId="67F294C2" w:rsidR="00C84FDE" w:rsidRPr="00EC6FCF" w:rsidRDefault="007B5BFA">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Verdana"/>
          <w:bCs/>
          <w:kern w:val="0"/>
        </w:rPr>
        <w:t xml:space="preserve">A. </w:t>
      </w:r>
      <w:r w:rsidR="00C84FDE" w:rsidRPr="00EC6FCF">
        <w:rPr>
          <w:rFonts w:ascii="Verdana" w:hAnsi="Verdana" w:cs="Verdana"/>
          <w:bCs/>
          <w:kern w:val="0"/>
        </w:rPr>
        <w:t>Autonomía Universitaria</w:t>
      </w:r>
      <w:r w:rsidR="00C84FDE" w:rsidRPr="00EC6FCF">
        <w:rPr>
          <w:rFonts w:ascii="Verdana" w:hAnsi="Verdana" w:cs="Verdana"/>
          <w:kern w:val="0"/>
        </w:rPr>
        <w:t> </w:t>
      </w:r>
    </w:p>
    <w:p w14:paraId="7C903F92"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44E3BF25"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El artículo 69 de la Carta Política reconoce y garantiza la autonomía universitaria y establece que “</w:t>
      </w:r>
      <w:r w:rsidRPr="00EC6FCF">
        <w:rPr>
          <w:rFonts w:ascii="Verdana" w:hAnsi="Verdana" w:cs="Verdana"/>
          <w:iCs/>
          <w:kern w:val="0"/>
        </w:rPr>
        <w:t>las universidades podrán darse sus directivas y regirse por sus propios estatutos, de acuerdo con la ley</w:t>
      </w:r>
      <w:r w:rsidRPr="00EC6FCF">
        <w:rPr>
          <w:rFonts w:ascii="Verdana" w:hAnsi="Verdana" w:cs="Verdana"/>
          <w:kern w:val="0"/>
        </w:rPr>
        <w:t xml:space="preserve">.” Esta norma igualmente difiere al legislador la tarea de establecer un régimen especial para las universidades del Estado. En desarrollo de esa normativa constitucional, el legislador, mediante la Ley 30 de 1992, organizó el servicio público de la educación superior y precisó que la autonomía universitaria reconoce a las universidades el derecho a darse y modificar sus estatutos, designar sus autoridades académicas y </w:t>
      </w:r>
      <w:r w:rsidRPr="00EC6FCF">
        <w:rPr>
          <w:rFonts w:ascii="Verdana" w:hAnsi="Verdana" w:cs="Verdana"/>
          <w:kern w:val="0"/>
        </w:rPr>
        <w:lastRenderedPageBreak/>
        <w:t>administrativas, crear, organizar y desarrollar sus programas académicos, definir y organizar sus labores formativas, académicas, docentes, científicas y culturales, otorgar los títulos correspondientes, seleccionar a sus profesores, admitir a sus alumnos y adoptar sus correspondientes regímenes, como de establecer, arbitrar y aplicar sus recursos para el cumplimiento de su misión social y de su función institucional (artículos 28 y 29).  </w:t>
      </w:r>
    </w:p>
    <w:p w14:paraId="7028D91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A1C26DB"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En la sentencia T-180 de 1996, la Corte Constitucional se refirió a la finalidad y a los límites de la </w:t>
      </w:r>
      <w:r w:rsidRPr="00EC6FCF">
        <w:rPr>
          <w:rFonts w:ascii="Verdana" w:hAnsi="Verdana" w:cs="Verdana"/>
          <w:bCs/>
          <w:kern w:val="0"/>
        </w:rPr>
        <w:t>autonomía universitaria</w:t>
      </w:r>
      <w:r w:rsidRPr="00EC6FCF">
        <w:rPr>
          <w:rFonts w:ascii="Verdana" w:hAnsi="Verdana" w:cs="Verdana"/>
          <w:kern w:val="0"/>
        </w:rPr>
        <w:t> en los siguientes términos:  </w:t>
      </w:r>
    </w:p>
    <w:p w14:paraId="550B9D1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3995522B"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iCs/>
          <w:kern w:val="0"/>
          <w:sz w:val="20"/>
          <w:szCs w:val="20"/>
        </w:rPr>
        <w:t>“La finalidad de la autonomía universitaria es la de evitar que el Estado, a través de sus distintos poderes, intervenga de manera ilegítima en el proceso de creación y difusión del conocimiento. Con ello se asegura un espacio de plena autonomía en el que el saber y la investigación científica se ponen al servicio del pluralismo y no de visiones dogmáticas impuestas por el poder público, que coartarían la plena realización intelectual del ser humano e impedirían la formación de una opinión pública crítica que proyecte el conocimiento en el proceso de evolución social, económica y cultural.</w:t>
      </w:r>
      <w:r w:rsidRPr="00EC6FCF">
        <w:rPr>
          <w:rFonts w:ascii="Verdana" w:hAnsi="Verdana" w:cs="Verdana"/>
          <w:kern w:val="0"/>
          <w:sz w:val="20"/>
          <w:szCs w:val="20"/>
        </w:rPr>
        <w:t> </w:t>
      </w:r>
    </w:p>
    <w:p w14:paraId="307E0FEB"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Verdana"/>
          <w:iCs/>
          <w:kern w:val="0"/>
          <w:sz w:val="20"/>
          <w:szCs w:val="20"/>
          <w:lang w:val="es-ES"/>
        </w:rPr>
        <w:t>(…)</w:t>
      </w:r>
      <w:r w:rsidRPr="00EC6FCF">
        <w:rPr>
          <w:rFonts w:ascii="Verdana" w:hAnsi="Verdana" w:cs="Verdana"/>
          <w:kern w:val="0"/>
          <w:sz w:val="20"/>
          <w:szCs w:val="20"/>
        </w:rPr>
        <w:t> </w:t>
      </w:r>
    </w:p>
    <w:p w14:paraId="6F356B1B" w14:textId="77777777" w:rsidR="00C84FDE" w:rsidRPr="00EC6FCF" w:rsidRDefault="00C84FDE" w:rsidP="00C84FDE">
      <w:pPr>
        <w:autoSpaceDE w:val="0"/>
        <w:autoSpaceDN w:val="0"/>
        <w:adjustRightInd w:val="0"/>
        <w:spacing w:after="0" w:line="240" w:lineRule="auto"/>
        <w:ind w:left="705"/>
        <w:jc w:val="both"/>
        <w:rPr>
          <w:rFonts w:ascii="Verdana" w:hAnsi="Verdana" w:cs="Arial"/>
          <w:kern w:val="0"/>
          <w:sz w:val="20"/>
          <w:szCs w:val="20"/>
        </w:rPr>
      </w:pPr>
      <w:r w:rsidRPr="00EC6FCF">
        <w:rPr>
          <w:rFonts w:ascii="Verdana" w:hAnsi="Verdana" w:cs="Verdana"/>
          <w:iCs/>
          <w:kern w:val="0"/>
          <w:sz w:val="20"/>
          <w:szCs w:val="20"/>
          <w:lang w:val="es-ES"/>
        </w:rPr>
        <w:t>Los altísimos fines que persigue la autonomía universitaria no pueden servir de excusa a los centros docentes para que, prevalidos de esa valiosa garantía institucional, vulneren los principios y derechos en los que se apoya el ordenamiento jurídico. De igual manera, no puede predicarse como correlato de la garantía institucional consagrada en el artículo 69 de la Carta, la inmunidad judicial de los actos de las Universidades que sean susceptibles de vulnerar los derechos fundamentales de sus estudiantes. Sin embargo, la intervención del juez debe limitarse a la protección de los derechos contra actuaciones ilegítimas, sin que le esté dado inmiscuirse en el ámbito propio de libertad de la Universidad para fijar sus políticas académicas e investigativas”.</w:t>
      </w:r>
      <w:r w:rsidRPr="00EC6FCF">
        <w:rPr>
          <w:rFonts w:ascii="Verdana" w:hAnsi="Verdana" w:cs="Verdana"/>
          <w:kern w:val="0"/>
          <w:sz w:val="20"/>
          <w:szCs w:val="20"/>
        </w:rPr>
        <w:t> </w:t>
      </w:r>
    </w:p>
    <w:p w14:paraId="6F5AE89C"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p>
    <w:p w14:paraId="0D9AA7FA"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En sentencia T 452 de 2023, la Corte estableció algunas subreglas con respecto a la autonomía universitaria en el marco de procesos disciplinarios que tengan como objeto la imposición de sanciones, que se resumen de la siguiente manera: </w:t>
      </w:r>
    </w:p>
    <w:p w14:paraId="012AECA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6C66DEE"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Cs/>
          <w:kern w:val="0"/>
          <w:sz w:val="20"/>
          <w:szCs w:val="20"/>
          <w:lang w:val="es-MX"/>
        </w:rPr>
        <w:t>“a) La discrecionalidad universitaria, propia de su autonomía, no es absoluta, como quiera que se encuentra limitada por el orden público, el interés general y el bien común.</w:t>
      </w:r>
      <w:r w:rsidRPr="00EC6FCF">
        <w:rPr>
          <w:rFonts w:ascii="Verdana" w:hAnsi="Verdana" w:cs="Verdana"/>
          <w:iCs/>
          <w:kern w:val="0"/>
          <w:sz w:val="20"/>
          <w:szCs w:val="20"/>
        </w:rPr>
        <w:t>  </w:t>
      </w:r>
    </w:p>
    <w:p w14:paraId="65742F6F"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Cs/>
          <w:kern w:val="0"/>
          <w:sz w:val="20"/>
          <w:szCs w:val="20"/>
          <w:lang w:val="es-MX"/>
        </w:rPr>
        <w:t>b) La autonomía universitaria también se limita por la inspección y vigilancia de la educación que ejerce el Estado.</w:t>
      </w:r>
      <w:r w:rsidRPr="00EC6FCF">
        <w:rPr>
          <w:rFonts w:ascii="Verdana" w:hAnsi="Verdana" w:cs="Verdana"/>
          <w:iCs/>
          <w:kern w:val="0"/>
          <w:sz w:val="20"/>
          <w:szCs w:val="20"/>
        </w:rPr>
        <w:t>  </w:t>
      </w:r>
    </w:p>
    <w:p w14:paraId="354C90D0"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Cs/>
          <w:kern w:val="0"/>
          <w:sz w:val="20"/>
          <w:szCs w:val="20"/>
          <w:lang w:val="es-MX"/>
        </w:rPr>
        <w:t>c) El ejercicio de la autonomía universitaria y el respeto por el pluralismo ideológico, demuestran que los centros superiores tienen libertad para determinar sus normas internas, a través de los estatutos, las cuales no podrán ser contrarias a la ley ni a la Constitución.</w:t>
      </w:r>
      <w:r w:rsidRPr="00EC6FCF">
        <w:rPr>
          <w:rFonts w:ascii="Verdana" w:hAnsi="Verdana" w:cs="Verdana"/>
          <w:iCs/>
          <w:kern w:val="0"/>
          <w:sz w:val="20"/>
          <w:szCs w:val="20"/>
        </w:rPr>
        <w:t>  </w:t>
      </w:r>
    </w:p>
    <w:p w14:paraId="555C4D15"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Cs/>
          <w:kern w:val="0"/>
          <w:sz w:val="20"/>
          <w:szCs w:val="20"/>
          <w:lang w:val="es-MX"/>
        </w:rPr>
        <w:t>d) Los estatutos se acogen voluntariamente por quienes desean estudiar en el centro educativo superior, pero una vez aceptados son obligatorios para toda la comunidad educativa. El reglamento concreta la libertad académica, administrativa y económica de las instituciones de educación superior.</w:t>
      </w:r>
      <w:r w:rsidRPr="00EC6FCF">
        <w:rPr>
          <w:rFonts w:ascii="Verdana" w:hAnsi="Verdana" w:cs="Verdana"/>
          <w:iCs/>
          <w:kern w:val="0"/>
          <w:sz w:val="20"/>
          <w:szCs w:val="20"/>
        </w:rPr>
        <w:t>  </w:t>
      </w:r>
    </w:p>
    <w:p w14:paraId="51061072"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Cs/>
          <w:kern w:val="0"/>
          <w:sz w:val="20"/>
          <w:szCs w:val="20"/>
          <w:lang w:val="es-MX"/>
        </w:rPr>
        <w:t>e) El Legislador está constitucionalmente autorizado para limitar la autonomía universitaria, siempre y cuando no invada ni anule su núcleo.</w:t>
      </w:r>
      <w:r w:rsidRPr="00EC6FCF">
        <w:rPr>
          <w:rFonts w:ascii="Verdana" w:hAnsi="Verdana" w:cs="Verdana"/>
          <w:iCs/>
          <w:kern w:val="0"/>
          <w:sz w:val="20"/>
          <w:szCs w:val="20"/>
        </w:rPr>
        <w:t>  </w:t>
      </w:r>
    </w:p>
    <w:p w14:paraId="70B1BBE1"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Cs/>
          <w:kern w:val="0"/>
          <w:sz w:val="20"/>
          <w:szCs w:val="20"/>
          <w:lang w:val="es-MX"/>
        </w:rPr>
        <w:t>f) La autonomía universitaria es un derecho limitado y complejo. Limitado porque es una garantía para el funcionamiento adecuado de la institución. Es complejo, como quiera que involucre otros derechos de las personas.</w:t>
      </w:r>
      <w:r w:rsidRPr="00EC6FCF">
        <w:rPr>
          <w:rFonts w:ascii="Verdana" w:hAnsi="Verdana" w:cs="Verdana"/>
          <w:iCs/>
          <w:kern w:val="0"/>
          <w:sz w:val="20"/>
          <w:szCs w:val="20"/>
        </w:rPr>
        <w:t>  </w:t>
      </w:r>
    </w:p>
    <w:p w14:paraId="6D81981A"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Cs/>
          <w:kern w:val="0"/>
          <w:sz w:val="20"/>
          <w:szCs w:val="20"/>
          <w:lang w:val="es-MX"/>
        </w:rPr>
        <w:t>g) Los criterios para selección de los estudiantes pertenecen a la órbita de la autonomía universitaria, siempre y cuando aquellos sean razonables, proporcionales y no vulneren derechos fundamentales y en especial el derecho a la igualdad. Por ende, la admisión debe corresponder a criterios objetivos de mérito académico individual.</w:t>
      </w:r>
      <w:r w:rsidRPr="00EC6FCF">
        <w:rPr>
          <w:rFonts w:ascii="Verdana" w:hAnsi="Verdana" w:cs="Verdana"/>
          <w:iCs/>
          <w:kern w:val="0"/>
          <w:sz w:val="20"/>
          <w:szCs w:val="20"/>
        </w:rPr>
        <w:t>  </w:t>
      </w:r>
    </w:p>
    <w:p w14:paraId="1FB516E8"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Cs/>
          <w:kern w:val="0"/>
          <w:sz w:val="20"/>
          <w:szCs w:val="20"/>
          <w:lang w:val="es-MX"/>
        </w:rPr>
        <w:t>h) Los criterios para determinar las calificaciones mínimas deben regularse por reglamento, esto es corresponden a la autonomía universitaria.</w:t>
      </w:r>
      <w:r w:rsidRPr="00EC6FCF">
        <w:rPr>
          <w:rFonts w:ascii="Verdana" w:hAnsi="Verdana" w:cs="Verdana"/>
          <w:iCs/>
          <w:kern w:val="0"/>
          <w:sz w:val="20"/>
          <w:szCs w:val="20"/>
        </w:rPr>
        <w:t>  </w:t>
      </w:r>
    </w:p>
    <w:p w14:paraId="013C86B2" w14:textId="77777777" w:rsidR="00C84FDE" w:rsidRPr="00EC6FCF" w:rsidRDefault="00C84FDE" w:rsidP="00C84FDE">
      <w:pPr>
        <w:autoSpaceDE w:val="0"/>
        <w:autoSpaceDN w:val="0"/>
        <w:adjustRightInd w:val="0"/>
        <w:spacing w:after="0" w:line="240" w:lineRule="auto"/>
        <w:jc w:val="both"/>
        <w:rPr>
          <w:rFonts w:ascii="Verdana" w:hAnsi="Verdana" w:cs="Arial"/>
          <w:i/>
          <w:iCs/>
          <w:kern w:val="0"/>
          <w:sz w:val="20"/>
          <w:szCs w:val="20"/>
        </w:rPr>
      </w:pPr>
      <w:r w:rsidRPr="00EC6FCF">
        <w:rPr>
          <w:rFonts w:ascii="Verdana" w:hAnsi="Verdana" w:cs="Verdana"/>
          <w:iCs/>
          <w:kern w:val="0"/>
          <w:sz w:val="20"/>
          <w:szCs w:val="20"/>
          <w:lang w:val="es-MX"/>
        </w:rPr>
        <w:t>i) Las sanciones académicas hacen parte de la autonomía universitaria. Sin embargo, son de naturaleza reglada, como quiera que las conductas que originan la sanción deben estar previamente determinadas en el reglamento. Así mismo, la imposición de sanciones está sometida a la aplicación del debido proceso y del derecho de defensa.</w:t>
      </w:r>
      <w:r w:rsidRPr="00EC6FCF">
        <w:rPr>
          <w:rFonts w:ascii="Verdana" w:hAnsi="Verdana" w:cs="Verdana"/>
          <w:iCs/>
          <w:kern w:val="0"/>
          <w:sz w:val="20"/>
          <w:szCs w:val="20"/>
        </w:rPr>
        <w:t> </w:t>
      </w:r>
    </w:p>
    <w:p w14:paraId="0A0807E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7124B77C" w14:textId="552C8D0B" w:rsidR="00C84FDE" w:rsidRPr="00EC6FCF" w:rsidRDefault="007B5BFA">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Verdana"/>
          <w:bCs/>
          <w:kern w:val="0"/>
        </w:rPr>
        <w:t>B</w:t>
      </w:r>
      <w:r w:rsidR="007A24C5" w:rsidRPr="00EC6FCF">
        <w:rPr>
          <w:rFonts w:ascii="Verdana" w:hAnsi="Verdana" w:cs="Verdana"/>
          <w:bCs/>
          <w:kern w:val="0"/>
        </w:rPr>
        <w:t xml:space="preserve">. </w:t>
      </w:r>
      <w:r w:rsidR="00C84FDE" w:rsidRPr="00EC6FCF">
        <w:rPr>
          <w:rFonts w:ascii="Verdana" w:hAnsi="Verdana" w:cs="Verdana"/>
          <w:bCs/>
          <w:kern w:val="0"/>
        </w:rPr>
        <w:t>Excepción de falta de legitimación en la causa por pasiva </w:t>
      </w:r>
      <w:r w:rsidR="00C84FDE" w:rsidRPr="00EC6FCF">
        <w:rPr>
          <w:rFonts w:ascii="Verdana" w:hAnsi="Verdana" w:cs="Verdana"/>
          <w:bCs/>
          <w:kern w:val="0"/>
          <w:lang w:val="es-ES"/>
        </w:rPr>
        <w:t>del Ministerio de Educación Nacional en asuntos de IES</w:t>
      </w:r>
      <w:r w:rsidR="00C84FDE" w:rsidRPr="00EC6FCF">
        <w:rPr>
          <w:rFonts w:ascii="Verdana" w:hAnsi="Verdana" w:cs="Verdana"/>
          <w:kern w:val="0"/>
        </w:rPr>
        <w:t> </w:t>
      </w:r>
    </w:p>
    <w:p w14:paraId="289FF1B8"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1B08DDAA"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La Constitución Política de Colombia consagra el principio de la autonomía universitaria, desarrollado por la Ley 30 de 1992, la cual faculta a las instituciones de educación superior el derecho a darse y modificar sus estatutos, designar sus autoridades académicas y administrativas, crear, organizar y desarrollar sus programas académicos, definir y organizar sus labores formativas, académicas, docentes, científicas y culturales, otorgar los títulos correspondientes, seleccionar a sus profesores, admitir a sus alumnos y adoptar sus correspondientes regímenes y establecer, arbitrar y aplicar sus recursos para el cumplimiento de su misión social y de su función institucional. </w:t>
      </w:r>
    </w:p>
    <w:p w14:paraId="3E2C709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49E9172B"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En su artículo 24 establece que </w:t>
      </w:r>
      <w:r w:rsidRPr="00EC6FCF">
        <w:rPr>
          <w:rFonts w:ascii="Verdana" w:hAnsi="Verdana" w:cs="Verdana"/>
          <w:iCs/>
          <w:kern w:val="0"/>
        </w:rPr>
        <w:t>“el título es el reconocimiento expreso de carácter académico, otorgado a una persona natural, a la culminación de un programa, por haber adquirido un saber determinado en una Institución de Educación Superior.</w:t>
      </w:r>
      <w:r w:rsidRPr="00EC6FCF">
        <w:rPr>
          <w:rFonts w:ascii="Verdana" w:hAnsi="Verdana" w:cs="Verdana"/>
          <w:kern w:val="0"/>
        </w:rPr>
        <w:t> Y es claro que el otorgamiento de títulos en la Educación Superior es de competencia exclusiva de las instituciones de ese nivel. </w:t>
      </w:r>
    </w:p>
    <w:p w14:paraId="0E2AA83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1582EB91"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Así mismo, es necesario tener en consideración que el artículo 109 de la Ley 30 citada, señala que las instituciones de Educación Superior deberán tener un reglamento estudiantil que regule al menos los siguientes aspectos: Requisitos de inscripción, admisión y matrícula, derechos y deberes, distinciones e incentivos, régimen disciplinario y demás aspectos académicos. </w:t>
      </w:r>
    </w:p>
    <w:p w14:paraId="5A93E102"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762BE091"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Es decir, cada institución de educación superior dentro de sus reglamentos internos determina las condiciones y requisitos que deben cumplirse al desarrollar un programa académico para que los egresados de los mismos sean aptos para otorgarles los títulos correspondientes. En este sentido debe tenerse en cuenta que los reglamentos hacen </w:t>
      </w:r>
      <w:r w:rsidRPr="00EC6FCF">
        <w:rPr>
          <w:rFonts w:ascii="Verdana" w:hAnsi="Verdana" w:cs="Verdana"/>
          <w:bCs/>
          <w:kern w:val="0"/>
        </w:rPr>
        <w:t>parte del contrato de matrícula que se suscribe entre el estudiante y la institución</w:t>
      </w:r>
      <w:r w:rsidRPr="00EC6FCF">
        <w:rPr>
          <w:rFonts w:ascii="Verdana" w:hAnsi="Verdana" w:cs="Verdana"/>
          <w:kern w:val="0"/>
        </w:rPr>
        <w:t> y sus condiciones deben ser respetadas y atendidas por ambas partes. </w:t>
      </w:r>
    </w:p>
    <w:p w14:paraId="0C530886"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87ABB3E" w14:textId="77777777" w:rsidR="00C84FDE" w:rsidRPr="00EC6FCF" w:rsidRDefault="00C84FDE" w:rsidP="00C84FDE">
      <w:pPr>
        <w:autoSpaceDE w:val="0"/>
        <w:autoSpaceDN w:val="0"/>
        <w:adjustRightInd w:val="0"/>
        <w:spacing w:after="0" w:line="240" w:lineRule="auto"/>
        <w:ind w:left="705"/>
        <w:jc w:val="both"/>
        <w:rPr>
          <w:rFonts w:ascii="Verdana" w:hAnsi="Verdana" w:cs="Arial"/>
          <w:kern w:val="0"/>
          <w:sz w:val="20"/>
          <w:szCs w:val="20"/>
        </w:rPr>
      </w:pPr>
      <w:r w:rsidRPr="00EC6FCF">
        <w:rPr>
          <w:rFonts w:ascii="Verdana" w:hAnsi="Verdana" w:cs="Verdana"/>
          <w:bCs/>
          <w:iCs/>
          <w:kern w:val="0"/>
          <w:sz w:val="20"/>
          <w:szCs w:val="20"/>
        </w:rPr>
        <w:t>“Artículo   28.</w:t>
      </w:r>
      <w:r w:rsidRPr="00EC6FCF">
        <w:rPr>
          <w:rFonts w:ascii="Verdana" w:hAnsi="Verdana" w:cs="Verdana"/>
          <w:iCs/>
          <w:kern w:val="0"/>
          <w:sz w:val="20"/>
          <w:szCs w:val="20"/>
        </w:rPr>
        <w:t> La autonomía universitaria consagrada en la Constitución Política de Colombia y de conformidad con la presente ley, reconoce a las universidades el derecho a darse y modificar sus estatutos, designar sus autoridades académicas y administrativas, crear, organizar y desarrollar sus programas académicos, definir y organizar sus labores formativas, académicas, docentes, científicas y culturales, otorgar los títulos correspondientes, seleccionar a sus profesores, admitir a sus alumnos y adoptar sus correspondientes regímenes, y establecer, arbitrar y aplicar sus recursos para el cumplimiento de su misión social y de función institucional.”  (subrayado fuera de texto)</w:t>
      </w:r>
      <w:r w:rsidRPr="00EC6FCF">
        <w:rPr>
          <w:rFonts w:ascii="Verdana" w:hAnsi="Verdana" w:cs="Verdana"/>
          <w:kern w:val="0"/>
          <w:sz w:val="20"/>
          <w:szCs w:val="20"/>
        </w:rPr>
        <w:t> </w:t>
      </w:r>
    </w:p>
    <w:p w14:paraId="476E2D10"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p>
    <w:p w14:paraId="68C39C19"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Verdana"/>
          <w:bCs/>
          <w:iCs/>
          <w:kern w:val="0"/>
          <w:sz w:val="20"/>
          <w:szCs w:val="20"/>
        </w:rPr>
        <w:t>“Artículo   29</w:t>
      </w:r>
      <w:r w:rsidRPr="00EC6FCF">
        <w:rPr>
          <w:rFonts w:ascii="Verdana" w:hAnsi="Verdana" w:cs="Verdana"/>
          <w:iCs/>
          <w:kern w:val="0"/>
          <w:sz w:val="20"/>
          <w:szCs w:val="20"/>
        </w:rPr>
        <w:t>. La autonomía de las instituciones universitarias, o, escuelas tecnológicas y de las instituciones técnicas profesionales estará determinada por su campo de acción y de acuerdo con la presente ley, en los siguientes aspectos:</w:t>
      </w:r>
      <w:r w:rsidRPr="00EC6FCF">
        <w:rPr>
          <w:rFonts w:ascii="Verdana" w:hAnsi="Verdana" w:cs="Verdana"/>
          <w:kern w:val="0"/>
          <w:sz w:val="20"/>
          <w:szCs w:val="20"/>
        </w:rPr>
        <w:t> </w:t>
      </w:r>
    </w:p>
    <w:p w14:paraId="33484A64" w14:textId="77777777" w:rsidR="00C84FDE" w:rsidRPr="00EC6FCF" w:rsidRDefault="00C84FDE" w:rsidP="00C84FDE">
      <w:pPr>
        <w:autoSpaceDE w:val="0"/>
        <w:autoSpaceDN w:val="0"/>
        <w:adjustRightInd w:val="0"/>
        <w:spacing w:after="0" w:line="240" w:lineRule="auto"/>
        <w:ind w:left="705"/>
        <w:rPr>
          <w:rFonts w:ascii="Verdana" w:hAnsi="Verdana" w:cs="Segoe UI"/>
          <w:kern w:val="0"/>
          <w:sz w:val="18"/>
          <w:szCs w:val="18"/>
        </w:rPr>
      </w:pPr>
      <w:r w:rsidRPr="00EC6FCF">
        <w:rPr>
          <w:rFonts w:ascii="Verdana" w:hAnsi="Verdana" w:cs="Verdana"/>
          <w:iCs/>
          <w:kern w:val="0"/>
          <w:sz w:val="20"/>
          <w:szCs w:val="20"/>
          <w:lang w:val="es-ES"/>
        </w:rPr>
        <w:t>a. Darse y modificar sus estatutos;</w:t>
      </w:r>
      <w:r w:rsidRPr="00EC6FCF">
        <w:rPr>
          <w:rFonts w:ascii="Verdana" w:hAnsi="Verdana" w:cs="Verdana"/>
          <w:kern w:val="0"/>
          <w:sz w:val="20"/>
          <w:szCs w:val="20"/>
        </w:rPr>
        <w:t> </w:t>
      </w:r>
    </w:p>
    <w:p w14:paraId="775AB9F6" w14:textId="77777777" w:rsidR="00C84FDE" w:rsidRPr="00EC6FCF" w:rsidRDefault="00C84FDE" w:rsidP="00C84FDE">
      <w:pPr>
        <w:autoSpaceDE w:val="0"/>
        <w:autoSpaceDN w:val="0"/>
        <w:adjustRightInd w:val="0"/>
        <w:spacing w:after="0" w:line="240" w:lineRule="auto"/>
        <w:ind w:left="705"/>
        <w:rPr>
          <w:rFonts w:ascii="Verdana" w:hAnsi="Verdana" w:cs="Segoe UI"/>
          <w:kern w:val="0"/>
          <w:sz w:val="18"/>
          <w:szCs w:val="18"/>
        </w:rPr>
      </w:pPr>
      <w:r w:rsidRPr="00EC6FCF">
        <w:rPr>
          <w:rFonts w:ascii="Verdana" w:hAnsi="Verdana" w:cs="Verdana"/>
          <w:iCs/>
          <w:kern w:val="0"/>
          <w:sz w:val="20"/>
          <w:szCs w:val="20"/>
          <w:lang w:val="es-ES"/>
        </w:rPr>
        <w:t>b. Designar sus autoridades académicas y administrativas;</w:t>
      </w: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lang w:val="es-ES"/>
        </w:rPr>
        <w:t>c. Crear, desarrollar sus programas académicos, lo mismo que expedir los correspondientes títulos;</w:t>
      </w: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lang w:val="es-ES"/>
        </w:rPr>
        <w:t>d. Definir y organizar sus labores formativas, académicas, docentes, científicas, culturales y de extensión;</w:t>
      </w: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lang w:val="es-ES"/>
        </w:rPr>
        <w:t>e. Seleccionar y vincular a sus docentes, lo mismo que sus alumnos;</w:t>
      </w: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lang w:val="es-ES"/>
        </w:rPr>
        <w:t>f. Adoptar el régimen de alumnos y docentes, y</w:t>
      </w: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lang w:val="es-ES"/>
        </w:rPr>
        <w:t>g. Arbitrar y aplicar sus recursos para el cumplimiento de su misión social y de su función institucional.</w:t>
      </w: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lang w:val="es-ES"/>
        </w:rPr>
        <w:t>(…).”</w:t>
      </w:r>
      <w:r w:rsidRPr="00EC6FCF">
        <w:rPr>
          <w:rFonts w:ascii="Verdana" w:hAnsi="Verdana" w:cs="Verdana"/>
          <w:kern w:val="0"/>
          <w:sz w:val="20"/>
          <w:szCs w:val="20"/>
        </w:rPr>
        <w:t> </w:t>
      </w:r>
    </w:p>
    <w:p w14:paraId="6E9D183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Sobre la autonomía universitaria la Corte Constitucional ha señalado en reiteradas sentencias como la C-491 de 2016, que: </w:t>
      </w:r>
    </w:p>
    <w:p w14:paraId="1BB5D32A"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rPr>
        <w:t>“</w:t>
      </w:r>
      <w:r w:rsidRPr="00EC6FCF">
        <w:rPr>
          <w:rFonts w:ascii="Verdana" w:hAnsi="Verdana" w:cs="Verdana"/>
          <w:iCs/>
          <w:kern w:val="0"/>
          <w:sz w:val="20"/>
          <w:szCs w:val="20"/>
        </w:rPr>
        <w:t>Podemos deducir dos grandes vertientes que definen el contenido de la autonomía de las instituciones educativas superiores. De un lado, la </w:t>
      </w:r>
      <w:r w:rsidRPr="00EC6FCF">
        <w:rPr>
          <w:rFonts w:ascii="Verdana" w:hAnsi="Verdana" w:cs="Verdana"/>
          <w:bCs/>
          <w:iCs/>
          <w:kern w:val="0"/>
          <w:sz w:val="20"/>
          <w:szCs w:val="20"/>
        </w:rPr>
        <w:t>dirección ideológica</w:t>
      </w:r>
      <w:r w:rsidRPr="00EC6FCF">
        <w:rPr>
          <w:rFonts w:ascii="Verdana" w:hAnsi="Verdana" w:cs="Verdana"/>
          <w:iCs/>
          <w:kern w:val="0"/>
          <w:sz w:val="20"/>
          <w:szCs w:val="20"/>
        </w:rPr>
        <w:t> del centro educativo, lo cual determina su particularidad y su especial condición filosófica en la sociedad pluralista y participativa. </w:t>
      </w:r>
      <w:r w:rsidRPr="00EC6FCF">
        <w:rPr>
          <w:rFonts w:ascii="Verdana" w:hAnsi="Verdana" w:cs="Verdana"/>
          <w:bCs/>
          <w:iCs/>
          <w:kern w:val="0"/>
          <w:sz w:val="20"/>
          <w:szCs w:val="20"/>
        </w:rPr>
        <w:t xml:space="preserve">Para ello la universidad cuenta con la potestad de señalar los planes de estudio y los </w:t>
      </w:r>
      <w:r w:rsidRPr="00EC6FCF">
        <w:rPr>
          <w:rFonts w:ascii="Verdana" w:hAnsi="Verdana" w:cs="Verdana"/>
          <w:bCs/>
          <w:iCs/>
          <w:kern w:val="0"/>
          <w:sz w:val="20"/>
          <w:szCs w:val="20"/>
        </w:rPr>
        <w:lastRenderedPageBreak/>
        <w:t>métodos y sistemas de investigación</w:t>
      </w:r>
      <w:r w:rsidRPr="00EC6FCF">
        <w:rPr>
          <w:rFonts w:ascii="Verdana" w:hAnsi="Verdana" w:cs="Verdana"/>
          <w:iCs/>
          <w:kern w:val="0"/>
          <w:sz w:val="20"/>
          <w:szCs w:val="20"/>
        </w:rPr>
        <w:t>. Y, de otro lado, la potestad para </w:t>
      </w:r>
      <w:r w:rsidRPr="00EC6FCF">
        <w:rPr>
          <w:rFonts w:ascii="Verdana" w:hAnsi="Verdana" w:cs="Verdana"/>
          <w:bCs/>
          <w:iCs/>
          <w:kern w:val="0"/>
          <w:sz w:val="20"/>
          <w:szCs w:val="20"/>
        </w:rPr>
        <w:t>dotarse de su propia organización interna, lo cual se concreta en las normas de funcionamiento y de gestión administrativa</w:t>
      </w:r>
      <w:r w:rsidRPr="00EC6FCF">
        <w:rPr>
          <w:rFonts w:ascii="Verdana" w:hAnsi="Verdana" w:cs="Verdana"/>
          <w:iCs/>
          <w:kern w:val="0"/>
          <w:sz w:val="20"/>
          <w:szCs w:val="20"/>
        </w:rPr>
        <w:t>, en el sistema de elaboración y aprobación de su presupuesto, la administración de sus bienes, la selección y formación de sus docentes” (subrayado y negrillas fuera de texto)</w:t>
      </w:r>
      <w:r w:rsidRPr="00EC6FCF">
        <w:rPr>
          <w:rFonts w:ascii="Verdana" w:hAnsi="Verdana" w:cs="Verdana"/>
          <w:kern w:val="0"/>
          <w:sz w:val="20"/>
          <w:szCs w:val="20"/>
        </w:rPr>
        <w:t> </w:t>
      </w:r>
    </w:p>
    <w:p w14:paraId="2972B12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Es así, que al contrastar la interpretación constitucional con las normas en cita se puede establecer que los temas contemplados dentro del manejo de la autonomía universitaria en las instituciones de educación superior son de amplio alcance, es decir, estos abarcan temas académicos, ideológicos, política administrativa y de manejo de recursos. Al respecto, la Corte Constitucional establece en la sentencia citada la capacidad de acción de los entes educativos de educación superior de la siguiente manera: </w:t>
      </w:r>
    </w:p>
    <w:p w14:paraId="3001DB50"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rPr>
        <w:t>“Por tanto, conforme a la Constitución y la Ley, la capacidad de acción de las universidades se resume en las facultades de: (i) darse y modificar sus estatutos, (ii) establecer los mecanismos que faciliten la elección, designación y períodos de sus directivos y administradores, (iii) desarrollar sus planes de estudio y sus programas académicos, formativos, docentes, científicos y culturales, (iii) seleccionar a sus profesores y admitir a sus alumnos, (iv) asumir la elaboración y aprobación de sus presupuestos y (v) administrar sus propios bienes y recursos</w:t>
      </w:r>
      <w:r w:rsidRPr="00EC6FCF">
        <w:rPr>
          <w:rFonts w:ascii="Verdana" w:hAnsi="Verdana" w:cs="Verdana"/>
          <w:iCs/>
          <w:kern w:val="0"/>
          <w:sz w:val="20"/>
          <w:szCs w:val="20"/>
        </w:rPr>
        <w:t>”</w:t>
      </w:r>
      <w:r w:rsidRPr="00EC6FCF">
        <w:rPr>
          <w:rFonts w:ascii="Verdana" w:hAnsi="Verdana" w:cs="Verdana"/>
          <w:kern w:val="0"/>
          <w:sz w:val="20"/>
          <w:szCs w:val="20"/>
        </w:rPr>
        <w:t> </w:t>
      </w:r>
    </w:p>
    <w:p w14:paraId="524758D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Si bien es cierto que, la autonomía universitaria tiene un amplio margen de configuración, no lo es menos que esta tiene límites fijados en la constitución y en la ley, que han sido definidos por la Corte Constitucional en diferentes providencias entre ellas la sentencia C-704 de 2010, que expone: </w:t>
      </w:r>
    </w:p>
    <w:p w14:paraId="1628F718"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rPr>
        <w:t>“La jurisprudencia de esta Corporación ha puesto de manifiesto que diversos preceptos constitucionales </w:t>
      </w:r>
      <w:r w:rsidRPr="00EC6FCF">
        <w:rPr>
          <w:rFonts w:ascii="Verdana" w:hAnsi="Verdana" w:cs="Verdana"/>
          <w:bCs/>
          <w:iCs/>
          <w:kern w:val="0"/>
          <w:sz w:val="20"/>
          <w:szCs w:val="20"/>
        </w:rPr>
        <w:t>fijan límites</w:t>
      </w:r>
      <w:r w:rsidRPr="00EC6FCF">
        <w:rPr>
          <w:rFonts w:ascii="Verdana" w:hAnsi="Verdana" w:cs="Verdana"/>
          <w:iCs/>
          <w:kern w:val="0"/>
          <w:sz w:val="20"/>
          <w:szCs w:val="20"/>
        </w:rPr>
        <w:t> a la autonomía universitaria, como por ejemplo: (i) la facultad reconocida al Estado para regular y ejercer la suprema </w:t>
      </w:r>
      <w:r w:rsidRPr="00EC6FCF">
        <w:rPr>
          <w:rFonts w:ascii="Verdana" w:hAnsi="Verdana" w:cs="Verdana"/>
          <w:bCs/>
          <w:iCs/>
          <w:kern w:val="0"/>
          <w:sz w:val="20"/>
          <w:szCs w:val="20"/>
        </w:rPr>
        <w:t>inspección y vigilancia de la educación</w:t>
      </w:r>
      <w:r w:rsidRPr="00EC6FCF">
        <w:rPr>
          <w:rFonts w:ascii="Verdana" w:hAnsi="Verdana" w:cs="Verdana"/>
          <w:iCs/>
          <w:kern w:val="0"/>
          <w:sz w:val="20"/>
          <w:szCs w:val="20"/>
        </w:rPr>
        <w:t> (art. 67 CP); (ii) </w:t>
      </w:r>
      <w:r w:rsidRPr="00EC6FCF">
        <w:rPr>
          <w:rFonts w:ascii="Verdana" w:hAnsi="Verdana" w:cs="Verdana"/>
          <w:bCs/>
          <w:iCs/>
          <w:kern w:val="0"/>
          <w:sz w:val="20"/>
          <w:szCs w:val="20"/>
        </w:rPr>
        <w:t>la competencia atribuida al legislador para expedir las disposiciones generales</w:t>
      </w:r>
      <w:r w:rsidRPr="00EC6FCF">
        <w:rPr>
          <w:rFonts w:ascii="Verdana" w:hAnsi="Verdana" w:cs="Verdana"/>
          <w:iCs/>
          <w:kern w:val="0"/>
          <w:sz w:val="20"/>
          <w:szCs w:val="20"/>
        </w:rPr>
        <w:t> con arreglo a las cuales las universidades pueden darse sus directivas y regirse por sus propios estatutos (art. 69 CP); (iii) la </w:t>
      </w:r>
      <w:r w:rsidRPr="00EC6FCF">
        <w:rPr>
          <w:rFonts w:ascii="Verdana" w:hAnsi="Verdana" w:cs="Verdana"/>
          <w:bCs/>
          <w:iCs/>
          <w:kern w:val="0"/>
          <w:sz w:val="20"/>
          <w:szCs w:val="20"/>
        </w:rPr>
        <w:t>facultad de configuración legislativa para expedir las leyes que regirán la prestación efectiva de los servicios públicos</w:t>
      </w:r>
      <w:r w:rsidRPr="00EC6FCF">
        <w:rPr>
          <w:rFonts w:ascii="Verdana" w:hAnsi="Verdana" w:cs="Verdana"/>
          <w:iCs/>
          <w:kern w:val="0"/>
          <w:sz w:val="20"/>
          <w:szCs w:val="20"/>
        </w:rPr>
        <w:t> (art. 150-23 CP); y (iv) </w:t>
      </w:r>
      <w:r w:rsidRPr="00EC6FCF">
        <w:rPr>
          <w:rFonts w:ascii="Verdana" w:hAnsi="Verdana" w:cs="Verdana"/>
          <w:bCs/>
          <w:iCs/>
          <w:kern w:val="0"/>
          <w:sz w:val="20"/>
          <w:szCs w:val="20"/>
        </w:rPr>
        <w:t>el respeto por el ejercicio legítimo de los derechos fundamentales</w:t>
      </w:r>
      <w:r w:rsidRPr="00EC6FCF">
        <w:rPr>
          <w:rFonts w:ascii="Verdana" w:hAnsi="Verdana" w:cs="Verdana"/>
          <w:iCs/>
          <w:kern w:val="0"/>
          <w:sz w:val="20"/>
          <w:szCs w:val="20"/>
        </w:rPr>
        <w:t> (Título II, Capítulo II de la Constitución)” </w:t>
      </w:r>
      <w:r w:rsidRPr="00EC6FCF">
        <w:rPr>
          <w:rFonts w:ascii="Verdana" w:hAnsi="Verdana" w:cs="Verdana"/>
          <w:kern w:val="0"/>
          <w:sz w:val="20"/>
          <w:szCs w:val="20"/>
        </w:rPr>
        <w:t>(subrayado fuera de texto)</w:t>
      </w:r>
      <w:r w:rsidRPr="00EC6FCF">
        <w:rPr>
          <w:rFonts w:ascii="Verdana" w:hAnsi="Verdana" w:cs="Verdana"/>
          <w:kern w:val="0"/>
          <w:sz w:val="20"/>
          <w:szCs w:val="20"/>
        </w:rPr>
        <w:t> </w:t>
      </w:r>
    </w:p>
    <w:p w14:paraId="3C9C2145"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Ahora bien, debido a que uno de los límites fijados a la autonomía universitaria es la facultad del Estado de ejercer la inspección y vigilancia de la educación, se procederá a explicar en qué consiste la misma. </w:t>
      </w:r>
    </w:p>
    <w:p w14:paraId="4CB52DD4"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p>
    <w:p w14:paraId="5DAC0F15" w14:textId="77777777" w:rsidR="00C84FDE" w:rsidRPr="00EC6FCF" w:rsidRDefault="00C84FDE">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Verdana"/>
          <w:bCs/>
          <w:kern w:val="0"/>
        </w:rPr>
        <w:t>De la función de inspección y vigilancia del Ministerio de Educación Nacional</w:t>
      </w:r>
      <w:r w:rsidRPr="00EC6FCF">
        <w:rPr>
          <w:rFonts w:ascii="Verdana" w:hAnsi="Verdana" w:cs="Verdana"/>
          <w:kern w:val="0"/>
        </w:rPr>
        <w:t> </w:t>
      </w:r>
    </w:p>
    <w:p w14:paraId="2CCB7624"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Ahora, si bien es cierto que la misma Constitución Política le asigna al Estado la suprema inspección y vigilancia de la Educación Superior en sus artículos 67, 189 - numerales 21, 22 y 26, así como en su artículo 365, esa inspección y vigilancia tiene dos grandes características :1) No anula ni coarta la autonomía universitaria, y 2) No es ilimitada, sino que solamente puede ser ejercida dentro de las reglas que fije el Congreso de la República mediante Ley. </w:t>
      </w:r>
    </w:p>
    <w:p w14:paraId="148010E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En relación con la primera característica, debemos señalar que mediante la ley 1740 de 2014, por la cual se desarrolla parcialmente el artículo 67 y los numerales 21, 22 y 26 del artículo 189 de la constitución política, se regula la inspección y vigilancia de la educación superior, se modifica parcialmente la ley 30 de 1992 y se dictan otras disposiciones y dispuso al respecto en sus artículos 1 y 2 lo siguiente: </w:t>
      </w:r>
    </w:p>
    <w:p w14:paraId="101649B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sz w:val="20"/>
          <w:szCs w:val="20"/>
        </w:rPr>
        <w:t> </w:t>
      </w:r>
    </w:p>
    <w:p w14:paraId="421791E1" w14:textId="77777777" w:rsidR="00C84FDE" w:rsidRPr="00EC6FCF" w:rsidRDefault="00C84FDE" w:rsidP="00C84FDE">
      <w:pPr>
        <w:autoSpaceDE w:val="0"/>
        <w:autoSpaceDN w:val="0"/>
        <w:adjustRightInd w:val="0"/>
        <w:spacing w:after="0" w:line="240" w:lineRule="auto"/>
        <w:ind w:left="420" w:right="330"/>
        <w:jc w:val="both"/>
        <w:rPr>
          <w:rFonts w:ascii="Verdana" w:hAnsi="Verdana" w:cs="Segoe UI"/>
          <w:kern w:val="0"/>
          <w:sz w:val="18"/>
          <w:szCs w:val="18"/>
        </w:rPr>
      </w:pPr>
      <w:r w:rsidRPr="00EC6FCF">
        <w:rPr>
          <w:rFonts w:ascii="Verdana" w:hAnsi="Verdana" w:cs="Verdana"/>
          <w:iCs/>
          <w:kern w:val="0"/>
          <w:sz w:val="20"/>
          <w:szCs w:val="20"/>
        </w:rPr>
        <w:t>“ARTÍCULO 1°: FINALIDAD.  La finalidad de la presente ley es establecer las </w:t>
      </w:r>
      <w:r w:rsidRPr="00EC6FCF">
        <w:rPr>
          <w:rFonts w:ascii="Verdana" w:hAnsi="Verdana" w:cs="Verdana"/>
          <w:bCs/>
          <w:iCs/>
          <w:kern w:val="0"/>
          <w:sz w:val="20"/>
          <w:szCs w:val="20"/>
        </w:rPr>
        <w:t>normas de la inspección y vigilancia </w:t>
      </w:r>
      <w:r w:rsidRPr="00EC6FCF">
        <w:rPr>
          <w:rFonts w:ascii="Verdana" w:hAnsi="Verdana" w:cs="Verdana"/>
          <w:iCs/>
          <w:kern w:val="0"/>
          <w:sz w:val="20"/>
          <w:szCs w:val="20"/>
        </w:rPr>
        <w:t xml:space="preserve">de la educación superior en </w:t>
      </w:r>
      <w:r w:rsidRPr="00EC6FCF">
        <w:rPr>
          <w:rFonts w:ascii="Verdana" w:hAnsi="Verdana" w:cs="Verdana"/>
          <w:iCs/>
          <w:kern w:val="0"/>
          <w:sz w:val="20"/>
          <w:szCs w:val="20"/>
        </w:rPr>
        <w:lastRenderedPageBreak/>
        <w:t>Colombia, con el fin de velar por la calidad de este servicio público, su continuidad, la mejor formación moral, intelectual y física de los educandos, el cumplimiento de sus objetivos, el adecuado cubrimiento del servicio y porque en las instituciones de educación superior sus rentas se conserven y se apliquen debidamente, </w:t>
      </w:r>
      <w:r w:rsidRPr="00EC6FCF">
        <w:rPr>
          <w:rFonts w:ascii="Verdana" w:hAnsi="Verdana" w:cs="Verdana"/>
          <w:bCs/>
          <w:iCs/>
          <w:kern w:val="0"/>
          <w:sz w:val="20"/>
          <w:szCs w:val="20"/>
        </w:rPr>
        <w:t>garantizando siempre la autonomía universitaria constitucionalmente establecida.</w:t>
      </w:r>
      <w:r w:rsidRPr="00EC6FCF">
        <w:rPr>
          <w:rFonts w:ascii="Verdana" w:hAnsi="Verdana" w:cs="Verdana"/>
          <w:iCs/>
          <w:kern w:val="0"/>
          <w:sz w:val="20"/>
          <w:szCs w:val="20"/>
        </w:rPr>
        <w:t>”</w:t>
      </w:r>
      <w:r w:rsidRPr="00EC6FCF">
        <w:rPr>
          <w:rFonts w:ascii="Verdana" w:hAnsi="Verdana" w:cs="Verdana"/>
          <w:kern w:val="0"/>
          <w:sz w:val="20"/>
          <w:szCs w:val="20"/>
        </w:rPr>
        <w:t> </w:t>
      </w:r>
    </w:p>
    <w:p w14:paraId="1D4443C0" w14:textId="77777777" w:rsidR="00C84FDE" w:rsidRPr="00EC6FCF" w:rsidRDefault="00C84FDE" w:rsidP="00C84FDE">
      <w:pPr>
        <w:autoSpaceDE w:val="0"/>
        <w:autoSpaceDN w:val="0"/>
        <w:adjustRightInd w:val="0"/>
        <w:spacing w:after="0" w:line="240" w:lineRule="auto"/>
        <w:ind w:left="420" w:right="33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rPr>
        <w:t>“ARTICULO 2: PREVENCION. El Ministerio de Educación Nacional propenderá por el desarrollo de un proceso de evaluación que apoye, fomente y dignifique la Educación Superior, velando por la prevención, como uno de los elementos de la inspección y vigilancia, en los siguientes aspectos: </w:t>
      </w:r>
      <w:r w:rsidRPr="00EC6FCF">
        <w:rPr>
          <w:rFonts w:ascii="Verdana" w:hAnsi="Verdana" w:cs="Verdana"/>
          <w:kern w:val="0"/>
          <w:sz w:val="20"/>
          <w:szCs w:val="20"/>
        </w:rPr>
        <w:t> </w:t>
      </w:r>
    </w:p>
    <w:p w14:paraId="5EE7DC83" w14:textId="77777777" w:rsidR="00C84FDE" w:rsidRPr="00EC6FCF" w:rsidRDefault="00C84FDE" w:rsidP="00C84FDE">
      <w:pPr>
        <w:autoSpaceDE w:val="0"/>
        <w:autoSpaceDN w:val="0"/>
        <w:adjustRightInd w:val="0"/>
        <w:spacing w:after="0" w:line="240" w:lineRule="auto"/>
        <w:ind w:left="420" w:right="33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bCs/>
          <w:iCs/>
          <w:kern w:val="0"/>
          <w:sz w:val="20"/>
          <w:szCs w:val="20"/>
        </w:rPr>
        <w:t>La calidad de la Educación Superior dentro del respeto a la autonomía universitaria y a las libertades de enseñanza, aprendizaje, investigación y cátedra” </w:t>
      </w:r>
      <w:r w:rsidRPr="00EC6FCF">
        <w:rPr>
          <w:rFonts w:ascii="Verdana" w:hAnsi="Verdana" w:cs="Verdana"/>
          <w:kern w:val="0"/>
          <w:sz w:val="20"/>
          <w:szCs w:val="20"/>
        </w:rPr>
        <w:t>(subrayado y negrilla fuera de texto) </w:t>
      </w:r>
    </w:p>
    <w:p w14:paraId="00037D89" w14:textId="77777777" w:rsidR="00C84FDE" w:rsidRPr="00EC6FCF" w:rsidRDefault="00C84FDE" w:rsidP="00C84FDE">
      <w:pPr>
        <w:autoSpaceDE w:val="0"/>
        <w:autoSpaceDN w:val="0"/>
        <w:adjustRightInd w:val="0"/>
        <w:spacing w:after="0" w:line="240" w:lineRule="auto"/>
        <w:ind w:right="45" w:firstLine="420"/>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Las normas transcritas son claras en señalar que el </w:t>
      </w:r>
      <w:r w:rsidRPr="00EC6FCF">
        <w:rPr>
          <w:rFonts w:ascii="Verdana" w:hAnsi="Verdana" w:cs="Verdana"/>
          <w:bCs/>
          <w:kern w:val="0"/>
        </w:rPr>
        <w:t>ejercicio de las funciones de inspección y vigilancia no pueden afectar ni vulnerar el respeto a la autonomía universitaria</w:t>
      </w:r>
      <w:r w:rsidRPr="00EC6FCF">
        <w:rPr>
          <w:rFonts w:ascii="Verdana" w:hAnsi="Verdana" w:cs="Verdana"/>
          <w:kern w:val="0"/>
        </w:rPr>
        <w:t> que la constitución le otorga a las Instituciones de Educación Superior para autorregularse y para crear, ofrecer, desarrollar y titular sus programas académicos. </w:t>
      </w:r>
    </w:p>
    <w:p w14:paraId="20F3B27C"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Por ende, cuando el Ministerio de Educación Nacional ejerce las funciones de inspección y vigilancia de la educación superior que le delegó el presidente de la república mediante el Decreto 698 de 1993, sólo le está permitido hacer lo que señalan expresamente las normas legales y sin vulnerar la autonomía universitaria que la Constitución le garantiza a las instituciones de educación superior. </w:t>
      </w:r>
    </w:p>
    <w:p w14:paraId="4012FDF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De manera particular, el Decreto 1075 de 2015 “Por medio del cual se expide el Decreto Único Reglamentario del Sector Educación”, dispone:  </w:t>
      </w:r>
    </w:p>
    <w:p w14:paraId="33A6AA64"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kern w:val="0"/>
          <w:sz w:val="20"/>
          <w:szCs w:val="20"/>
        </w:rPr>
        <w:t> </w:t>
      </w:r>
      <w:r w:rsidRPr="00EC6FCF">
        <w:rPr>
          <w:rFonts w:ascii="Verdana" w:hAnsi="Verdana" w:cs="Verdana"/>
          <w:iCs/>
          <w:kern w:val="0"/>
          <w:sz w:val="20"/>
          <w:szCs w:val="20"/>
        </w:rPr>
        <w:t>“ARTÍCULO 2.5.3.2.10.6. DEL EJERCICIO DE LA FUNCIÓN DE INSPECCIÓN Y VIGILANCIA. El Ministerio de Educación Nacional podrá adelantar en cualquier momento la verificación de las condiciones de calidad bajo las cuales se ofrece y desarrolla un programa académico de educación superior.”</w:t>
      </w:r>
      <w:r w:rsidRPr="00EC6FCF">
        <w:rPr>
          <w:rFonts w:ascii="Verdana" w:hAnsi="Verdana" w:cs="Verdana"/>
          <w:kern w:val="0"/>
          <w:sz w:val="20"/>
          <w:szCs w:val="20"/>
        </w:rPr>
        <w:t> </w:t>
      </w:r>
    </w:p>
    <w:p w14:paraId="1BE38776" w14:textId="77777777" w:rsidR="00C84FDE" w:rsidRPr="00EC6FCF" w:rsidRDefault="00C84FDE" w:rsidP="00C84FDE">
      <w:pPr>
        <w:autoSpaceDE w:val="0"/>
        <w:autoSpaceDN w:val="0"/>
        <w:adjustRightInd w:val="0"/>
        <w:spacing w:after="0" w:line="240" w:lineRule="auto"/>
        <w:ind w:right="45"/>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Ahora bien, en virtud de las facultades de Vigilancia de las instituciones de educación superior, de conformidad con el artículo 9º de la Ley 1740 de 2014 </w:t>
      </w:r>
      <w:r w:rsidRPr="00EC6FCF">
        <w:rPr>
          <w:rFonts w:ascii="Verdana" w:hAnsi="Verdana" w:cs="Verdana"/>
          <w:iCs/>
          <w:kern w:val="0"/>
        </w:rPr>
        <w:t>"Por la cual se desarrolla parcialmente el Artículo 67 y los numerales 21, 22 Y 26 del Artículo 189 de la Constitución Política, se regula la Inspección y Vigilancia de la Educación Superior, se modifica parcialmente la Ley 30 de 1992 y se dictan otras disposiciones"</w:t>
      </w:r>
      <w:r w:rsidRPr="00EC6FCF">
        <w:rPr>
          <w:rFonts w:ascii="Verdana" w:hAnsi="Verdana" w:cs="Verdana"/>
          <w:kern w:val="0"/>
        </w:rPr>
        <w:t>, el </w:t>
      </w:r>
      <w:r w:rsidRPr="00EC6FCF">
        <w:rPr>
          <w:rFonts w:ascii="Verdana" w:hAnsi="Verdana" w:cs="Verdana"/>
          <w:bCs/>
          <w:kern w:val="0"/>
        </w:rPr>
        <w:t>Ministerio está dotado de instrumentos para intervenir a la institución de educación superior</w:t>
      </w:r>
      <w:r w:rsidRPr="00EC6FCF">
        <w:rPr>
          <w:rFonts w:ascii="Verdana" w:hAnsi="Verdana" w:cs="Verdana"/>
          <w:kern w:val="0"/>
        </w:rPr>
        <w:t> en aras de llegar a </w:t>
      </w:r>
      <w:r w:rsidRPr="00EC6FCF">
        <w:rPr>
          <w:rFonts w:ascii="Verdana" w:hAnsi="Verdana" w:cs="Verdana"/>
          <w:bCs/>
          <w:kern w:val="0"/>
        </w:rPr>
        <w:t>la corrección de situaciones que afecten la prestación efectiva del servicio educativo</w:t>
      </w:r>
      <w:r w:rsidRPr="00EC6FCF">
        <w:rPr>
          <w:rFonts w:ascii="Verdana" w:hAnsi="Verdana" w:cs="Verdana"/>
          <w:kern w:val="0"/>
        </w:rPr>
        <w:t>, así: </w:t>
      </w:r>
    </w:p>
    <w:p w14:paraId="02D07823"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rPr>
        <w:t>“ARTÍCULO 9°: FUNCIONES DE VIGILANCIA. En ejercicio de la facultad de vigilancia de las instituciones de educación superior, el Ministerio de Educación Nacional, podrá: </w:t>
      </w:r>
      <w:r w:rsidRPr="00EC6FCF">
        <w:rPr>
          <w:rFonts w:ascii="Verdana" w:hAnsi="Verdana" w:cs="Verdana"/>
          <w:kern w:val="0"/>
          <w:sz w:val="20"/>
          <w:szCs w:val="20"/>
        </w:rPr>
        <w:t> </w:t>
      </w:r>
    </w:p>
    <w:p w14:paraId="129D880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rPr>
        <w:t> 1. Hacer seguimiento a las actividades que desarrollan las instituciones de educación superior, con el objeto de velar por la prestación del servicio educativo en condiciones de calidad y continuidad. </w:t>
      </w:r>
      <w:r w:rsidRPr="00EC6FCF">
        <w:rPr>
          <w:rFonts w:ascii="Verdana" w:hAnsi="Verdana" w:cs="Verdana"/>
          <w:kern w:val="0"/>
          <w:sz w:val="20"/>
          <w:szCs w:val="20"/>
        </w:rPr>
        <w:t> </w:t>
      </w:r>
    </w:p>
    <w:p w14:paraId="4077EF3A"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rPr>
        <w:t>2. Practicar visitas generales o específicas y adoptar las medidas a que haya lugar para que se subsanen las irregularidades que se detecten.</w:t>
      </w:r>
      <w:r w:rsidRPr="00EC6FCF">
        <w:rPr>
          <w:rFonts w:ascii="Verdana" w:hAnsi="Verdana" w:cs="Verdana"/>
          <w:kern w:val="0"/>
          <w:sz w:val="20"/>
          <w:szCs w:val="20"/>
        </w:rPr>
        <w:t> </w:t>
      </w:r>
    </w:p>
    <w:p w14:paraId="5421528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rPr>
        <w:t>3. Realizar auditorías sobre los procedimientos financieros y contables cuando sea necesario para el cabal cumplimiento de los objetivos y funciones.</w:t>
      </w:r>
      <w:r w:rsidRPr="00EC6FCF">
        <w:rPr>
          <w:rFonts w:ascii="Verdana" w:hAnsi="Verdana" w:cs="Verdana"/>
          <w:kern w:val="0"/>
          <w:sz w:val="20"/>
          <w:szCs w:val="20"/>
        </w:rPr>
        <w:t> </w:t>
      </w:r>
    </w:p>
    <w:p w14:paraId="1D6798FA"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rPr>
        <w:t xml:space="preserve">4. Dar trámite a las reclamaciones o quejas que se presenten contra las instituciones vigiladas, por parte de quienes acrediten un interés jurídico, llevando a cabo las investigaciones que sean necesarias, con el fin de establecer las </w:t>
      </w:r>
      <w:r w:rsidRPr="00EC6FCF">
        <w:rPr>
          <w:rFonts w:ascii="Verdana" w:hAnsi="Verdana" w:cs="Verdana"/>
          <w:iCs/>
          <w:kern w:val="0"/>
          <w:sz w:val="20"/>
          <w:szCs w:val="20"/>
        </w:rPr>
        <w:lastRenderedPageBreak/>
        <w:t>responsabilidades administrativas o académicas del caso o adoptar las medidas que resulten pertinentes. Cuando se trate de asuntos contenciosos, dará traslado de las mismas a las autoridades competentes, si a ello hubiere lugar. </w:t>
      </w:r>
      <w:r w:rsidRPr="00EC6FCF">
        <w:rPr>
          <w:rFonts w:ascii="Verdana" w:hAnsi="Verdana" w:cs="Verdana"/>
          <w:kern w:val="0"/>
          <w:sz w:val="20"/>
          <w:szCs w:val="20"/>
        </w:rPr>
        <w:t> </w:t>
      </w:r>
    </w:p>
    <w:p w14:paraId="2A646E70"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rPr>
        <w:t>5. Verificar que las actividades se desarrollen dentro de la ley, los reglamentos y los estatutos de la institución de educación superior y solicitar la cesación de las actuaciones contrarias al ordenamiento jurídico o a los estatutos.</w:t>
      </w:r>
      <w:r w:rsidRPr="00EC6FCF">
        <w:rPr>
          <w:rFonts w:ascii="Verdana" w:hAnsi="Verdana" w:cs="Verdana"/>
          <w:kern w:val="0"/>
          <w:sz w:val="20"/>
          <w:szCs w:val="20"/>
        </w:rPr>
        <w:t> </w:t>
      </w:r>
    </w:p>
    <w:p w14:paraId="69ED7A54"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rPr>
        <w:t>6. Solicitar la rendición detallada de informes respecto de las decisiones adoptadas en temas relativos a su situación jurídica, contable, financiera y administrativa, o en aspectos relacionados con las condiciones de calidad establecidas en la normatividad vigente.</w:t>
      </w:r>
      <w:r w:rsidRPr="00EC6FCF">
        <w:rPr>
          <w:rFonts w:ascii="Verdana" w:hAnsi="Verdana" w:cs="Verdana"/>
          <w:kern w:val="0"/>
          <w:sz w:val="20"/>
          <w:szCs w:val="20"/>
        </w:rPr>
        <w:t> </w:t>
      </w:r>
    </w:p>
    <w:p w14:paraId="567AD8D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rPr>
        <w:t>7. Hacer acompañamiento a la institución de educación superior, para la implementación de medidas encaminadas al restablecimiento de la continuidad del servicio o el mejoramiento de su calidad.  </w:t>
      </w:r>
      <w:r w:rsidRPr="00EC6FCF">
        <w:rPr>
          <w:rFonts w:ascii="Verdana" w:hAnsi="Verdana" w:cs="Verdana"/>
          <w:kern w:val="0"/>
          <w:sz w:val="20"/>
          <w:szCs w:val="20"/>
        </w:rPr>
        <w:t> </w:t>
      </w:r>
    </w:p>
    <w:p w14:paraId="41DD47EF"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Cs/>
          <w:kern w:val="0"/>
          <w:sz w:val="20"/>
          <w:szCs w:val="20"/>
        </w:rPr>
        <w:t>8. Conminar bajo el apremio de multas sucesivas hasta de cien (100) salarios mínimos mensuales legales vigentes a representantes legales, rectores o a los miembros de los órganos de dirección para que se abstengan de realizar actos contrarios a la Constitución, la ley, los reglamentos y los estatutos, o de invertir y destinar recursos por fuera de la misión y de los fines de la institución de educación superior.”</w:t>
      </w:r>
      <w:r w:rsidRPr="00EC6FCF">
        <w:rPr>
          <w:rFonts w:ascii="Verdana" w:hAnsi="Verdana" w:cs="Verdana"/>
          <w:kern w:val="0"/>
          <w:sz w:val="20"/>
          <w:szCs w:val="20"/>
        </w:rPr>
        <w:t> </w:t>
      </w:r>
    </w:p>
    <w:p w14:paraId="611D6C8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rPr>
        <w:t> </w:t>
      </w:r>
    </w:p>
    <w:p w14:paraId="40D91C35" w14:textId="77777777" w:rsidR="00C84FDE" w:rsidRPr="00EC6FCF" w:rsidRDefault="00C84FDE" w:rsidP="00C84FDE">
      <w:pPr>
        <w:autoSpaceDE w:val="0"/>
        <w:autoSpaceDN w:val="0"/>
        <w:adjustRightInd w:val="0"/>
        <w:spacing w:after="0" w:line="240" w:lineRule="auto"/>
        <w:ind w:right="45"/>
        <w:jc w:val="both"/>
        <w:rPr>
          <w:rFonts w:ascii="Verdana" w:hAnsi="Verdana" w:cs="Segoe UI"/>
          <w:kern w:val="0"/>
          <w:sz w:val="18"/>
          <w:szCs w:val="18"/>
        </w:rPr>
      </w:pPr>
      <w:r w:rsidRPr="00EC6FCF">
        <w:rPr>
          <w:rFonts w:ascii="Verdana" w:hAnsi="Verdana" w:cs="Verdana"/>
          <w:kern w:val="0"/>
        </w:rPr>
        <w:t>Al respecto la Corte Constitucional en sentencia C-491 de 2016, estableció los casos en que es procedente la </w:t>
      </w:r>
      <w:r w:rsidRPr="00EC6FCF">
        <w:rPr>
          <w:rFonts w:ascii="Verdana" w:hAnsi="Verdana" w:cs="Verdana"/>
          <w:bCs/>
          <w:kern w:val="0"/>
          <w:u w:val="single"/>
        </w:rPr>
        <w:t>adopción de las medidas preventivas de vigilancia</w:t>
      </w:r>
      <w:r w:rsidRPr="00EC6FCF">
        <w:rPr>
          <w:rFonts w:ascii="Verdana" w:hAnsi="Verdana" w:cs="Verdana"/>
          <w:kern w:val="0"/>
        </w:rPr>
        <w:t> por parte del Ministerio de Educación, medida que debe ser ejercida bajo el marco de un proceso administrativo y que es procedente cuando: </w:t>
      </w:r>
    </w:p>
    <w:p w14:paraId="641BFAB0" w14:textId="77777777" w:rsidR="00C84FDE" w:rsidRPr="00EC6FCF" w:rsidRDefault="00C84FDE" w:rsidP="00C84FDE">
      <w:pPr>
        <w:autoSpaceDE w:val="0"/>
        <w:autoSpaceDN w:val="0"/>
        <w:adjustRightInd w:val="0"/>
        <w:spacing w:after="0" w:line="240" w:lineRule="auto"/>
        <w:ind w:right="330"/>
        <w:jc w:val="both"/>
        <w:rPr>
          <w:rFonts w:ascii="Verdana" w:hAnsi="Verdana" w:cs="Segoe UI"/>
          <w:kern w:val="0"/>
          <w:sz w:val="18"/>
          <w:szCs w:val="18"/>
        </w:rPr>
      </w:pPr>
      <w:r w:rsidRPr="00EC6FCF">
        <w:rPr>
          <w:rFonts w:ascii="Verdana" w:hAnsi="Verdana" w:cs="Verdana"/>
          <w:kern w:val="0"/>
        </w:rPr>
        <w:t> </w:t>
      </w:r>
    </w:p>
    <w:p w14:paraId="206D1F2F" w14:textId="77777777" w:rsidR="00C84FDE" w:rsidRPr="00EC6FCF" w:rsidRDefault="00C84FDE" w:rsidP="00C84FDE">
      <w:pPr>
        <w:autoSpaceDE w:val="0"/>
        <w:autoSpaceDN w:val="0"/>
        <w:adjustRightInd w:val="0"/>
        <w:spacing w:after="0" w:line="240" w:lineRule="auto"/>
        <w:ind w:left="270" w:right="330"/>
        <w:jc w:val="both"/>
        <w:rPr>
          <w:rFonts w:ascii="Verdana" w:hAnsi="Verdana" w:cs="Segoe UI"/>
          <w:kern w:val="0"/>
          <w:sz w:val="18"/>
          <w:szCs w:val="18"/>
        </w:rPr>
      </w:pPr>
      <w:r w:rsidRPr="00EC6FCF">
        <w:rPr>
          <w:rFonts w:ascii="Verdana" w:hAnsi="Verdana" w:cs="Verdana"/>
          <w:iCs/>
          <w:color w:val="000000"/>
          <w:kern w:val="0"/>
          <w:sz w:val="20"/>
          <w:szCs w:val="20"/>
        </w:rPr>
        <w:t>“En punto a la medida preventiva de </w:t>
      </w:r>
      <w:r w:rsidRPr="00EC6FCF">
        <w:rPr>
          <w:rFonts w:ascii="Verdana" w:hAnsi="Verdana" w:cs="Verdana"/>
          <w:bCs/>
          <w:iCs/>
          <w:color w:val="000000"/>
          <w:kern w:val="0"/>
          <w:sz w:val="20"/>
          <w:szCs w:val="20"/>
        </w:rPr>
        <w:t>vigilancia especial</w:t>
      </w:r>
      <w:r w:rsidRPr="00EC6FCF">
        <w:rPr>
          <w:rFonts w:ascii="Verdana" w:hAnsi="Verdana" w:cs="Verdana"/>
          <w:iCs/>
          <w:color w:val="000000"/>
          <w:kern w:val="0"/>
          <w:sz w:val="20"/>
          <w:szCs w:val="20"/>
        </w:rPr>
        <w:t>, la ley establece cinco causales para que la misma sea adoptada, cuando en una o varias de ellas incurre una institución de educación superior (art. 11). Ellas son: (a) La </w:t>
      </w:r>
      <w:r w:rsidRPr="00EC6FCF">
        <w:rPr>
          <w:rFonts w:ascii="Verdana" w:hAnsi="Verdana" w:cs="Verdana"/>
          <w:bCs/>
          <w:iCs/>
          <w:color w:val="000000"/>
          <w:kern w:val="0"/>
          <w:sz w:val="20"/>
          <w:szCs w:val="20"/>
        </w:rPr>
        <w:t>interrupción anormal</w:t>
      </w:r>
      <w:r w:rsidRPr="00EC6FCF">
        <w:rPr>
          <w:rFonts w:ascii="Verdana" w:hAnsi="Verdana" w:cs="Verdana"/>
          <w:iCs/>
          <w:color w:val="000000"/>
          <w:kern w:val="0"/>
          <w:sz w:val="20"/>
          <w:szCs w:val="20"/>
        </w:rPr>
        <w:t> grave en la prestación </w:t>
      </w:r>
      <w:r w:rsidRPr="00EC6FCF">
        <w:rPr>
          <w:rFonts w:ascii="Verdana" w:hAnsi="Verdana" w:cs="Verdana"/>
          <w:bCs/>
          <w:iCs/>
          <w:color w:val="000000"/>
          <w:kern w:val="0"/>
          <w:sz w:val="20"/>
          <w:szCs w:val="20"/>
        </w:rPr>
        <w:t>del servicio de educación</w:t>
      </w:r>
      <w:r w:rsidRPr="00EC6FCF">
        <w:rPr>
          <w:rFonts w:ascii="Verdana" w:hAnsi="Verdana" w:cs="Verdana"/>
          <w:iCs/>
          <w:color w:val="000000"/>
          <w:kern w:val="0"/>
          <w:sz w:val="20"/>
          <w:szCs w:val="20"/>
        </w:rPr>
        <w:t> a menos que dicha interrupción obedezca a fuerza mayor o protestas de agentes de la comunidad educativa; (b) La </w:t>
      </w:r>
      <w:r w:rsidRPr="00EC6FCF">
        <w:rPr>
          <w:rFonts w:ascii="Verdana" w:hAnsi="Verdana" w:cs="Verdana"/>
          <w:bCs/>
          <w:iCs/>
          <w:color w:val="000000"/>
          <w:kern w:val="0"/>
          <w:sz w:val="20"/>
          <w:szCs w:val="20"/>
        </w:rPr>
        <w:t>afectación grave</w:t>
      </w:r>
      <w:r w:rsidRPr="00EC6FCF">
        <w:rPr>
          <w:rFonts w:ascii="Verdana" w:hAnsi="Verdana" w:cs="Verdana"/>
          <w:iCs/>
          <w:color w:val="000000"/>
          <w:kern w:val="0"/>
          <w:sz w:val="20"/>
          <w:szCs w:val="20"/>
        </w:rPr>
        <w:t> de las condiciones de </w:t>
      </w:r>
      <w:r w:rsidRPr="00EC6FCF">
        <w:rPr>
          <w:rFonts w:ascii="Verdana" w:hAnsi="Verdana" w:cs="Verdana"/>
          <w:bCs/>
          <w:iCs/>
          <w:color w:val="000000"/>
          <w:kern w:val="0"/>
          <w:sz w:val="20"/>
          <w:szCs w:val="20"/>
        </w:rPr>
        <w:t>calidad del servicio</w:t>
      </w:r>
      <w:r w:rsidRPr="00EC6FCF">
        <w:rPr>
          <w:rFonts w:ascii="Verdana" w:hAnsi="Verdana" w:cs="Verdana"/>
          <w:iCs/>
          <w:color w:val="000000"/>
          <w:kern w:val="0"/>
          <w:sz w:val="20"/>
          <w:szCs w:val="20"/>
        </w:rPr>
        <w:t>; (c) </w:t>
      </w:r>
      <w:r w:rsidRPr="00EC6FCF">
        <w:rPr>
          <w:rFonts w:ascii="Verdana" w:hAnsi="Verdana" w:cs="Verdana"/>
          <w:bCs/>
          <w:iCs/>
          <w:color w:val="000000"/>
          <w:kern w:val="0"/>
          <w:sz w:val="20"/>
          <w:szCs w:val="20"/>
        </w:rPr>
        <w:t>Que los recursos o rentas</w:t>
      </w:r>
      <w:r w:rsidRPr="00EC6FCF">
        <w:rPr>
          <w:rFonts w:ascii="Verdana" w:hAnsi="Verdana" w:cs="Verdana"/>
          <w:iCs/>
          <w:color w:val="000000"/>
          <w:kern w:val="0"/>
          <w:sz w:val="20"/>
          <w:szCs w:val="20"/>
        </w:rPr>
        <w:t> de la institución están siendo conservados, invertidos, </w:t>
      </w:r>
      <w:r w:rsidRPr="00EC6FCF">
        <w:rPr>
          <w:rFonts w:ascii="Verdana" w:hAnsi="Verdana" w:cs="Verdana"/>
          <w:bCs/>
          <w:iCs/>
          <w:color w:val="000000"/>
          <w:kern w:val="0"/>
          <w:sz w:val="20"/>
          <w:szCs w:val="20"/>
        </w:rPr>
        <w:t>aplicados o arbitrados indebidamente, con fines diferentes al cumplimiento de su misión y función instituciona</w:t>
      </w:r>
      <w:r w:rsidRPr="00EC6FCF">
        <w:rPr>
          <w:rFonts w:ascii="Verdana" w:hAnsi="Verdana" w:cs="Verdana"/>
          <w:iCs/>
          <w:color w:val="000000"/>
          <w:kern w:val="0"/>
          <w:sz w:val="20"/>
          <w:szCs w:val="20"/>
        </w:rPr>
        <w:t>l, o en actividades diferentes a las propias y exclusivas de la institución, teniendo en cuenta lo que dispone la Constitución, la ley y sus estatutos; (d) Que habiendo sido sancionada, persista en la conducta, o (e) Que incumpla la orden de </w:t>
      </w:r>
      <w:r w:rsidRPr="00EC6FCF">
        <w:rPr>
          <w:rFonts w:ascii="Verdana" w:hAnsi="Verdana" w:cs="Verdana"/>
          <w:bCs/>
          <w:iCs/>
          <w:color w:val="000000"/>
          <w:kern w:val="0"/>
          <w:sz w:val="20"/>
          <w:szCs w:val="20"/>
        </w:rPr>
        <w:t>no ofrecer</w:t>
      </w:r>
      <w:r w:rsidRPr="00EC6FCF">
        <w:rPr>
          <w:rFonts w:ascii="Verdana" w:hAnsi="Verdana" w:cs="Verdana"/>
          <w:iCs/>
          <w:color w:val="000000"/>
          <w:kern w:val="0"/>
          <w:sz w:val="20"/>
          <w:szCs w:val="20"/>
        </w:rPr>
        <w:t> o </w:t>
      </w:r>
      <w:r w:rsidRPr="00EC6FCF">
        <w:rPr>
          <w:rFonts w:ascii="Verdana" w:hAnsi="Verdana" w:cs="Verdana"/>
          <w:bCs/>
          <w:iCs/>
          <w:color w:val="000000"/>
          <w:kern w:val="0"/>
          <w:sz w:val="20"/>
          <w:szCs w:val="20"/>
        </w:rPr>
        <w:t>desarrollar programas académicos sin registro calificado</w:t>
      </w:r>
      <w:r w:rsidRPr="00EC6FCF">
        <w:rPr>
          <w:rFonts w:ascii="Verdana" w:hAnsi="Verdana" w:cs="Verdana"/>
          <w:iCs/>
          <w:color w:val="000000"/>
          <w:kern w:val="0"/>
          <w:sz w:val="20"/>
          <w:szCs w:val="20"/>
        </w:rPr>
        <w:t>” </w:t>
      </w:r>
      <w:r w:rsidRPr="00EC6FCF">
        <w:rPr>
          <w:rFonts w:ascii="Verdana" w:hAnsi="Verdana" w:cs="Verdana"/>
          <w:color w:val="000000"/>
          <w:kern w:val="0"/>
          <w:sz w:val="20"/>
          <w:szCs w:val="20"/>
        </w:rPr>
        <w:t>(Resaltado fuera de texto)</w:t>
      </w:r>
      <w:r w:rsidRPr="00EC6FCF">
        <w:rPr>
          <w:rFonts w:ascii="Verdana" w:hAnsi="Verdana" w:cs="Verdana"/>
          <w:color w:val="000000"/>
          <w:kern w:val="0"/>
          <w:sz w:val="20"/>
          <w:szCs w:val="20"/>
        </w:rPr>
        <w:t> </w:t>
      </w:r>
    </w:p>
    <w:p w14:paraId="15522179"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p>
    <w:p w14:paraId="0ADAD8C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lang w:val="es-ES"/>
        </w:rPr>
        <w:t>Así mismo, es preciso mencionar que </w:t>
      </w:r>
      <w:r w:rsidRPr="00EC6FCF">
        <w:rPr>
          <w:rFonts w:ascii="Verdana" w:hAnsi="Verdana" w:cs="Verdana"/>
          <w:kern w:val="0"/>
        </w:rPr>
        <w:t>las funciones asignadas al Ministerio de Educación Nacional están contempladas en el Artículo 5° del Decreto 2269 de 2023 ‘’</w:t>
      </w:r>
      <w:r w:rsidRPr="00EC6FCF">
        <w:rPr>
          <w:rFonts w:ascii="Verdana" w:hAnsi="Verdana" w:cs="Verdana"/>
          <w:iCs/>
          <w:kern w:val="0"/>
        </w:rPr>
        <w:t>Por el cual se modifica la estructura del Ministerio de Educación Nacional, y se determinan las funciones de sus dependencias”</w:t>
      </w:r>
      <w:r w:rsidRPr="00EC6FCF">
        <w:rPr>
          <w:rFonts w:ascii="Verdana" w:hAnsi="Verdana" w:cs="Verdana"/>
          <w:kern w:val="0"/>
        </w:rPr>
        <w:t>, las cuales establecen: </w:t>
      </w:r>
    </w:p>
    <w:p w14:paraId="08BC1302"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p>
    <w:p w14:paraId="3231E1BC"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bCs/>
          <w:iCs/>
          <w:kern w:val="0"/>
          <w:sz w:val="20"/>
          <w:szCs w:val="20"/>
        </w:rPr>
        <w:t>ARTÍCULO 5°. Funciones del Despacho del Ministro(a) de Educación Nacional. </w:t>
      </w:r>
      <w:r w:rsidRPr="00EC6FCF">
        <w:rPr>
          <w:rFonts w:ascii="Verdana" w:hAnsi="Verdana" w:cs="Verdana"/>
          <w:iCs/>
          <w:kern w:val="0"/>
          <w:sz w:val="20"/>
          <w:szCs w:val="20"/>
        </w:rPr>
        <w:t>Son funciones del Despacho del Ministro(a) de Educación Nacional, además de las señaladas por la Constitución Política y la ley, las siguientes:</w:t>
      </w:r>
      <w:r w:rsidRPr="00EC6FCF">
        <w:rPr>
          <w:rFonts w:ascii="Verdana" w:hAnsi="Verdana" w:cs="Verdana"/>
          <w:kern w:val="0"/>
          <w:sz w:val="20"/>
          <w:szCs w:val="20"/>
        </w:rPr>
        <w:t> </w:t>
      </w:r>
    </w:p>
    <w:p w14:paraId="3EADB101"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iCs/>
          <w:kern w:val="0"/>
          <w:sz w:val="20"/>
          <w:szCs w:val="20"/>
        </w:rPr>
        <w:t> </w:t>
      </w:r>
      <w:r w:rsidRPr="00EC6FCF">
        <w:rPr>
          <w:rFonts w:ascii="Verdana" w:hAnsi="Verdana" w:cs="Verdana"/>
          <w:kern w:val="0"/>
          <w:sz w:val="20"/>
          <w:szCs w:val="20"/>
        </w:rPr>
        <w:t> </w:t>
      </w:r>
    </w:p>
    <w:p w14:paraId="286C46AF"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Formular y promover las políticas, planes, programas y proyectos del sector administrativo y ejercer las funciones de dirección, coordinación y control en las materias de su competencia.</w:t>
      </w:r>
      <w:r w:rsidRPr="00EC6FCF">
        <w:rPr>
          <w:rFonts w:ascii="Verdana" w:hAnsi="Verdana" w:cs="Verdana"/>
          <w:kern w:val="0"/>
          <w:sz w:val="20"/>
          <w:szCs w:val="20"/>
        </w:rPr>
        <w:t> </w:t>
      </w:r>
    </w:p>
    <w:p w14:paraId="5CE080D0"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Ejercer la representación legal del Ministerio de Educación Nacional.</w:t>
      </w:r>
      <w:r w:rsidRPr="00EC6FCF">
        <w:rPr>
          <w:rFonts w:ascii="Verdana" w:hAnsi="Verdana" w:cs="Verdana"/>
          <w:kern w:val="0"/>
          <w:sz w:val="20"/>
          <w:szCs w:val="20"/>
        </w:rPr>
        <w:t> </w:t>
      </w:r>
    </w:p>
    <w:p w14:paraId="2BBA9237"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Presentar ante el Congreso de la República, de acuerdo con la agenda legislativa del Gobierno Nacional, los proyectos de ley relacionados con las competencias del Sector.</w:t>
      </w:r>
      <w:r w:rsidRPr="00EC6FCF">
        <w:rPr>
          <w:rFonts w:ascii="Verdana" w:hAnsi="Verdana" w:cs="Verdana"/>
          <w:kern w:val="0"/>
          <w:sz w:val="20"/>
          <w:szCs w:val="20"/>
        </w:rPr>
        <w:t> </w:t>
      </w:r>
    </w:p>
    <w:p w14:paraId="2F881BFA"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Dirigir el diseño, formulación y articulación del Plan Decenal de Educación, el aporte del sector al Plan Nacional de Desarrollo, el Plan Sectorial y los planes estratégicos, tácticos y operativos.</w:t>
      </w:r>
      <w:r w:rsidRPr="00EC6FCF">
        <w:rPr>
          <w:rFonts w:ascii="Verdana" w:hAnsi="Verdana" w:cs="Verdana"/>
          <w:kern w:val="0"/>
          <w:sz w:val="20"/>
          <w:szCs w:val="20"/>
        </w:rPr>
        <w:t> </w:t>
      </w:r>
    </w:p>
    <w:p w14:paraId="13A6110D"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Dirigir las funciones de administración de personal conforme a las normas sobre la materia y nombrar y remover el personal de acuerdo con las disposiciones legales vigentes.</w:t>
      </w:r>
      <w:r w:rsidRPr="00EC6FCF">
        <w:rPr>
          <w:rFonts w:ascii="Verdana" w:hAnsi="Verdana" w:cs="Verdana"/>
          <w:kern w:val="0"/>
          <w:sz w:val="20"/>
          <w:szCs w:val="20"/>
        </w:rPr>
        <w:t> </w:t>
      </w:r>
    </w:p>
    <w:p w14:paraId="64E8E148"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Dirigir y orientar la función de planeación del sector administrativo.</w:t>
      </w:r>
      <w:r w:rsidRPr="00EC6FCF">
        <w:rPr>
          <w:rFonts w:ascii="Verdana" w:hAnsi="Verdana" w:cs="Verdana"/>
          <w:kern w:val="0"/>
          <w:sz w:val="20"/>
          <w:szCs w:val="20"/>
        </w:rPr>
        <w:t> </w:t>
      </w:r>
    </w:p>
    <w:p w14:paraId="551784E3"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lastRenderedPageBreak/>
        <w:t>Liderar y articular las relaciones intersectoriales y sectoriales para la planeación, normatización, vigilancia y control que correspondan al Ministerio, en el desarrollo del sistema educativo y sus trayectorias completas.</w:t>
      </w:r>
      <w:r w:rsidRPr="00EC6FCF">
        <w:rPr>
          <w:rFonts w:ascii="Verdana" w:hAnsi="Verdana" w:cs="Verdana"/>
          <w:kern w:val="0"/>
          <w:sz w:val="20"/>
          <w:szCs w:val="20"/>
        </w:rPr>
        <w:t> </w:t>
      </w:r>
    </w:p>
    <w:p w14:paraId="0251CA5E"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Decidir sobre las acciones de inspección y vigilancia de la educación superior y las actuaciones que en particular le correspondan, en el marco de las normas que regulan la educación superior.</w:t>
      </w:r>
      <w:r w:rsidRPr="00EC6FCF">
        <w:rPr>
          <w:rFonts w:ascii="Verdana" w:hAnsi="Verdana" w:cs="Verdana"/>
          <w:kern w:val="0"/>
          <w:sz w:val="20"/>
          <w:szCs w:val="20"/>
        </w:rPr>
        <w:t> </w:t>
      </w:r>
    </w:p>
    <w:p w14:paraId="16CD19B8"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Ejercer, por designación o elección, las secretarías permanentes ante aliados nacionales, organismos internacionales, públicos y privados.</w:t>
      </w:r>
      <w:r w:rsidRPr="00EC6FCF">
        <w:rPr>
          <w:rFonts w:ascii="Verdana" w:hAnsi="Verdana" w:cs="Verdana"/>
          <w:kern w:val="0"/>
          <w:sz w:val="20"/>
          <w:szCs w:val="20"/>
        </w:rPr>
        <w:t> </w:t>
      </w:r>
    </w:p>
    <w:p w14:paraId="556069B5"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Establecer los mecanismos y criterios técnicos para la asignación de los recursos del Sector, así como los programas y proyectos que generen una mayor eficiencia en su distribución y uso, de conformidad con la ley.</w:t>
      </w:r>
      <w:r w:rsidRPr="00EC6FCF">
        <w:rPr>
          <w:rFonts w:ascii="Verdana" w:hAnsi="Verdana" w:cs="Verdana"/>
          <w:kern w:val="0"/>
          <w:sz w:val="20"/>
          <w:szCs w:val="20"/>
        </w:rPr>
        <w:t> </w:t>
      </w:r>
    </w:p>
    <w:p w14:paraId="6EC428A1"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Crear, conformar y asignar funciones a los órganos de asesoría y coordinación, así como crear y organizar, con carácter permanente o transitorio los grupos internos de trabajo necesarios para el cumplimiento de los objetivos y funciones del Ministerio de Educación Nacional.</w:t>
      </w:r>
      <w:r w:rsidRPr="00EC6FCF">
        <w:rPr>
          <w:rFonts w:ascii="Verdana" w:hAnsi="Verdana" w:cs="Verdana"/>
          <w:kern w:val="0"/>
          <w:sz w:val="20"/>
          <w:szCs w:val="20"/>
        </w:rPr>
        <w:t> </w:t>
      </w:r>
    </w:p>
    <w:p w14:paraId="7657AD8F"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Orientar y establecer las directrices para la planificación y desarrollo de los ejercicios de fortalecimiento institucional y de capacidades del Ministerio de Educación Nacional y del Sector.</w:t>
      </w:r>
      <w:r w:rsidRPr="00EC6FCF">
        <w:rPr>
          <w:rFonts w:ascii="Verdana" w:hAnsi="Verdana" w:cs="Verdana"/>
          <w:kern w:val="0"/>
          <w:sz w:val="20"/>
          <w:szCs w:val="20"/>
        </w:rPr>
        <w:t> </w:t>
      </w:r>
    </w:p>
    <w:p w14:paraId="1CAA3792"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Asignar los recursos necesarios para el funcionamiento de políticas, planes, programas y proyectos del Ministerio, en cumplimiento de la misión institucional.</w:t>
      </w:r>
      <w:r w:rsidRPr="00EC6FCF">
        <w:rPr>
          <w:rFonts w:ascii="Verdana" w:hAnsi="Verdana" w:cs="Verdana"/>
          <w:kern w:val="0"/>
          <w:sz w:val="20"/>
          <w:szCs w:val="20"/>
        </w:rPr>
        <w:t> </w:t>
      </w:r>
    </w:p>
    <w:p w14:paraId="49228FD0"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Coordinar con el Ministerio de Relaciones Exteriores la participación y representación del país en los asuntos internacionales relacionados con el Sector, y promover la cooperación internacional en los temas de su competencia.</w:t>
      </w:r>
      <w:r w:rsidRPr="00EC6FCF">
        <w:rPr>
          <w:rFonts w:ascii="Verdana" w:hAnsi="Verdana" w:cs="Verdana"/>
          <w:kern w:val="0"/>
          <w:sz w:val="20"/>
          <w:szCs w:val="20"/>
        </w:rPr>
        <w:t> </w:t>
      </w:r>
    </w:p>
    <w:p w14:paraId="4DF40C1B"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Distribuir los cargos de la planta global de personal, de acuerdo con la organización interna, las necesidades de la entidad y los planes y programas trazados por el Ministerio.</w:t>
      </w:r>
      <w:r w:rsidRPr="00EC6FCF">
        <w:rPr>
          <w:rFonts w:ascii="Verdana" w:hAnsi="Verdana" w:cs="Verdana"/>
          <w:kern w:val="0"/>
          <w:sz w:val="20"/>
          <w:szCs w:val="20"/>
        </w:rPr>
        <w:t> </w:t>
      </w:r>
    </w:p>
    <w:p w14:paraId="26815714"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Establecer y mantener el Modelo Operacional y el sistema de Control Interno en la entidad y hacer el seguimiento a nivel sectorial.</w:t>
      </w:r>
      <w:r w:rsidRPr="00EC6FCF">
        <w:rPr>
          <w:rFonts w:ascii="Verdana" w:hAnsi="Verdana" w:cs="Verdana"/>
          <w:kern w:val="0"/>
          <w:sz w:val="20"/>
          <w:szCs w:val="20"/>
        </w:rPr>
        <w:t> </w:t>
      </w:r>
    </w:p>
    <w:p w14:paraId="4AF669FD"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Decidir en segunda instancia los procesos disciplinarios que se adelanten en contra de los servidores y ex servidores del Ministerio.</w:t>
      </w:r>
      <w:r w:rsidRPr="00EC6FCF">
        <w:rPr>
          <w:rFonts w:ascii="Verdana" w:hAnsi="Verdana" w:cs="Verdana"/>
          <w:kern w:val="0"/>
          <w:sz w:val="20"/>
          <w:szCs w:val="20"/>
        </w:rPr>
        <w:t> </w:t>
      </w:r>
    </w:p>
    <w:p w14:paraId="6A4CF2F0"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Cs/>
          <w:kern w:val="0"/>
          <w:sz w:val="20"/>
          <w:szCs w:val="20"/>
        </w:rPr>
        <w:t>Las demás funciones que le sean asignadas o delegadas por el Presidente de la República o que le atribuya la ley.</w:t>
      </w:r>
      <w:r w:rsidRPr="00EC6FCF">
        <w:rPr>
          <w:rFonts w:ascii="Verdana" w:hAnsi="Verdana" w:cs="Verdana"/>
          <w:kern w:val="0"/>
          <w:sz w:val="20"/>
          <w:szCs w:val="20"/>
        </w:rPr>
        <w:t> </w:t>
      </w:r>
    </w:p>
    <w:p w14:paraId="2510CDD6"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En mérito de lo expuesto, se puede concluir que, atendiendo a las funciones asignadas a esta cartera Ministerial, en caso de conocer cualquier irregularidad en la prestación del servicio educativo por instituciones de educación superior, lo</w:t>
      </w:r>
      <w:r w:rsidRPr="00EC6FCF">
        <w:rPr>
          <w:rFonts w:ascii="Verdana" w:hAnsi="Verdana" w:cs="Verdana"/>
          <w:bCs/>
          <w:kern w:val="0"/>
        </w:rPr>
        <w:t> pertinente es elevar la correspondiente reclamación ante la Dirección de Inspección y Vigilancia del Ministerio de Educación Nacional,</w:t>
      </w:r>
      <w:r w:rsidRPr="00EC6FCF">
        <w:rPr>
          <w:rFonts w:ascii="Verdana" w:hAnsi="Verdana" w:cs="Verdana"/>
          <w:kern w:val="0"/>
        </w:rPr>
        <w:t> acreditando la legitimación jurídica, así como los demás elementos fácticos que se pretendan hacer valer. </w:t>
      </w:r>
    </w:p>
    <w:p w14:paraId="10B54CC2"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p>
    <w:p w14:paraId="164E62E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Así las cosas, el Ministerio de Educación Nacional no ha vulnerado los derechos fundamentales invocados por </w:t>
      </w:r>
      <w:r w:rsidRPr="00EC6FCF">
        <w:rPr>
          <w:rFonts w:ascii="Verdana" w:hAnsi="Verdana" w:cs="Verdana"/>
          <w:bCs/>
          <w:kern w:val="0"/>
        </w:rPr>
        <w:t>el</w:t>
      </w:r>
      <w:r w:rsidRPr="00EC6FCF">
        <w:rPr>
          <w:rFonts w:ascii="Verdana" w:hAnsi="Verdana" w:cs="Verdana"/>
          <w:kern w:val="0"/>
        </w:rPr>
        <w:t> accionante, siendo ajeno a la discusión fáctica presentada en la acción.    </w:t>
      </w:r>
    </w:p>
    <w:p w14:paraId="5835FDA1"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p>
    <w:p w14:paraId="2A4FFA08" w14:textId="77777777" w:rsidR="00C84FDE" w:rsidRPr="00EC6FCF" w:rsidRDefault="00C84FDE">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Verdana"/>
          <w:bCs/>
          <w:kern w:val="0"/>
        </w:rPr>
        <w:t>Improcedencia de la acción de tutela por carecer de legitimación en la causa por pasiva</w:t>
      </w:r>
      <w:r w:rsidRPr="00EC6FCF">
        <w:rPr>
          <w:rFonts w:ascii="Verdana" w:hAnsi="Verdana" w:cs="Verdana"/>
          <w:kern w:val="0"/>
        </w:rPr>
        <w:t> </w:t>
      </w:r>
    </w:p>
    <w:p w14:paraId="5937D800"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De acuerdo con el artículo 5° del Decreto 2591 de 1991 la acción de tutela procede: </w:t>
      </w:r>
      <w:r w:rsidRPr="00EC6FCF">
        <w:rPr>
          <w:rFonts w:ascii="Verdana" w:hAnsi="Verdana" w:cs="Verdana"/>
          <w:kern w:val="0"/>
        </w:rPr>
        <w:br/>
      </w: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 contra toda acción u omisión de las autoridades públicas, que haya violado, viole o amenace violar cualquiera de los derechos de que trata el artículo 2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 (…)” </w:t>
      </w:r>
      <w:r w:rsidRPr="00EC6FCF">
        <w:rPr>
          <w:rFonts w:ascii="Verdana" w:hAnsi="Verdana" w:cs="Verdana"/>
          <w:kern w:val="0"/>
        </w:rPr>
        <w:br/>
      </w: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Como se puede concluir del texto citado, la tutela está condicionada en su procedencia a que la autoridad pública haya vulnerado efectivamente un derecho, o amenace con violarlo, o por una omisión que produzca alguna de estas consecuencias. En el presente caso no se ha dado ninguno de estos presupuestos. </w:t>
      </w:r>
      <w:r w:rsidRPr="00EC6FCF">
        <w:rPr>
          <w:rFonts w:ascii="Verdana" w:hAnsi="Verdana" w:cs="Verdana"/>
          <w:kern w:val="0"/>
        </w:rPr>
        <w:br/>
      </w: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lastRenderedPageBreak/>
        <w:t>No hay una violación de derecho fundamental alguno, pues el Ministerio de Educación Nacional no ha ejecutado ninguna acción que produzca este resultado en contra del accionante. </w:t>
      </w:r>
      <w:r w:rsidRPr="00EC6FCF">
        <w:rPr>
          <w:rFonts w:ascii="Verdana" w:hAnsi="Verdana" w:cs="Verdana"/>
          <w:kern w:val="0"/>
        </w:rPr>
        <w:br/>
      </w: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No puede decirse entonces que, en términos positivos, esta entidad haya incurrido en una violación o amenaza efectiva de algún derecho fundamental y una orden en dicho sentido sería de imposible cumplimiento para la misma. </w:t>
      </w:r>
      <w:r w:rsidRPr="00EC6FCF">
        <w:rPr>
          <w:rFonts w:ascii="Verdana" w:hAnsi="Verdana" w:cs="Verdana"/>
          <w:kern w:val="0"/>
        </w:rPr>
        <w:br/>
      </w: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De igual manera, se aprecia de los antecedentes anotados, que, por parte del Ministerio de Educación Nacional, no ha existido actuación que atente contra los derechos fundamentales invocados por el accionante. </w:t>
      </w:r>
      <w:r w:rsidRPr="00EC6FCF">
        <w:rPr>
          <w:rFonts w:ascii="Verdana" w:hAnsi="Verdana" w:cs="Verdana"/>
          <w:kern w:val="0"/>
        </w:rPr>
        <w:br/>
      </w: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En consecuencia, la presente vinculación a la acción de tutela no está llamada a prosperar. </w:t>
      </w:r>
    </w:p>
    <w:p w14:paraId="4E6662B3"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48E539AE" w14:textId="77777777" w:rsidR="00C84FDE" w:rsidRPr="00EC6FCF" w:rsidRDefault="00C84FDE" w:rsidP="00C84FDE">
      <w:pPr>
        <w:autoSpaceDE w:val="0"/>
        <w:autoSpaceDN w:val="0"/>
        <w:adjustRightInd w:val="0"/>
        <w:spacing w:after="0" w:line="240" w:lineRule="auto"/>
        <w:ind w:left="1080" w:hanging="720"/>
        <w:jc w:val="both"/>
        <w:rPr>
          <w:rFonts w:ascii="Verdana" w:hAnsi="Verdana" w:cs="Arial"/>
          <w:kern w:val="0"/>
        </w:rPr>
      </w:pPr>
      <w:r w:rsidRPr="00EC6FCF">
        <w:rPr>
          <w:rFonts w:ascii="Verdana" w:hAnsi="Verdana" w:cs="Verdana"/>
          <w:bCs/>
          <w:kern w:val="0"/>
        </w:rPr>
        <w:t>V.</w:t>
      </w:r>
      <w:r w:rsidRPr="00EC6FCF">
        <w:rPr>
          <w:rFonts w:ascii="Verdana" w:hAnsi="Verdana" w:cs="Verdana"/>
          <w:bCs/>
          <w:kern w:val="0"/>
        </w:rPr>
        <w:tab/>
        <w:t>SOLICITUD </w:t>
      </w:r>
      <w:r w:rsidRPr="00EC6FCF">
        <w:rPr>
          <w:rFonts w:ascii="Verdana" w:hAnsi="Verdana" w:cs="Verdana"/>
          <w:kern w:val="0"/>
        </w:rPr>
        <w:t> </w:t>
      </w:r>
    </w:p>
    <w:p w14:paraId="1CE29B16"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3C644A6C"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Acorde con los argumentos expuestos, solicitó respetuosamente su Señoría, </w:t>
      </w:r>
      <w:r w:rsidRPr="00EC6FCF">
        <w:rPr>
          <w:rFonts w:ascii="Verdana" w:hAnsi="Verdana" w:cs="Verdana"/>
          <w:bCs/>
          <w:kern w:val="0"/>
        </w:rPr>
        <w:t>DESVINCULAR </w:t>
      </w:r>
      <w:r w:rsidRPr="00EC6FCF">
        <w:rPr>
          <w:rFonts w:ascii="Verdana" w:hAnsi="Verdana" w:cs="Verdana"/>
          <w:kern w:val="0"/>
        </w:rPr>
        <w:t>de la acción de tutela de la referencia al Ministerio de Educación Nacional, puesto que esta entidad no ha sido la responsable de la presunta transgresión de los derechos fundamentales solicitados por la accionante. En virtud de lo cual, frente a esta entidad, se </w:t>
      </w:r>
      <w:r w:rsidRPr="00EC6FCF">
        <w:rPr>
          <w:rFonts w:ascii="Verdana" w:hAnsi="Verdana" w:cs="Verdana"/>
          <w:bCs/>
          <w:kern w:val="0"/>
        </w:rPr>
        <w:t>predica la falta de legitimación por pasiva</w:t>
      </w:r>
      <w:r w:rsidRPr="00EC6FCF">
        <w:rPr>
          <w:rFonts w:ascii="Verdana" w:hAnsi="Verdana" w:cs="Verdana"/>
          <w:kern w:val="0"/>
        </w:rPr>
        <w:t>. </w:t>
      </w:r>
    </w:p>
    <w:p w14:paraId="6E87EA3F"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F326AFF" w14:textId="77777777" w:rsidR="00C84FDE" w:rsidRPr="00EC6FCF" w:rsidRDefault="00C84FDE" w:rsidP="00C84FDE">
      <w:pPr>
        <w:autoSpaceDE w:val="0"/>
        <w:autoSpaceDN w:val="0"/>
        <w:adjustRightInd w:val="0"/>
        <w:spacing w:after="0" w:line="240" w:lineRule="auto"/>
        <w:ind w:left="1080" w:hanging="720"/>
        <w:jc w:val="both"/>
        <w:rPr>
          <w:rFonts w:ascii="Verdana" w:hAnsi="Verdana" w:cs="Arial"/>
          <w:kern w:val="0"/>
        </w:rPr>
      </w:pPr>
      <w:r w:rsidRPr="00EC6FCF">
        <w:rPr>
          <w:rFonts w:ascii="Verdana" w:hAnsi="Verdana" w:cs="Verdana"/>
          <w:bCs/>
          <w:kern w:val="0"/>
        </w:rPr>
        <w:t>VI.</w:t>
      </w:r>
      <w:r w:rsidRPr="00EC6FCF">
        <w:rPr>
          <w:rFonts w:ascii="Verdana" w:hAnsi="Verdana" w:cs="Verdana"/>
          <w:bCs/>
          <w:kern w:val="0"/>
        </w:rPr>
        <w:tab/>
        <w:t>ANEXOS</w:t>
      </w:r>
      <w:r w:rsidRPr="00EC6FCF">
        <w:rPr>
          <w:rFonts w:ascii="Verdana" w:hAnsi="Verdana" w:cs="Verdana"/>
          <w:kern w:val="0"/>
        </w:rPr>
        <w:t> </w:t>
      </w:r>
    </w:p>
    <w:p w14:paraId="7C3F9911"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4950A542" w14:textId="7CD94C22" w:rsidR="00C33007" w:rsidRPr="00EC6FCF" w:rsidRDefault="00C84FDE">
      <w:pPr>
        <w:pStyle w:val="Prrafodelista"/>
        <w:numPr>
          <w:ilvl w:val="0"/>
          <w:numId w:val="2"/>
        </w:numPr>
        <w:shd w:val="clear" w:color="auto" w:fill="FFFFFF"/>
        <w:autoSpaceDE w:val="0"/>
        <w:autoSpaceDN w:val="0"/>
        <w:adjustRightInd w:val="0"/>
        <w:spacing w:after="0" w:line="276" w:lineRule="auto"/>
        <w:jc w:val="both"/>
        <w:rPr>
          <w:rFonts w:ascii="Verdana" w:hAnsi="Verdana" w:cs="Arial"/>
          <w:sz w:val="22"/>
          <w:szCs w:val="22"/>
        </w:rPr>
      </w:pPr>
      <w:r w:rsidRPr="00EC6FCF">
        <w:rPr>
          <w:rFonts w:ascii="Verdana" w:hAnsi="Verdana" w:cs="Verdana"/>
          <w:sz w:val="22"/>
          <w:szCs w:val="22"/>
          <w:lang w:val="es-ES"/>
        </w:rPr>
        <w:t xml:space="preserve">Acreditaciones Ministerio de Educación Nacional. </w:t>
      </w:r>
    </w:p>
    <w:p w14:paraId="25CD4339" w14:textId="1F66EC01" w:rsidR="00383D9C" w:rsidRPr="00AA0892" w:rsidRDefault="00383D9C" w:rsidP="005C26B8">
      <w:pPr>
        <w:pStyle w:val="Prrafodelista"/>
        <w:shd w:val="clear" w:color="auto" w:fill="FFFFFF"/>
        <w:autoSpaceDE w:val="0"/>
        <w:autoSpaceDN w:val="0"/>
        <w:adjustRightInd w:val="0"/>
        <w:spacing w:after="0" w:line="276" w:lineRule="auto"/>
        <w:jc w:val="both"/>
        <w:rPr>
          <w:rFonts w:ascii="Arial" w:hAnsi="Arial" w:cs="Arial"/>
          <w:sz w:val="22"/>
          <w:szCs w:val="22"/>
        </w:rPr>
      </w:pPr>
    </w:p>
    <w:p w14:paraId="55423F8D" w14:textId="079B3FC8" w:rsidR="00884E84" w:rsidRPr="00884E84" w:rsidRDefault="00884E84" w:rsidP="001D10EB">
      <w:pPr>
        <w:pStyle w:val="Prrafodelista"/>
        <w:jc w:val="both"/>
        <w:rPr>
          <w:rFonts w:ascii="Arial" w:eastAsia="Arial" w:hAnsi="Arial" w:cs="Arial"/>
          <w:sz w:val="22"/>
          <w:szCs w:val="22"/>
        </w:rPr>
      </w:pPr>
    </w:p>
    <w:sectPr w:rsidR="00884E84" w:rsidRPr="00884E84" w:rsidSect="00B17472">
      <w:headerReference w:type="default" r:id="rId10"/>
      <w:footerReference w:type="default" r:id="rId11"/>
      <w:type w:val="continuous"/>
      <w:pgSz w:w="12240" w:h="20160"/>
      <w:pgMar w:top="2065" w:right="1701" w:bottom="1757" w:left="1701" w:header="708" w:footer="9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3C7EB" w14:textId="77777777" w:rsidR="00820E24" w:rsidRDefault="00820E24" w:rsidP="006E6A57">
      <w:pPr>
        <w:spacing w:after="0" w:line="240" w:lineRule="auto"/>
      </w:pPr>
      <w:r>
        <w:separator/>
      </w:r>
    </w:p>
  </w:endnote>
  <w:endnote w:type="continuationSeparator" w:id="0">
    <w:p w14:paraId="4DEEF5E1" w14:textId="77777777" w:rsidR="00820E24" w:rsidRDefault="00820E24" w:rsidP="006E6A57">
      <w:pPr>
        <w:spacing w:after="0" w:line="240" w:lineRule="auto"/>
      </w:pPr>
      <w:r>
        <w:continuationSeparator/>
      </w:r>
    </w:p>
  </w:endnote>
  <w:endnote w:type="continuationNotice" w:id="1">
    <w:p w14:paraId="4B69458F" w14:textId="77777777" w:rsidR="00820E24" w:rsidRDefault="00820E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Bright">
    <w:panose1 w:val="0204060205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F352" w14:textId="77777777" w:rsidR="006E6A57" w:rsidRDefault="006E6A57">
    <w:pPr>
      <w:pStyle w:val="Piedepgina"/>
    </w:pPr>
    <w:r>
      <w:rPr>
        <w:noProof/>
        <w:lang w:eastAsia="es-CO"/>
      </w:rPr>
      <mc:AlternateContent>
        <mc:Choice Requires="wps">
          <w:drawing>
            <wp:anchor distT="0" distB="0" distL="114300" distR="114300" simplePos="0" relativeHeight="251658240" behindDoc="0" locked="0" layoutInCell="1" allowOverlap="1" wp14:anchorId="0DA93FDC" wp14:editId="31039DFC">
              <wp:simplePos x="0" y="0"/>
              <wp:positionH relativeFrom="margin">
                <wp:posOffset>0</wp:posOffset>
              </wp:positionH>
              <wp:positionV relativeFrom="paragraph">
                <wp:posOffset>-416560</wp:posOffset>
              </wp:positionV>
              <wp:extent cx="6029325" cy="1229995"/>
              <wp:effectExtent l="0" t="0" r="0" b="0"/>
              <wp:wrapNone/>
              <wp:docPr id="1223101586" name="Cuadro de texto 1"/>
              <wp:cNvGraphicFramePr/>
              <a:graphic xmlns:a="http://schemas.openxmlformats.org/drawingml/2006/main">
                <a:graphicData uri="http://schemas.microsoft.com/office/word/2010/wordprocessingShape">
                  <wps:wsp>
                    <wps:cNvSpPr txBox="1"/>
                    <wps:spPr>
                      <a:xfrm>
                        <a:off x="0" y="0"/>
                        <a:ext cx="6029325" cy="1229995"/>
                      </a:xfrm>
                      <a:prstGeom prst="rect">
                        <a:avLst/>
                      </a:prstGeom>
                      <a:noFill/>
                      <a:ln w="6350">
                        <a:noFill/>
                      </a:ln>
                    </wps:spPr>
                    <wps:txbx>
                      <w:txbxContent>
                        <w:p w14:paraId="72D095D3" w14:textId="77777777" w:rsidR="00FC2D03" w:rsidRPr="00256928" w:rsidRDefault="006E6A57" w:rsidP="00FC2D03">
                          <w:pPr>
                            <w:spacing w:after="0" w:line="276" w:lineRule="auto"/>
                            <w:jc w:val="both"/>
                            <w:rPr>
                              <w:rFonts w:ascii="Helvetica" w:hAnsi="Helvetica"/>
                              <w:sz w:val="20"/>
                              <w:szCs w:val="20"/>
                            </w:rPr>
                          </w:pPr>
                          <w:r w:rsidRPr="00256928">
                            <w:rPr>
                              <w:rFonts w:ascii="Helvetica" w:hAnsi="Helvetica"/>
                              <w:sz w:val="20"/>
                              <w:szCs w:val="20"/>
                            </w:rPr>
                            <w:t>________________________________________________________________________</w:t>
                          </w:r>
                        </w:p>
                        <w:p w14:paraId="4710B238" w14:textId="77777777" w:rsidR="00FC2D03" w:rsidRPr="00B71B7C" w:rsidRDefault="00FC2D03" w:rsidP="00FC2D03">
                          <w:pPr>
                            <w:spacing w:after="0" w:line="276" w:lineRule="auto"/>
                            <w:jc w:val="both"/>
                            <w:rPr>
                              <w:rFonts w:ascii="Verdana" w:hAnsi="Verdana"/>
                              <w:b/>
                              <w:bCs/>
                              <w:sz w:val="20"/>
                              <w:szCs w:val="20"/>
                            </w:rPr>
                          </w:pPr>
                          <w:r>
                            <w:rPr>
                              <w:rFonts w:ascii="Verdana" w:hAnsi="Verdana"/>
                              <w:b/>
                              <w:bCs/>
                              <w:sz w:val="20"/>
                              <w:szCs w:val="20"/>
                            </w:rPr>
                            <w:t xml:space="preserve">Ministerio de Educación Nacional </w:t>
                          </w:r>
                        </w:p>
                        <w:p w14:paraId="6691DDD7" w14:textId="77777777" w:rsidR="00FC2D03" w:rsidRPr="009C5553" w:rsidRDefault="00FC2D03" w:rsidP="00FC2D03">
                          <w:pPr>
                            <w:spacing w:after="0" w:line="276" w:lineRule="auto"/>
                            <w:jc w:val="both"/>
                            <w:rPr>
                              <w:rFonts w:ascii="Verdana" w:hAnsi="Verdana"/>
                              <w:sz w:val="20"/>
                              <w:szCs w:val="20"/>
                            </w:rPr>
                          </w:pPr>
                          <w:r w:rsidRPr="009C5553">
                            <w:rPr>
                              <w:rFonts w:ascii="Verdana" w:hAnsi="Verdana"/>
                              <w:sz w:val="20"/>
                              <w:szCs w:val="20"/>
                            </w:rPr>
                            <w:t>Dirección: Calle 43 No. 57 - 14. CAN. Bogotá, Colombia</w:t>
                          </w:r>
                        </w:p>
                        <w:p w14:paraId="04F87699" w14:textId="77777777" w:rsidR="00FC2D03" w:rsidRPr="001E1CAF" w:rsidRDefault="00FC2D03" w:rsidP="00FC2D03">
                          <w:pPr>
                            <w:spacing w:after="0" w:line="276" w:lineRule="auto"/>
                            <w:jc w:val="both"/>
                            <w:rPr>
                              <w:rFonts w:ascii="Verdana" w:hAnsi="Verdana"/>
                              <w:sz w:val="20"/>
                              <w:szCs w:val="20"/>
                            </w:rPr>
                          </w:pPr>
                          <w:r w:rsidRPr="00B71B7C">
                            <w:rPr>
                              <w:rFonts w:ascii="Verdana" w:hAnsi="Verdana"/>
                              <w:sz w:val="20"/>
                              <w:szCs w:val="20"/>
                            </w:rPr>
                            <w:t>Conmutador:</w:t>
                          </w:r>
                          <w:r>
                            <w:rPr>
                              <w:rFonts w:ascii="Verdana" w:hAnsi="Verdana"/>
                              <w:sz w:val="20"/>
                              <w:szCs w:val="20"/>
                            </w:rPr>
                            <w:t xml:space="preserve"> </w:t>
                          </w:r>
                          <w:r w:rsidRPr="001E1CAF">
                            <w:rPr>
                              <w:rFonts w:ascii="Verdana" w:hAnsi="Verdana"/>
                              <w:sz w:val="20"/>
                              <w:szCs w:val="20"/>
                            </w:rPr>
                            <w:t xml:space="preserve">(601) 22 22800 </w:t>
                          </w:r>
                        </w:p>
                        <w:p w14:paraId="4AEA77DD" w14:textId="77777777" w:rsidR="00FC2D03" w:rsidRPr="00B71B7C" w:rsidRDefault="00FC2D03" w:rsidP="00FC2D03">
                          <w:pPr>
                            <w:spacing w:after="0" w:line="276" w:lineRule="auto"/>
                            <w:jc w:val="both"/>
                            <w:rPr>
                              <w:rFonts w:ascii="Verdana" w:hAnsi="Verdana"/>
                              <w:sz w:val="20"/>
                              <w:szCs w:val="20"/>
                            </w:rPr>
                          </w:pPr>
                          <w:r w:rsidRPr="005632BA">
                            <w:rPr>
                              <w:rFonts w:ascii="Verdana" w:hAnsi="Verdana"/>
                              <w:sz w:val="20"/>
                              <w:szCs w:val="20"/>
                            </w:rPr>
                            <w:t>Línea gratuita fuera de Bogotá: 018000 - 910122</w:t>
                          </w:r>
                        </w:p>
                        <w:p w14:paraId="2005408A" w14:textId="77777777" w:rsidR="006E6A57" w:rsidRPr="00284759" w:rsidRDefault="006E6A57" w:rsidP="00FC2D03">
                          <w:pPr>
                            <w:spacing w:after="0" w:line="276" w:lineRule="auto"/>
                            <w:jc w:val="both"/>
                            <w:rPr>
                              <w:rFonts w:ascii="Verdana" w:hAnsi="Verdana"/>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A93FDC" id="_x0000_t202" coordsize="21600,21600" o:spt="202" path="m,l,21600r21600,l21600,xe">
              <v:stroke joinstyle="miter"/>
              <v:path gradientshapeok="t" o:connecttype="rect"/>
            </v:shapetype>
            <v:shape id="Cuadro de texto 1" o:spid="_x0000_s1026" type="#_x0000_t202" style="position:absolute;margin-left:0;margin-top:-32.8pt;width:474.75pt;height:96.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" filled="f" stroked="f" strokeweight=".5pt">
              <v:textbox>
                <w:txbxContent>
                  <w:p w14:paraId="72D095D3" w14:textId="77777777" w:rsidR="00FC2D03" w:rsidRPr="00256928" w:rsidRDefault="006E6A57" w:rsidP="00FC2D03">
                    <w:pPr>
                      <w:spacing w:after="0" w:line="276" w:lineRule="auto"/>
                      <w:jc w:val="both"/>
                      <w:rPr>
                        <w:rFonts w:ascii="Helvetica" w:hAnsi="Helvetica"/>
                        <w:sz w:val="20"/>
                        <w:szCs w:val="20"/>
                      </w:rPr>
                    </w:pPr>
                    <w:r w:rsidRPr="00256928">
                      <w:rPr>
                        <w:rFonts w:ascii="Helvetica" w:hAnsi="Helvetica"/>
                        <w:sz w:val="20"/>
                        <w:szCs w:val="20"/>
                      </w:rPr>
                      <w:t>________________________________________________________________________</w:t>
                    </w:r>
                  </w:p>
                  <w:p w14:paraId="4710B238" w14:textId="77777777" w:rsidR="00FC2D03" w:rsidRPr="00B71B7C" w:rsidRDefault="00FC2D03" w:rsidP="00FC2D03">
                    <w:pPr>
                      <w:spacing w:after="0" w:line="276" w:lineRule="auto"/>
                      <w:jc w:val="both"/>
                      <w:rPr>
                        <w:rFonts w:ascii="Verdana" w:hAnsi="Verdana"/>
                        <w:b/>
                        <w:bCs/>
                        <w:sz w:val="20"/>
                        <w:szCs w:val="20"/>
                      </w:rPr>
                    </w:pPr>
                    <w:r>
                      <w:rPr>
                        <w:rFonts w:ascii="Verdana" w:hAnsi="Verdana"/>
                        <w:b/>
                        <w:bCs/>
                        <w:sz w:val="20"/>
                        <w:szCs w:val="20"/>
                      </w:rPr>
                      <w:t xml:space="preserve">Ministerio de Educación Nacional </w:t>
                    </w:r>
                  </w:p>
                  <w:p w14:paraId="6691DDD7" w14:textId="77777777" w:rsidR="00FC2D03" w:rsidRPr="009C5553" w:rsidRDefault="00FC2D03" w:rsidP="00FC2D03">
                    <w:pPr>
                      <w:spacing w:after="0" w:line="276" w:lineRule="auto"/>
                      <w:jc w:val="both"/>
                      <w:rPr>
                        <w:rFonts w:ascii="Verdana" w:hAnsi="Verdana"/>
                        <w:sz w:val="20"/>
                        <w:szCs w:val="20"/>
                      </w:rPr>
                    </w:pPr>
                    <w:r w:rsidRPr="009C5553">
                      <w:rPr>
                        <w:rFonts w:ascii="Verdana" w:hAnsi="Verdana"/>
                        <w:sz w:val="20"/>
                        <w:szCs w:val="20"/>
                      </w:rPr>
                      <w:t>Dirección: Calle 43 No. 57 - 14. CAN. Bogotá, Colombia</w:t>
                    </w:r>
                  </w:p>
                  <w:p w14:paraId="04F87699" w14:textId="77777777" w:rsidR="00FC2D03" w:rsidRPr="001E1CAF" w:rsidRDefault="00FC2D03" w:rsidP="00FC2D03">
                    <w:pPr>
                      <w:spacing w:after="0" w:line="276" w:lineRule="auto"/>
                      <w:jc w:val="both"/>
                      <w:rPr>
                        <w:rFonts w:ascii="Verdana" w:hAnsi="Verdana"/>
                        <w:sz w:val="20"/>
                        <w:szCs w:val="20"/>
                      </w:rPr>
                    </w:pPr>
                    <w:r w:rsidRPr="00B71B7C">
                      <w:rPr>
                        <w:rFonts w:ascii="Verdana" w:hAnsi="Verdana"/>
                        <w:sz w:val="20"/>
                        <w:szCs w:val="20"/>
                      </w:rPr>
                      <w:t>Conmutador:</w:t>
                    </w:r>
                    <w:r>
                      <w:rPr>
                        <w:rFonts w:ascii="Verdana" w:hAnsi="Verdana"/>
                        <w:sz w:val="20"/>
                        <w:szCs w:val="20"/>
                      </w:rPr>
                      <w:t xml:space="preserve"> </w:t>
                    </w:r>
                    <w:r w:rsidRPr="001E1CAF">
                      <w:rPr>
                        <w:rFonts w:ascii="Verdana" w:hAnsi="Verdana"/>
                        <w:sz w:val="20"/>
                        <w:szCs w:val="20"/>
                      </w:rPr>
                      <w:t xml:space="preserve">(601) 22 22800 </w:t>
                    </w:r>
                  </w:p>
                  <w:p w14:paraId="4AEA77DD" w14:textId="77777777" w:rsidR="00FC2D03" w:rsidRPr="00B71B7C" w:rsidRDefault="00FC2D03" w:rsidP="00FC2D03">
                    <w:pPr>
                      <w:spacing w:after="0" w:line="276" w:lineRule="auto"/>
                      <w:jc w:val="both"/>
                      <w:rPr>
                        <w:rFonts w:ascii="Verdana" w:hAnsi="Verdana"/>
                        <w:sz w:val="20"/>
                        <w:szCs w:val="20"/>
                      </w:rPr>
                    </w:pPr>
                    <w:r w:rsidRPr="005632BA">
                      <w:rPr>
                        <w:rFonts w:ascii="Verdana" w:hAnsi="Verdana"/>
                        <w:sz w:val="20"/>
                        <w:szCs w:val="20"/>
                      </w:rPr>
                      <w:t>Línea gratuita fuera de Bogotá: 018000 - 910122</w:t>
                    </w:r>
                  </w:p>
                  <w:p w14:paraId="2005408A" w14:textId="77777777" w:rsidR="006E6A57" w:rsidRPr="00284759" w:rsidRDefault="006E6A57" w:rsidP="00FC2D03">
                    <w:pPr>
                      <w:spacing w:after="0" w:line="276" w:lineRule="auto"/>
                      <w:jc w:val="both"/>
                      <w:rPr>
                        <w:rFonts w:ascii="Verdana" w:hAnsi="Verdana"/>
                        <w:sz w:val="20"/>
                        <w:szCs w:val="20"/>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85273" w14:textId="77777777" w:rsidR="00820E24" w:rsidRDefault="00820E24" w:rsidP="006E6A57">
      <w:pPr>
        <w:spacing w:after="0" w:line="240" w:lineRule="auto"/>
      </w:pPr>
      <w:r>
        <w:separator/>
      </w:r>
    </w:p>
  </w:footnote>
  <w:footnote w:type="continuationSeparator" w:id="0">
    <w:p w14:paraId="6845F946" w14:textId="77777777" w:rsidR="00820E24" w:rsidRDefault="00820E24" w:rsidP="006E6A57">
      <w:pPr>
        <w:spacing w:after="0" w:line="240" w:lineRule="auto"/>
      </w:pPr>
      <w:r>
        <w:continuationSeparator/>
      </w:r>
    </w:p>
  </w:footnote>
  <w:footnote w:type="continuationNotice" w:id="1">
    <w:p w14:paraId="3C2F577A" w14:textId="77777777" w:rsidR="00820E24" w:rsidRDefault="00820E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1A69" w14:textId="77777777" w:rsidR="006E6A57" w:rsidRDefault="006E6A57">
    <w:pPr>
      <w:pStyle w:val="Encabezado"/>
    </w:pPr>
    <w:r>
      <w:rPr>
        <w:noProof/>
      </w:rPr>
      <w:drawing>
        <wp:anchor distT="0" distB="0" distL="114300" distR="114300" simplePos="0" relativeHeight="251658241" behindDoc="1" locked="0" layoutInCell="1" allowOverlap="1" wp14:anchorId="582F934A" wp14:editId="34326DC0">
          <wp:simplePos x="0" y="0"/>
          <wp:positionH relativeFrom="column">
            <wp:posOffset>-1104861</wp:posOffset>
          </wp:positionH>
          <wp:positionV relativeFrom="paragraph">
            <wp:posOffset>-423454</wp:posOffset>
          </wp:positionV>
          <wp:extent cx="7805784" cy="12805568"/>
          <wp:effectExtent l="0" t="0" r="0" b="0"/>
          <wp:wrapNone/>
          <wp:docPr id="347244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4443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805784" cy="1280556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44F56"/>
    <w:multiLevelType w:val="multilevel"/>
    <w:tmpl w:val="CF6E6EBE"/>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2FA054C3"/>
    <w:multiLevelType w:val="hybridMultilevel"/>
    <w:tmpl w:val="2D8A8B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A4E124B"/>
    <w:multiLevelType w:val="multilevel"/>
    <w:tmpl w:val="12B031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46FA39B7"/>
    <w:multiLevelType w:val="multilevel"/>
    <w:tmpl w:val="A2FACA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B460334"/>
    <w:multiLevelType w:val="multilevel"/>
    <w:tmpl w:val="36EA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39586C"/>
    <w:multiLevelType w:val="hybridMultilevel"/>
    <w:tmpl w:val="A63A97D6"/>
    <w:lvl w:ilvl="0" w:tplc="56C8BA2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B2C6291"/>
    <w:multiLevelType w:val="multilevel"/>
    <w:tmpl w:val="603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0B38AA"/>
    <w:multiLevelType w:val="multilevel"/>
    <w:tmpl w:val="F3268B60"/>
    <w:lvl w:ilvl="0">
      <w:start w:val="3"/>
      <w:numFmt w:val="upperRoman"/>
      <w:lvlText w:val="%1."/>
      <w:lvlJc w:val="right"/>
      <w:pPr>
        <w:tabs>
          <w:tab w:val="num" w:pos="720"/>
        </w:tabs>
        <w:ind w:left="720" w:hanging="360"/>
      </w:pPr>
      <w:rPr>
        <w:b/>
        <w:bCs/>
        <w:sz w:val="22"/>
        <w:szCs w:val="22"/>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617B695F"/>
    <w:multiLevelType w:val="multilevel"/>
    <w:tmpl w:val="4F562E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61E84645"/>
    <w:multiLevelType w:val="multilevel"/>
    <w:tmpl w:val="3258A4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4A10D17"/>
    <w:multiLevelType w:val="hybridMultilevel"/>
    <w:tmpl w:val="8C52B384"/>
    <w:lvl w:ilvl="0" w:tplc="206AE4B4">
      <w:start w:val="4"/>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83956488">
    <w:abstractNumId w:val="0"/>
  </w:num>
  <w:num w:numId="2" w16cid:durableId="112292174">
    <w:abstractNumId w:val="6"/>
  </w:num>
  <w:num w:numId="3" w16cid:durableId="1497720058">
    <w:abstractNumId w:val="10"/>
  </w:num>
  <w:num w:numId="4" w16cid:durableId="1643464235">
    <w:abstractNumId w:val="1"/>
  </w:num>
  <w:num w:numId="5" w16cid:durableId="460224305">
    <w:abstractNumId w:val="2"/>
  </w:num>
  <w:num w:numId="6" w16cid:durableId="233123564">
    <w:abstractNumId w:val="9"/>
  </w:num>
  <w:num w:numId="7" w16cid:durableId="268660905">
    <w:abstractNumId w:val="3"/>
  </w:num>
  <w:num w:numId="8" w16cid:durableId="272439434">
    <w:abstractNumId w:val="8"/>
  </w:num>
  <w:num w:numId="9" w16cid:durableId="733896258">
    <w:abstractNumId w:val="5"/>
  </w:num>
  <w:num w:numId="10" w16cid:durableId="639656059">
    <w:abstractNumId w:val="7"/>
  </w:num>
  <w:num w:numId="11" w16cid:durableId="42808758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A57"/>
    <w:rsid w:val="00000FDB"/>
    <w:rsid w:val="0001283F"/>
    <w:rsid w:val="00013DD9"/>
    <w:rsid w:val="00016F22"/>
    <w:rsid w:val="00016FB5"/>
    <w:rsid w:val="00020FE8"/>
    <w:rsid w:val="00021092"/>
    <w:rsid w:val="000266F2"/>
    <w:rsid w:val="00026900"/>
    <w:rsid w:val="0002757A"/>
    <w:rsid w:val="000306CB"/>
    <w:rsid w:val="000338E3"/>
    <w:rsid w:val="00045747"/>
    <w:rsid w:val="00051F53"/>
    <w:rsid w:val="00055325"/>
    <w:rsid w:val="00056013"/>
    <w:rsid w:val="0005746C"/>
    <w:rsid w:val="00060159"/>
    <w:rsid w:val="000625F7"/>
    <w:rsid w:val="000643B3"/>
    <w:rsid w:val="00065A44"/>
    <w:rsid w:val="00065C34"/>
    <w:rsid w:val="000671F7"/>
    <w:rsid w:val="00072CC0"/>
    <w:rsid w:val="00074AAB"/>
    <w:rsid w:val="000766A8"/>
    <w:rsid w:val="000772F1"/>
    <w:rsid w:val="000809F4"/>
    <w:rsid w:val="000826B4"/>
    <w:rsid w:val="000831F2"/>
    <w:rsid w:val="00086098"/>
    <w:rsid w:val="00086644"/>
    <w:rsid w:val="00090602"/>
    <w:rsid w:val="00090B2C"/>
    <w:rsid w:val="000932CA"/>
    <w:rsid w:val="00095470"/>
    <w:rsid w:val="000979B5"/>
    <w:rsid w:val="000A03EE"/>
    <w:rsid w:val="000A25A0"/>
    <w:rsid w:val="000A3688"/>
    <w:rsid w:val="000A3864"/>
    <w:rsid w:val="000A4AB2"/>
    <w:rsid w:val="000A4BA7"/>
    <w:rsid w:val="000A740B"/>
    <w:rsid w:val="000A7809"/>
    <w:rsid w:val="000A7982"/>
    <w:rsid w:val="000B2CC4"/>
    <w:rsid w:val="000B483F"/>
    <w:rsid w:val="000B6FDE"/>
    <w:rsid w:val="000C0291"/>
    <w:rsid w:val="000C1E06"/>
    <w:rsid w:val="000C1E2C"/>
    <w:rsid w:val="000C26BC"/>
    <w:rsid w:val="000C4F21"/>
    <w:rsid w:val="000C51B3"/>
    <w:rsid w:val="000C6215"/>
    <w:rsid w:val="000D2C52"/>
    <w:rsid w:val="000D62E4"/>
    <w:rsid w:val="000E045C"/>
    <w:rsid w:val="000E0A9F"/>
    <w:rsid w:val="000E278A"/>
    <w:rsid w:val="000E3AB0"/>
    <w:rsid w:val="000E52DC"/>
    <w:rsid w:val="000E65A5"/>
    <w:rsid w:val="000F0B97"/>
    <w:rsid w:val="000F187B"/>
    <w:rsid w:val="000F2D24"/>
    <w:rsid w:val="000F2F41"/>
    <w:rsid w:val="000F417F"/>
    <w:rsid w:val="000F4B47"/>
    <w:rsid w:val="000F5A75"/>
    <w:rsid w:val="000F5D82"/>
    <w:rsid w:val="000F60C4"/>
    <w:rsid w:val="000F6B8B"/>
    <w:rsid w:val="000F7048"/>
    <w:rsid w:val="001008B3"/>
    <w:rsid w:val="001056BC"/>
    <w:rsid w:val="00105E27"/>
    <w:rsid w:val="00114E75"/>
    <w:rsid w:val="00117485"/>
    <w:rsid w:val="001213A6"/>
    <w:rsid w:val="00134BE7"/>
    <w:rsid w:val="00134DA9"/>
    <w:rsid w:val="0013771F"/>
    <w:rsid w:val="00144AB9"/>
    <w:rsid w:val="00152799"/>
    <w:rsid w:val="00153221"/>
    <w:rsid w:val="001541CC"/>
    <w:rsid w:val="00154FD1"/>
    <w:rsid w:val="00155FD1"/>
    <w:rsid w:val="0015703D"/>
    <w:rsid w:val="00157308"/>
    <w:rsid w:val="00160CCA"/>
    <w:rsid w:val="00164D02"/>
    <w:rsid w:val="00164D17"/>
    <w:rsid w:val="0016519D"/>
    <w:rsid w:val="0016539F"/>
    <w:rsid w:val="0016649A"/>
    <w:rsid w:val="0016769B"/>
    <w:rsid w:val="00167D4E"/>
    <w:rsid w:val="00172A79"/>
    <w:rsid w:val="00172FAD"/>
    <w:rsid w:val="0017317A"/>
    <w:rsid w:val="00176E57"/>
    <w:rsid w:val="001853E4"/>
    <w:rsid w:val="00186EF8"/>
    <w:rsid w:val="0018792D"/>
    <w:rsid w:val="00192704"/>
    <w:rsid w:val="0019312F"/>
    <w:rsid w:val="00193867"/>
    <w:rsid w:val="0019749D"/>
    <w:rsid w:val="001A019A"/>
    <w:rsid w:val="001B0F66"/>
    <w:rsid w:val="001B1D58"/>
    <w:rsid w:val="001B37F7"/>
    <w:rsid w:val="001C1A60"/>
    <w:rsid w:val="001C4FEC"/>
    <w:rsid w:val="001C5AE1"/>
    <w:rsid w:val="001D0161"/>
    <w:rsid w:val="001D10EB"/>
    <w:rsid w:val="001D3F21"/>
    <w:rsid w:val="001E0576"/>
    <w:rsid w:val="001E2B8C"/>
    <w:rsid w:val="001E3BD6"/>
    <w:rsid w:val="001E4219"/>
    <w:rsid w:val="001E525E"/>
    <w:rsid w:val="001E6655"/>
    <w:rsid w:val="001F1559"/>
    <w:rsid w:val="001F50BA"/>
    <w:rsid w:val="001F57F9"/>
    <w:rsid w:val="001F5D5A"/>
    <w:rsid w:val="002018CB"/>
    <w:rsid w:val="00206BA3"/>
    <w:rsid w:val="00210F2A"/>
    <w:rsid w:val="00216832"/>
    <w:rsid w:val="0021759A"/>
    <w:rsid w:val="0022267D"/>
    <w:rsid w:val="0022372C"/>
    <w:rsid w:val="002242C0"/>
    <w:rsid w:val="00227C83"/>
    <w:rsid w:val="0023157C"/>
    <w:rsid w:val="00231B5A"/>
    <w:rsid w:val="00232CA5"/>
    <w:rsid w:val="0023675F"/>
    <w:rsid w:val="00240E3D"/>
    <w:rsid w:val="002411DD"/>
    <w:rsid w:val="002423A5"/>
    <w:rsid w:val="002439C0"/>
    <w:rsid w:val="0024550D"/>
    <w:rsid w:val="00246643"/>
    <w:rsid w:val="00253189"/>
    <w:rsid w:val="0025632B"/>
    <w:rsid w:val="00260BFD"/>
    <w:rsid w:val="00270FB8"/>
    <w:rsid w:val="00272768"/>
    <w:rsid w:val="00274010"/>
    <w:rsid w:val="002746A2"/>
    <w:rsid w:val="002772A4"/>
    <w:rsid w:val="00280459"/>
    <w:rsid w:val="002812F6"/>
    <w:rsid w:val="00281635"/>
    <w:rsid w:val="002834F8"/>
    <w:rsid w:val="00283B9A"/>
    <w:rsid w:val="00287343"/>
    <w:rsid w:val="00290CD4"/>
    <w:rsid w:val="00291FEC"/>
    <w:rsid w:val="00291FF8"/>
    <w:rsid w:val="00294330"/>
    <w:rsid w:val="00294448"/>
    <w:rsid w:val="00295425"/>
    <w:rsid w:val="002957EF"/>
    <w:rsid w:val="00296E03"/>
    <w:rsid w:val="002A1178"/>
    <w:rsid w:val="002A66DE"/>
    <w:rsid w:val="002A74C5"/>
    <w:rsid w:val="002B00E6"/>
    <w:rsid w:val="002B0128"/>
    <w:rsid w:val="002B0A8C"/>
    <w:rsid w:val="002B3D74"/>
    <w:rsid w:val="002B522E"/>
    <w:rsid w:val="002C2ACF"/>
    <w:rsid w:val="002C7B6A"/>
    <w:rsid w:val="002D1C04"/>
    <w:rsid w:val="002D3EA4"/>
    <w:rsid w:val="002D435B"/>
    <w:rsid w:val="002D521C"/>
    <w:rsid w:val="002D5E2F"/>
    <w:rsid w:val="002E10F9"/>
    <w:rsid w:val="002E1154"/>
    <w:rsid w:val="002E2E5B"/>
    <w:rsid w:val="002E3C0B"/>
    <w:rsid w:val="002E527B"/>
    <w:rsid w:val="002E5CE4"/>
    <w:rsid w:val="002E6672"/>
    <w:rsid w:val="002F1D95"/>
    <w:rsid w:val="002F3C4C"/>
    <w:rsid w:val="002F5E25"/>
    <w:rsid w:val="003001CB"/>
    <w:rsid w:val="003078F4"/>
    <w:rsid w:val="00311ECB"/>
    <w:rsid w:val="0031249E"/>
    <w:rsid w:val="0031624D"/>
    <w:rsid w:val="0031763A"/>
    <w:rsid w:val="003215DC"/>
    <w:rsid w:val="00321C9C"/>
    <w:rsid w:val="003229DC"/>
    <w:rsid w:val="003246F0"/>
    <w:rsid w:val="00325828"/>
    <w:rsid w:val="0033178D"/>
    <w:rsid w:val="00335956"/>
    <w:rsid w:val="00336A40"/>
    <w:rsid w:val="00341D37"/>
    <w:rsid w:val="003439EE"/>
    <w:rsid w:val="00346ED1"/>
    <w:rsid w:val="003522F0"/>
    <w:rsid w:val="0035360F"/>
    <w:rsid w:val="003537BC"/>
    <w:rsid w:val="00355663"/>
    <w:rsid w:val="00356CF5"/>
    <w:rsid w:val="00357A85"/>
    <w:rsid w:val="00361309"/>
    <w:rsid w:val="00362914"/>
    <w:rsid w:val="00362AAC"/>
    <w:rsid w:val="00365634"/>
    <w:rsid w:val="00371616"/>
    <w:rsid w:val="00372AB0"/>
    <w:rsid w:val="00372AD4"/>
    <w:rsid w:val="00372CD4"/>
    <w:rsid w:val="00380306"/>
    <w:rsid w:val="00383D9C"/>
    <w:rsid w:val="00386CD4"/>
    <w:rsid w:val="00387B32"/>
    <w:rsid w:val="0039169C"/>
    <w:rsid w:val="00397FCE"/>
    <w:rsid w:val="003A3B5B"/>
    <w:rsid w:val="003A4BAE"/>
    <w:rsid w:val="003A4C15"/>
    <w:rsid w:val="003B1951"/>
    <w:rsid w:val="003B511E"/>
    <w:rsid w:val="003B7826"/>
    <w:rsid w:val="003C02B9"/>
    <w:rsid w:val="003C711E"/>
    <w:rsid w:val="003C7D86"/>
    <w:rsid w:val="003D1845"/>
    <w:rsid w:val="003D5D34"/>
    <w:rsid w:val="003D6A78"/>
    <w:rsid w:val="003D7785"/>
    <w:rsid w:val="003D7C4A"/>
    <w:rsid w:val="003E04F5"/>
    <w:rsid w:val="003E1A31"/>
    <w:rsid w:val="003E2D6A"/>
    <w:rsid w:val="003E5D66"/>
    <w:rsid w:val="003F3349"/>
    <w:rsid w:val="003F3D68"/>
    <w:rsid w:val="003F42CB"/>
    <w:rsid w:val="004024C3"/>
    <w:rsid w:val="00402770"/>
    <w:rsid w:val="004052F6"/>
    <w:rsid w:val="004074AC"/>
    <w:rsid w:val="00412E09"/>
    <w:rsid w:val="004215C4"/>
    <w:rsid w:val="00423147"/>
    <w:rsid w:val="00424B89"/>
    <w:rsid w:val="00430334"/>
    <w:rsid w:val="00430CEC"/>
    <w:rsid w:val="0043559B"/>
    <w:rsid w:val="00435915"/>
    <w:rsid w:val="00436C85"/>
    <w:rsid w:val="00437574"/>
    <w:rsid w:val="00445216"/>
    <w:rsid w:val="004468DE"/>
    <w:rsid w:val="00446F59"/>
    <w:rsid w:val="004472DF"/>
    <w:rsid w:val="004536BA"/>
    <w:rsid w:val="004540B4"/>
    <w:rsid w:val="00456042"/>
    <w:rsid w:val="00456790"/>
    <w:rsid w:val="00456CCC"/>
    <w:rsid w:val="00460421"/>
    <w:rsid w:val="00460860"/>
    <w:rsid w:val="00465D52"/>
    <w:rsid w:val="00466000"/>
    <w:rsid w:val="004665F9"/>
    <w:rsid w:val="00467295"/>
    <w:rsid w:val="00476FBF"/>
    <w:rsid w:val="0047763D"/>
    <w:rsid w:val="00483E65"/>
    <w:rsid w:val="00483FAF"/>
    <w:rsid w:val="00484AD0"/>
    <w:rsid w:val="00487F83"/>
    <w:rsid w:val="00494998"/>
    <w:rsid w:val="004A098F"/>
    <w:rsid w:val="004A0B49"/>
    <w:rsid w:val="004A0EB2"/>
    <w:rsid w:val="004A741A"/>
    <w:rsid w:val="004B2271"/>
    <w:rsid w:val="004B2624"/>
    <w:rsid w:val="004C5613"/>
    <w:rsid w:val="004D05BC"/>
    <w:rsid w:val="004D2262"/>
    <w:rsid w:val="004E0B65"/>
    <w:rsid w:val="004E6D32"/>
    <w:rsid w:val="004F43E2"/>
    <w:rsid w:val="004F491E"/>
    <w:rsid w:val="004F57BE"/>
    <w:rsid w:val="00500754"/>
    <w:rsid w:val="005026C6"/>
    <w:rsid w:val="005029A2"/>
    <w:rsid w:val="00507126"/>
    <w:rsid w:val="00507731"/>
    <w:rsid w:val="0051082B"/>
    <w:rsid w:val="00510B4C"/>
    <w:rsid w:val="00512DAA"/>
    <w:rsid w:val="005145DA"/>
    <w:rsid w:val="00514E52"/>
    <w:rsid w:val="00516BBE"/>
    <w:rsid w:val="005215C4"/>
    <w:rsid w:val="005232EA"/>
    <w:rsid w:val="005259E1"/>
    <w:rsid w:val="0052689C"/>
    <w:rsid w:val="005276CA"/>
    <w:rsid w:val="00527AA9"/>
    <w:rsid w:val="00533CCC"/>
    <w:rsid w:val="00550160"/>
    <w:rsid w:val="00550B7B"/>
    <w:rsid w:val="00553D4E"/>
    <w:rsid w:val="005572A4"/>
    <w:rsid w:val="005572CF"/>
    <w:rsid w:val="00563D4D"/>
    <w:rsid w:val="005659CE"/>
    <w:rsid w:val="00570814"/>
    <w:rsid w:val="00570A73"/>
    <w:rsid w:val="005715E5"/>
    <w:rsid w:val="0057292A"/>
    <w:rsid w:val="00574E50"/>
    <w:rsid w:val="00576780"/>
    <w:rsid w:val="00585944"/>
    <w:rsid w:val="00586326"/>
    <w:rsid w:val="005A169B"/>
    <w:rsid w:val="005A47D0"/>
    <w:rsid w:val="005A6863"/>
    <w:rsid w:val="005A6A3B"/>
    <w:rsid w:val="005A7613"/>
    <w:rsid w:val="005B1281"/>
    <w:rsid w:val="005B1FBE"/>
    <w:rsid w:val="005B3212"/>
    <w:rsid w:val="005B4076"/>
    <w:rsid w:val="005C00A3"/>
    <w:rsid w:val="005C0618"/>
    <w:rsid w:val="005C26B8"/>
    <w:rsid w:val="005C31B8"/>
    <w:rsid w:val="005C3222"/>
    <w:rsid w:val="005C641F"/>
    <w:rsid w:val="005C6B28"/>
    <w:rsid w:val="005D79E5"/>
    <w:rsid w:val="005E1B5B"/>
    <w:rsid w:val="005E2B66"/>
    <w:rsid w:val="005E32C2"/>
    <w:rsid w:val="005E5B3D"/>
    <w:rsid w:val="005E5F28"/>
    <w:rsid w:val="005E7401"/>
    <w:rsid w:val="005E753A"/>
    <w:rsid w:val="005F07EB"/>
    <w:rsid w:val="005F097F"/>
    <w:rsid w:val="005F1A55"/>
    <w:rsid w:val="005F2D61"/>
    <w:rsid w:val="005F50E1"/>
    <w:rsid w:val="005F7805"/>
    <w:rsid w:val="00601079"/>
    <w:rsid w:val="00601ADF"/>
    <w:rsid w:val="00601C41"/>
    <w:rsid w:val="00610181"/>
    <w:rsid w:val="006102F0"/>
    <w:rsid w:val="006106C8"/>
    <w:rsid w:val="00612180"/>
    <w:rsid w:val="00614EFB"/>
    <w:rsid w:val="006166BF"/>
    <w:rsid w:val="00616A56"/>
    <w:rsid w:val="00616BCB"/>
    <w:rsid w:val="00625834"/>
    <w:rsid w:val="0062657B"/>
    <w:rsid w:val="006303D7"/>
    <w:rsid w:val="00630B0B"/>
    <w:rsid w:val="006334BC"/>
    <w:rsid w:val="00637256"/>
    <w:rsid w:val="006406C5"/>
    <w:rsid w:val="0064575A"/>
    <w:rsid w:val="00647A8F"/>
    <w:rsid w:val="006541D3"/>
    <w:rsid w:val="00660492"/>
    <w:rsid w:val="00662EC9"/>
    <w:rsid w:val="006631C7"/>
    <w:rsid w:val="0066651C"/>
    <w:rsid w:val="00671CED"/>
    <w:rsid w:val="00673B72"/>
    <w:rsid w:val="00674857"/>
    <w:rsid w:val="0067586C"/>
    <w:rsid w:val="00677A21"/>
    <w:rsid w:val="00677CA9"/>
    <w:rsid w:val="00682532"/>
    <w:rsid w:val="00686AD4"/>
    <w:rsid w:val="00693CB9"/>
    <w:rsid w:val="00696A45"/>
    <w:rsid w:val="006A374B"/>
    <w:rsid w:val="006A5993"/>
    <w:rsid w:val="006A6C0B"/>
    <w:rsid w:val="006B25DC"/>
    <w:rsid w:val="006B4838"/>
    <w:rsid w:val="006C6872"/>
    <w:rsid w:val="006D3C36"/>
    <w:rsid w:val="006D3E5C"/>
    <w:rsid w:val="006D4D81"/>
    <w:rsid w:val="006D7A88"/>
    <w:rsid w:val="006E2008"/>
    <w:rsid w:val="006E3171"/>
    <w:rsid w:val="006E34FE"/>
    <w:rsid w:val="006E38B3"/>
    <w:rsid w:val="006E3F26"/>
    <w:rsid w:val="006E4F65"/>
    <w:rsid w:val="006E5411"/>
    <w:rsid w:val="006E586A"/>
    <w:rsid w:val="006E5A1B"/>
    <w:rsid w:val="006E6A57"/>
    <w:rsid w:val="006E778B"/>
    <w:rsid w:val="006E7BA4"/>
    <w:rsid w:val="006F1631"/>
    <w:rsid w:val="006F2679"/>
    <w:rsid w:val="006F3A7B"/>
    <w:rsid w:val="006F5700"/>
    <w:rsid w:val="0070163E"/>
    <w:rsid w:val="00702C1E"/>
    <w:rsid w:val="00711DDA"/>
    <w:rsid w:val="007121DE"/>
    <w:rsid w:val="00725926"/>
    <w:rsid w:val="00726FC1"/>
    <w:rsid w:val="0072725C"/>
    <w:rsid w:val="00727DC0"/>
    <w:rsid w:val="007300BD"/>
    <w:rsid w:val="007319E2"/>
    <w:rsid w:val="00731D17"/>
    <w:rsid w:val="0073462D"/>
    <w:rsid w:val="00736248"/>
    <w:rsid w:val="00736746"/>
    <w:rsid w:val="007374A7"/>
    <w:rsid w:val="00737A8B"/>
    <w:rsid w:val="00750C49"/>
    <w:rsid w:val="00751FBA"/>
    <w:rsid w:val="00753704"/>
    <w:rsid w:val="00753CD5"/>
    <w:rsid w:val="00753E02"/>
    <w:rsid w:val="00754A1B"/>
    <w:rsid w:val="00754B05"/>
    <w:rsid w:val="00766683"/>
    <w:rsid w:val="00766B33"/>
    <w:rsid w:val="007707C5"/>
    <w:rsid w:val="00772630"/>
    <w:rsid w:val="0077269F"/>
    <w:rsid w:val="00772C8C"/>
    <w:rsid w:val="0077454D"/>
    <w:rsid w:val="00780928"/>
    <w:rsid w:val="0078247C"/>
    <w:rsid w:val="00782963"/>
    <w:rsid w:val="00783893"/>
    <w:rsid w:val="00783933"/>
    <w:rsid w:val="00785BDA"/>
    <w:rsid w:val="007940E5"/>
    <w:rsid w:val="00796713"/>
    <w:rsid w:val="00797507"/>
    <w:rsid w:val="007A24C5"/>
    <w:rsid w:val="007A2F15"/>
    <w:rsid w:val="007A5141"/>
    <w:rsid w:val="007B5BFA"/>
    <w:rsid w:val="007B6EE7"/>
    <w:rsid w:val="007C0463"/>
    <w:rsid w:val="007C1457"/>
    <w:rsid w:val="007C295A"/>
    <w:rsid w:val="007C4344"/>
    <w:rsid w:val="007C56A4"/>
    <w:rsid w:val="007C6069"/>
    <w:rsid w:val="007D37E6"/>
    <w:rsid w:val="007E1F7D"/>
    <w:rsid w:val="007E2FE9"/>
    <w:rsid w:val="007E33AA"/>
    <w:rsid w:val="007E43D5"/>
    <w:rsid w:val="007E4CA5"/>
    <w:rsid w:val="007E5468"/>
    <w:rsid w:val="007E6474"/>
    <w:rsid w:val="007E73B0"/>
    <w:rsid w:val="007F0CBF"/>
    <w:rsid w:val="007F6FE2"/>
    <w:rsid w:val="007F719E"/>
    <w:rsid w:val="007F7D9C"/>
    <w:rsid w:val="00803250"/>
    <w:rsid w:val="0080509D"/>
    <w:rsid w:val="00805224"/>
    <w:rsid w:val="008153F5"/>
    <w:rsid w:val="00816D55"/>
    <w:rsid w:val="00820E24"/>
    <w:rsid w:val="00821208"/>
    <w:rsid w:val="00824A43"/>
    <w:rsid w:val="00824F61"/>
    <w:rsid w:val="0082718F"/>
    <w:rsid w:val="008273F2"/>
    <w:rsid w:val="00827480"/>
    <w:rsid w:val="008303CE"/>
    <w:rsid w:val="00830E24"/>
    <w:rsid w:val="0083302B"/>
    <w:rsid w:val="00834CC2"/>
    <w:rsid w:val="008356D6"/>
    <w:rsid w:val="00836853"/>
    <w:rsid w:val="00836D41"/>
    <w:rsid w:val="008416D4"/>
    <w:rsid w:val="0084281F"/>
    <w:rsid w:val="00843A69"/>
    <w:rsid w:val="00847853"/>
    <w:rsid w:val="008522A1"/>
    <w:rsid w:val="00852B76"/>
    <w:rsid w:val="00853083"/>
    <w:rsid w:val="00870B9E"/>
    <w:rsid w:val="00871320"/>
    <w:rsid w:val="008731AB"/>
    <w:rsid w:val="00873BE4"/>
    <w:rsid w:val="008777E0"/>
    <w:rsid w:val="00880995"/>
    <w:rsid w:val="00882B5F"/>
    <w:rsid w:val="00884E84"/>
    <w:rsid w:val="008858E0"/>
    <w:rsid w:val="00887219"/>
    <w:rsid w:val="00887BDA"/>
    <w:rsid w:val="00892905"/>
    <w:rsid w:val="008929BA"/>
    <w:rsid w:val="00894D35"/>
    <w:rsid w:val="008979D0"/>
    <w:rsid w:val="008A1D54"/>
    <w:rsid w:val="008A7498"/>
    <w:rsid w:val="008B0D73"/>
    <w:rsid w:val="008B56E8"/>
    <w:rsid w:val="008B5C89"/>
    <w:rsid w:val="008B634C"/>
    <w:rsid w:val="008B6C71"/>
    <w:rsid w:val="008B75A8"/>
    <w:rsid w:val="008B75FF"/>
    <w:rsid w:val="008C2426"/>
    <w:rsid w:val="008C5038"/>
    <w:rsid w:val="008C5C1A"/>
    <w:rsid w:val="008C78DC"/>
    <w:rsid w:val="008D11DB"/>
    <w:rsid w:val="008D300F"/>
    <w:rsid w:val="008D7481"/>
    <w:rsid w:val="008E21C2"/>
    <w:rsid w:val="008E354F"/>
    <w:rsid w:val="008E3ADF"/>
    <w:rsid w:val="008E5EDB"/>
    <w:rsid w:val="008E6112"/>
    <w:rsid w:val="008E78B1"/>
    <w:rsid w:val="008E7B55"/>
    <w:rsid w:val="009009F5"/>
    <w:rsid w:val="00901C0E"/>
    <w:rsid w:val="009037FE"/>
    <w:rsid w:val="0090658E"/>
    <w:rsid w:val="0090697A"/>
    <w:rsid w:val="00906DCF"/>
    <w:rsid w:val="009106A7"/>
    <w:rsid w:val="00920BE1"/>
    <w:rsid w:val="00921599"/>
    <w:rsid w:val="00921E19"/>
    <w:rsid w:val="0092258D"/>
    <w:rsid w:val="009229AC"/>
    <w:rsid w:val="00922C64"/>
    <w:rsid w:val="009245EF"/>
    <w:rsid w:val="009302D1"/>
    <w:rsid w:val="00933309"/>
    <w:rsid w:val="00934F85"/>
    <w:rsid w:val="009355E3"/>
    <w:rsid w:val="00936B24"/>
    <w:rsid w:val="00936BB0"/>
    <w:rsid w:val="0094097E"/>
    <w:rsid w:val="00941426"/>
    <w:rsid w:val="009424B4"/>
    <w:rsid w:val="00944F51"/>
    <w:rsid w:val="0094644D"/>
    <w:rsid w:val="00946AB1"/>
    <w:rsid w:val="0095120E"/>
    <w:rsid w:val="00952ED7"/>
    <w:rsid w:val="00954A02"/>
    <w:rsid w:val="00956F07"/>
    <w:rsid w:val="009611A7"/>
    <w:rsid w:val="0096530D"/>
    <w:rsid w:val="00966889"/>
    <w:rsid w:val="0097144E"/>
    <w:rsid w:val="00974A04"/>
    <w:rsid w:val="00983FC0"/>
    <w:rsid w:val="00984FCB"/>
    <w:rsid w:val="00987D72"/>
    <w:rsid w:val="00987E64"/>
    <w:rsid w:val="0099045B"/>
    <w:rsid w:val="0099731E"/>
    <w:rsid w:val="009A045F"/>
    <w:rsid w:val="009B1DB0"/>
    <w:rsid w:val="009B4980"/>
    <w:rsid w:val="009C165B"/>
    <w:rsid w:val="009D01AC"/>
    <w:rsid w:val="009D0870"/>
    <w:rsid w:val="009D3542"/>
    <w:rsid w:val="009D407B"/>
    <w:rsid w:val="009D6BF3"/>
    <w:rsid w:val="009D72F8"/>
    <w:rsid w:val="009E28A5"/>
    <w:rsid w:val="009E5E69"/>
    <w:rsid w:val="009E739B"/>
    <w:rsid w:val="009E76D2"/>
    <w:rsid w:val="009F2A9E"/>
    <w:rsid w:val="009F3388"/>
    <w:rsid w:val="009F51FA"/>
    <w:rsid w:val="009F6CBC"/>
    <w:rsid w:val="009F74CF"/>
    <w:rsid w:val="009F75A5"/>
    <w:rsid w:val="00A00879"/>
    <w:rsid w:val="00A03BED"/>
    <w:rsid w:val="00A074FE"/>
    <w:rsid w:val="00A12090"/>
    <w:rsid w:val="00A129EF"/>
    <w:rsid w:val="00A1493F"/>
    <w:rsid w:val="00A16150"/>
    <w:rsid w:val="00A1626C"/>
    <w:rsid w:val="00A16C3A"/>
    <w:rsid w:val="00A17D6A"/>
    <w:rsid w:val="00A237A1"/>
    <w:rsid w:val="00A26EF0"/>
    <w:rsid w:val="00A30EB6"/>
    <w:rsid w:val="00A3406D"/>
    <w:rsid w:val="00A401FE"/>
    <w:rsid w:val="00A42550"/>
    <w:rsid w:val="00A47225"/>
    <w:rsid w:val="00A473A1"/>
    <w:rsid w:val="00A53208"/>
    <w:rsid w:val="00A547A6"/>
    <w:rsid w:val="00A54F6D"/>
    <w:rsid w:val="00A5631A"/>
    <w:rsid w:val="00A64D4B"/>
    <w:rsid w:val="00A71788"/>
    <w:rsid w:val="00A76ED8"/>
    <w:rsid w:val="00A77AA3"/>
    <w:rsid w:val="00A81C9A"/>
    <w:rsid w:val="00A84925"/>
    <w:rsid w:val="00A84BC3"/>
    <w:rsid w:val="00A86520"/>
    <w:rsid w:val="00A9047D"/>
    <w:rsid w:val="00A932B8"/>
    <w:rsid w:val="00A9361C"/>
    <w:rsid w:val="00A953E0"/>
    <w:rsid w:val="00A9700C"/>
    <w:rsid w:val="00A973F6"/>
    <w:rsid w:val="00A97C07"/>
    <w:rsid w:val="00AA0892"/>
    <w:rsid w:val="00AA31B1"/>
    <w:rsid w:val="00AA69A6"/>
    <w:rsid w:val="00AA7419"/>
    <w:rsid w:val="00AA7930"/>
    <w:rsid w:val="00AB29B5"/>
    <w:rsid w:val="00AB3557"/>
    <w:rsid w:val="00AB4988"/>
    <w:rsid w:val="00AC0BF1"/>
    <w:rsid w:val="00AC17F9"/>
    <w:rsid w:val="00AC5AAB"/>
    <w:rsid w:val="00AD245D"/>
    <w:rsid w:val="00AD4B16"/>
    <w:rsid w:val="00AD76A5"/>
    <w:rsid w:val="00AE32DC"/>
    <w:rsid w:val="00AE3661"/>
    <w:rsid w:val="00AE5D88"/>
    <w:rsid w:val="00AE600F"/>
    <w:rsid w:val="00AE6CA5"/>
    <w:rsid w:val="00AF564A"/>
    <w:rsid w:val="00B025DD"/>
    <w:rsid w:val="00B02C70"/>
    <w:rsid w:val="00B030EA"/>
    <w:rsid w:val="00B0351A"/>
    <w:rsid w:val="00B050D7"/>
    <w:rsid w:val="00B10186"/>
    <w:rsid w:val="00B14DA6"/>
    <w:rsid w:val="00B17472"/>
    <w:rsid w:val="00B21961"/>
    <w:rsid w:val="00B2271D"/>
    <w:rsid w:val="00B22E22"/>
    <w:rsid w:val="00B31874"/>
    <w:rsid w:val="00B3205D"/>
    <w:rsid w:val="00B4244D"/>
    <w:rsid w:val="00B43564"/>
    <w:rsid w:val="00B437DE"/>
    <w:rsid w:val="00B47D3A"/>
    <w:rsid w:val="00B5244F"/>
    <w:rsid w:val="00B535FC"/>
    <w:rsid w:val="00B54E00"/>
    <w:rsid w:val="00B56E5B"/>
    <w:rsid w:val="00B60835"/>
    <w:rsid w:val="00B63A28"/>
    <w:rsid w:val="00B64C17"/>
    <w:rsid w:val="00B67EE6"/>
    <w:rsid w:val="00B7218A"/>
    <w:rsid w:val="00B76445"/>
    <w:rsid w:val="00B7699B"/>
    <w:rsid w:val="00B81370"/>
    <w:rsid w:val="00B900AF"/>
    <w:rsid w:val="00B91972"/>
    <w:rsid w:val="00B94252"/>
    <w:rsid w:val="00B954BB"/>
    <w:rsid w:val="00B968FA"/>
    <w:rsid w:val="00BA3090"/>
    <w:rsid w:val="00BA41F7"/>
    <w:rsid w:val="00BA6F33"/>
    <w:rsid w:val="00BB1CAD"/>
    <w:rsid w:val="00BB269E"/>
    <w:rsid w:val="00BB3484"/>
    <w:rsid w:val="00BC5691"/>
    <w:rsid w:val="00BC793E"/>
    <w:rsid w:val="00BD23B7"/>
    <w:rsid w:val="00BD27F4"/>
    <w:rsid w:val="00BD3673"/>
    <w:rsid w:val="00BD4069"/>
    <w:rsid w:val="00BD57CB"/>
    <w:rsid w:val="00BE12C9"/>
    <w:rsid w:val="00BE16DA"/>
    <w:rsid w:val="00BE1ADD"/>
    <w:rsid w:val="00BE4853"/>
    <w:rsid w:val="00BE6815"/>
    <w:rsid w:val="00BF47C3"/>
    <w:rsid w:val="00BF6A5D"/>
    <w:rsid w:val="00C00753"/>
    <w:rsid w:val="00C0312C"/>
    <w:rsid w:val="00C03F82"/>
    <w:rsid w:val="00C10F0B"/>
    <w:rsid w:val="00C14B4D"/>
    <w:rsid w:val="00C211B9"/>
    <w:rsid w:val="00C30EDA"/>
    <w:rsid w:val="00C325BF"/>
    <w:rsid w:val="00C33007"/>
    <w:rsid w:val="00C35285"/>
    <w:rsid w:val="00C3691D"/>
    <w:rsid w:val="00C37628"/>
    <w:rsid w:val="00C413F0"/>
    <w:rsid w:val="00C41BCE"/>
    <w:rsid w:val="00C4261A"/>
    <w:rsid w:val="00C44A97"/>
    <w:rsid w:val="00C46E49"/>
    <w:rsid w:val="00C552DE"/>
    <w:rsid w:val="00C60CB1"/>
    <w:rsid w:val="00C65C1B"/>
    <w:rsid w:val="00C71EAB"/>
    <w:rsid w:val="00C75C62"/>
    <w:rsid w:val="00C76035"/>
    <w:rsid w:val="00C77F1E"/>
    <w:rsid w:val="00C83BA5"/>
    <w:rsid w:val="00C84FDE"/>
    <w:rsid w:val="00C86498"/>
    <w:rsid w:val="00C86B15"/>
    <w:rsid w:val="00C963A9"/>
    <w:rsid w:val="00CA02BA"/>
    <w:rsid w:val="00CA0E77"/>
    <w:rsid w:val="00CA1575"/>
    <w:rsid w:val="00CA732E"/>
    <w:rsid w:val="00CB534C"/>
    <w:rsid w:val="00CC07C3"/>
    <w:rsid w:val="00CC1D38"/>
    <w:rsid w:val="00CC4394"/>
    <w:rsid w:val="00CC4DD2"/>
    <w:rsid w:val="00CD0779"/>
    <w:rsid w:val="00CD4CF9"/>
    <w:rsid w:val="00CD5A86"/>
    <w:rsid w:val="00CD5E28"/>
    <w:rsid w:val="00CD79AB"/>
    <w:rsid w:val="00CE4420"/>
    <w:rsid w:val="00CE56EE"/>
    <w:rsid w:val="00CE5AC4"/>
    <w:rsid w:val="00CE6706"/>
    <w:rsid w:val="00CE67A5"/>
    <w:rsid w:val="00CF1030"/>
    <w:rsid w:val="00CF213F"/>
    <w:rsid w:val="00CF348A"/>
    <w:rsid w:val="00CF46B2"/>
    <w:rsid w:val="00CF619B"/>
    <w:rsid w:val="00D015C2"/>
    <w:rsid w:val="00D05614"/>
    <w:rsid w:val="00D057A3"/>
    <w:rsid w:val="00D061BA"/>
    <w:rsid w:val="00D075DE"/>
    <w:rsid w:val="00D106A0"/>
    <w:rsid w:val="00D11609"/>
    <w:rsid w:val="00D1773A"/>
    <w:rsid w:val="00D214EF"/>
    <w:rsid w:val="00D21D0A"/>
    <w:rsid w:val="00D23156"/>
    <w:rsid w:val="00D25913"/>
    <w:rsid w:val="00D25EDC"/>
    <w:rsid w:val="00D30B7A"/>
    <w:rsid w:val="00D324F2"/>
    <w:rsid w:val="00D32BA7"/>
    <w:rsid w:val="00D3571C"/>
    <w:rsid w:val="00D366BC"/>
    <w:rsid w:val="00D37BD7"/>
    <w:rsid w:val="00D40426"/>
    <w:rsid w:val="00D42405"/>
    <w:rsid w:val="00D453AE"/>
    <w:rsid w:val="00D465B8"/>
    <w:rsid w:val="00D509B4"/>
    <w:rsid w:val="00D552BD"/>
    <w:rsid w:val="00D568D2"/>
    <w:rsid w:val="00D56EB6"/>
    <w:rsid w:val="00D572C3"/>
    <w:rsid w:val="00D604B4"/>
    <w:rsid w:val="00D61951"/>
    <w:rsid w:val="00D6272D"/>
    <w:rsid w:val="00D642F2"/>
    <w:rsid w:val="00D67132"/>
    <w:rsid w:val="00D67F1C"/>
    <w:rsid w:val="00D776C6"/>
    <w:rsid w:val="00D77C8B"/>
    <w:rsid w:val="00D85B68"/>
    <w:rsid w:val="00D907CA"/>
    <w:rsid w:val="00D94DC4"/>
    <w:rsid w:val="00D96F7C"/>
    <w:rsid w:val="00DA36B7"/>
    <w:rsid w:val="00DA56DC"/>
    <w:rsid w:val="00DA5DC5"/>
    <w:rsid w:val="00DA7A18"/>
    <w:rsid w:val="00DB03F2"/>
    <w:rsid w:val="00DB0FB2"/>
    <w:rsid w:val="00DB1CB3"/>
    <w:rsid w:val="00DB60F3"/>
    <w:rsid w:val="00DC2FA6"/>
    <w:rsid w:val="00DC31C4"/>
    <w:rsid w:val="00DC52EC"/>
    <w:rsid w:val="00DC6A65"/>
    <w:rsid w:val="00DD0EEC"/>
    <w:rsid w:val="00DD619B"/>
    <w:rsid w:val="00DE185E"/>
    <w:rsid w:val="00DE2F0D"/>
    <w:rsid w:val="00DE35EE"/>
    <w:rsid w:val="00DE611D"/>
    <w:rsid w:val="00DF0E7B"/>
    <w:rsid w:val="00DF1442"/>
    <w:rsid w:val="00DF15D2"/>
    <w:rsid w:val="00DF283F"/>
    <w:rsid w:val="00DF42E2"/>
    <w:rsid w:val="00DF7FFB"/>
    <w:rsid w:val="00E01519"/>
    <w:rsid w:val="00E04400"/>
    <w:rsid w:val="00E05D17"/>
    <w:rsid w:val="00E07F98"/>
    <w:rsid w:val="00E14D75"/>
    <w:rsid w:val="00E157C3"/>
    <w:rsid w:val="00E15861"/>
    <w:rsid w:val="00E21BCA"/>
    <w:rsid w:val="00E23B23"/>
    <w:rsid w:val="00E23F03"/>
    <w:rsid w:val="00E24634"/>
    <w:rsid w:val="00E26FE0"/>
    <w:rsid w:val="00E27254"/>
    <w:rsid w:val="00E277AB"/>
    <w:rsid w:val="00E309F2"/>
    <w:rsid w:val="00E32EA3"/>
    <w:rsid w:val="00E33214"/>
    <w:rsid w:val="00E34E31"/>
    <w:rsid w:val="00E355B4"/>
    <w:rsid w:val="00E35B65"/>
    <w:rsid w:val="00E36C9D"/>
    <w:rsid w:val="00E40AE1"/>
    <w:rsid w:val="00E42A25"/>
    <w:rsid w:val="00E45BE0"/>
    <w:rsid w:val="00E520D1"/>
    <w:rsid w:val="00E5221C"/>
    <w:rsid w:val="00E55233"/>
    <w:rsid w:val="00E55D7D"/>
    <w:rsid w:val="00E56F6F"/>
    <w:rsid w:val="00E65290"/>
    <w:rsid w:val="00E70FC3"/>
    <w:rsid w:val="00E71441"/>
    <w:rsid w:val="00E73C38"/>
    <w:rsid w:val="00E7797F"/>
    <w:rsid w:val="00E83707"/>
    <w:rsid w:val="00E83E7D"/>
    <w:rsid w:val="00E857D7"/>
    <w:rsid w:val="00E91DC0"/>
    <w:rsid w:val="00E94171"/>
    <w:rsid w:val="00E944DB"/>
    <w:rsid w:val="00E96481"/>
    <w:rsid w:val="00E96C10"/>
    <w:rsid w:val="00EA0F5D"/>
    <w:rsid w:val="00EA11E4"/>
    <w:rsid w:val="00EA7671"/>
    <w:rsid w:val="00EA76BE"/>
    <w:rsid w:val="00EB390F"/>
    <w:rsid w:val="00EB5D39"/>
    <w:rsid w:val="00EB5F17"/>
    <w:rsid w:val="00EB782D"/>
    <w:rsid w:val="00EC6FCF"/>
    <w:rsid w:val="00ED23E3"/>
    <w:rsid w:val="00ED73E8"/>
    <w:rsid w:val="00EE1C2D"/>
    <w:rsid w:val="00EE1F6B"/>
    <w:rsid w:val="00EE50AC"/>
    <w:rsid w:val="00EE57EF"/>
    <w:rsid w:val="00EE6469"/>
    <w:rsid w:val="00EE7C4F"/>
    <w:rsid w:val="00EF5956"/>
    <w:rsid w:val="00EF5AE3"/>
    <w:rsid w:val="00F02B4A"/>
    <w:rsid w:val="00F02E0D"/>
    <w:rsid w:val="00F04AD3"/>
    <w:rsid w:val="00F0531C"/>
    <w:rsid w:val="00F06D78"/>
    <w:rsid w:val="00F11951"/>
    <w:rsid w:val="00F16583"/>
    <w:rsid w:val="00F16ED8"/>
    <w:rsid w:val="00F24536"/>
    <w:rsid w:val="00F2569D"/>
    <w:rsid w:val="00F26294"/>
    <w:rsid w:val="00F26386"/>
    <w:rsid w:val="00F3047D"/>
    <w:rsid w:val="00F306E5"/>
    <w:rsid w:val="00F37157"/>
    <w:rsid w:val="00F4209C"/>
    <w:rsid w:val="00F51727"/>
    <w:rsid w:val="00F5354C"/>
    <w:rsid w:val="00F54A96"/>
    <w:rsid w:val="00F55247"/>
    <w:rsid w:val="00F56D5E"/>
    <w:rsid w:val="00F57BE8"/>
    <w:rsid w:val="00F625F9"/>
    <w:rsid w:val="00F6393C"/>
    <w:rsid w:val="00F67C25"/>
    <w:rsid w:val="00F70D6C"/>
    <w:rsid w:val="00F74649"/>
    <w:rsid w:val="00F74B2E"/>
    <w:rsid w:val="00F77FC0"/>
    <w:rsid w:val="00F81AAD"/>
    <w:rsid w:val="00FA146E"/>
    <w:rsid w:val="00FA27D4"/>
    <w:rsid w:val="00FA4102"/>
    <w:rsid w:val="00FA4EE8"/>
    <w:rsid w:val="00FA6791"/>
    <w:rsid w:val="00FA6FCF"/>
    <w:rsid w:val="00FB2C0F"/>
    <w:rsid w:val="00FB4EB5"/>
    <w:rsid w:val="00FB5A96"/>
    <w:rsid w:val="00FB74B8"/>
    <w:rsid w:val="00FC00EF"/>
    <w:rsid w:val="00FC143D"/>
    <w:rsid w:val="00FC257E"/>
    <w:rsid w:val="00FC2D03"/>
    <w:rsid w:val="00FC6D89"/>
    <w:rsid w:val="00FC78C5"/>
    <w:rsid w:val="00FC7FD9"/>
    <w:rsid w:val="00FD3769"/>
    <w:rsid w:val="00FD5A70"/>
    <w:rsid w:val="00FE1A31"/>
    <w:rsid w:val="00FE2EC6"/>
    <w:rsid w:val="00FE59AE"/>
    <w:rsid w:val="00FE61BE"/>
    <w:rsid w:val="00FE632D"/>
    <w:rsid w:val="00FE6CAC"/>
    <w:rsid w:val="00FF080B"/>
    <w:rsid w:val="00FF20CB"/>
    <w:rsid w:val="00FF21AB"/>
    <w:rsid w:val="00FF314D"/>
    <w:rsid w:val="00FF341F"/>
    <w:rsid w:val="00FF5BE4"/>
    <w:rsid w:val="00FF5C4F"/>
    <w:rsid w:val="0ECE7BD9"/>
    <w:rsid w:val="11884506"/>
    <w:rsid w:val="19B4AC6D"/>
    <w:rsid w:val="19EF18B4"/>
    <w:rsid w:val="2D1C3C2D"/>
    <w:rsid w:val="550FC1B9"/>
    <w:rsid w:val="5790DFA6"/>
    <w:rsid w:val="6EC16B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A4800"/>
  <w15:chartTrackingRefBased/>
  <w15:docId w15:val="{A3A871F6-31EA-4728-A976-74267AE6B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A57"/>
    <w:pPr>
      <w:spacing w:line="259" w:lineRule="auto"/>
    </w:pPr>
    <w:rPr>
      <w:sz w:val="22"/>
      <w:szCs w:val="22"/>
    </w:rPr>
  </w:style>
  <w:style w:type="paragraph" w:styleId="Ttulo1">
    <w:name w:val="heading 1"/>
    <w:basedOn w:val="Normal"/>
    <w:next w:val="Normal"/>
    <w:link w:val="Ttulo1Car"/>
    <w:uiPriority w:val="9"/>
    <w:qFormat/>
    <w:rsid w:val="006E6A5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6A5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6A57"/>
    <w:pPr>
      <w:keepNext/>
      <w:keepLines/>
      <w:spacing w:before="160" w:after="80" w:line="278"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6A57"/>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Ttulo5">
    <w:name w:val="heading 5"/>
    <w:basedOn w:val="Normal"/>
    <w:next w:val="Normal"/>
    <w:link w:val="Ttulo5Car"/>
    <w:uiPriority w:val="9"/>
    <w:semiHidden/>
    <w:unhideWhenUsed/>
    <w:qFormat/>
    <w:rsid w:val="006E6A57"/>
    <w:pPr>
      <w:keepNext/>
      <w:keepLines/>
      <w:spacing w:before="80" w:after="40" w:line="278" w:lineRule="auto"/>
      <w:outlineLvl w:val="4"/>
    </w:pPr>
    <w:rPr>
      <w:rFonts w:eastAsiaTheme="majorEastAsia" w:cstheme="majorBidi"/>
      <w:color w:val="0F4761" w:themeColor="accent1" w:themeShade="BF"/>
      <w:sz w:val="24"/>
      <w:szCs w:val="24"/>
    </w:rPr>
  </w:style>
  <w:style w:type="paragraph" w:styleId="Ttulo6">
    <w:name w:val="heading 6"/>
    <w:basedOn w:val="Normal"/>
    <w:next w:val="Normal"/>
    <w:link w:val="Ttulo6Car"/>
    <w:uiPriority w:val="9"/>
    <w:semiHidden/>
    <w:unhideWhenUsed/>
    <w:qFormat/>
    <w:rsid w:val="006E6A57"/>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Ttulo7">
    <w:name w:val="heading 7"/>
    <w:basedOn w:val="Normal"/>
    <w:next w:val="Normal"/>
    <w:link w:val="Ttulo7Car"/>
    <w:uiPriority w:val="9"/>
    <w:semiHidden/>
    <w:unhideWhenUsed/>
    <w:qFormat/>
    <w:rsid w:val="006E6A57"/>
    <w:pPr>
      <w:keepNext/>
      <w:keepLines/>
      <w:spacing w:before="40" w:after="0" w:line="278" w:lineRule="auto"/>
      <w:outlineLvl w:val="6"/>
    </w:pPr>
    <w:rPr>
      <w:rFonts w:eastAsiaTheme="majorEastAsia"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6E6A57"/>
    <w:pPr>
      <w:keepNext/>
      <w:keepLines/>
      <w:spacing w:after="0" w:line="278" w:lineRule="auto"/>
      <w:outlineLvl w:val="7"/>
    </w:pPr>
    <w:rPr>
      <w:rFonts w:eastAsiaTheme="majorEastAsia" w:cstheme="majorBidi"/>
      <w:i/>
      <w:iCs/>
      <w:color w:val="272727" w:themeColor="text1" w:themeTint="D8"/>
      <w:sz w:val="24"/>
      <w:szCs w:val="24"/>
    </w:rPr>
  </w:style>
  <w:style w:type="paragraph" w:styleId="Ttulo9">
    <w:name w:val="heading 9"/>
    <w:basedOn w:val="Normal"/>
    <w:next w:val="Normal"/>
    <w:link w:val="Ttulo9Car"/>
    <w:uiPriority w:val="9"/>
    <w:semiHidden/>
    <w:unhideWhenUsed/>
    <w:qFormat/>
    <w:rsid w:val="006E6A57"/>
    <w:pPr>
      <w:keepNext/>
      <w:keepLines/>
      <w:spacing w:after="0" w:line="278" w:lineRule="auto"/>
      <w:outlineLvl w:val="8"/>
    </w:pPr>
    <w:rPr>
      <w:rFonts w:eastAsiaTheme="majorEastAsia" w:cstheme="majorBidi"/>
      <w:color w:val="272727" w:themeColor="text1" w:themeTint="D8"/>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6A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6A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6A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6A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6A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6A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6A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6A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6A57"/>
    <w:rPr>
      <w:rFonts w:eastAsiaTheme="majorEastAsia" w:cstheme="majorBidi"/>
      <w:color w:val="272727" w:themeColor="text1" w:themeTint="D8"/>
    </w:rPr>
  </w:style>
  <w:style w:type="paragraph" w:styleId="Ttulo">
    <w:name w:val="Title"/>
    <w:basedOn w:val="Normal"/>
    <w:next w:val="Normal"/>
    <w:link w:val="TtuloCar"/>
    <w:uiPriority w:val="10"/>
    <w:qFormat/>
    <w:rsid w:val="006E6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6A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6A57"/>
    <w:pPr>
      <w:numPr>
        <w:ilvl w:val="1"/>
      </w:numPr>
      <w:spacing w:line="278"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6A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6A57"/>
    <w:pPr>
      <w:spacing w:before="160" w:line="278" w:lineRule="auto"/>
      <w:jc w:val="center"/>
    </w:pPr>
    <w:rPr>
      <w:i/>
      <w:iCs/>
      <w:color w:val="404040" w:themeColor="text1" w:themeTint="BF"/>
      <w:sz w:val="24"/>
      <w:szCs w:val="24"/>
    </w:rPr>
  </w:style>
  <w:style w:type="character" w:customStyle="1" w:styleId="CitaCar">
    <w:name w:val="Cita Car"/>
    <w:basedOn w:val="Fuentedeprrafopredeter"/>
    <w:link w:val="Cita"/>
    <w:uiPriority w:val="29"/>
    <w:rsid w:val="006E6A57"/>
    <w:rPr>
      <w:i/>
      <w:iCs/>
      <w:color w:val="404040" w:themeColor="text1" w:themeTint="BF"/>
    </w:rPr>
  </w:style>
  <w:style w:type="paragraph" w:styleId="Prrafodelista">
    <w:name w:val="List Paragraph"/>
    <w:aliases w:val="titulo 3,Título sin Numeración,TIT 2 IND,Titulo parrafo,Dot pt,No Spacing1,List Paragraph Char Char Char,Indicator Text,Numbered Para 1,Colorful List - Accent 11,Bullet 1,F5 List Paragraph,Bullet Points,Normal. Viñetas,Párrafo de lista1"/>
    <w:basedOn w:val="Normal"/>
    <w:link w:val="PrrafodelistaCar"/>
    <w:uiPriority w:val="34"/>
    <w:qFormat/>
    <w:rsid w:val="006E6A57"/>
    <w:pPr>
      <w:spacing w:line="278" w:lineRule="auto"/>
      <w:ind w:left="720"/>
      <w:contextualSpacing/>
    </w:pPr>
    <w:rPr>
      <w:sz w:val="24"/>
      <w:szCs w:val="24"/>
    </w:rPr>
  </w:style>
  <w:style w:type="character" w:styleId="nfasisintenso">
    <w:name w:val="Intense Emphasis"/>
    <w:basedOn w:val="Fuentedeprrafopredeter"/>
    <w:uiPriority w:val="21"/>
    <w:qFormat/>
    <w:rsid w:val="006E6A57"/>
    <w:rPr>
      <w:i/>
      <w:iCs/>
      <w:color w:val="0F4761" w:themeColor="accent1" w:themeShade="BF"/>
    </w:rPr>
  </w:style>
  <w:style w:type="paragraph" w:styleId="Citadestacada">
    <w:name w:val="Intense Quote"/>
    <w:basedOn w:val="Normal"/>
    <w:next w:val="Normal"/>
    <w:link w:val="CitadestacadaCar"/>
    <w:uiPriority w:val="30"/>
    <w:qFormat/>
    <w:rsid w:val="006E6A5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CitadestacadaCar">
    <w:name w:val="Cita destacada Car"/>
    <w:basedOn w:val="Fuentedeprrafopredeter"/>
    <w:link w:val="Citadestacada"/>
    <w:uiPriority w:val="30"/>
    <w:rsid w:val="006E6A57"/>
    <w:rPr>
      <w:i/>
      <w:iCs/>
      <w:color w:val="0F4761" w:themeColor="accent1" w:themeShade="BF"/>
    </w:rPr>
  </w:style>
  <w:style w:type="character" w:styleId="Referenciaintensa">
    <w:name w:val="Intense Reference"/>
    <w:basedOn w:val="Fuentedeprrafopredeter"/>
    <w:uiPriority w:val="32"/>
    <w:qFormat/>
    <w:rsid w:val="006E6A57"/>
    <w:rPr>
      <w:b/>
      <w:bCs/>
      <w:smallCaps/>
      <w:color w:val="0F4761" w:themeColor="accent1" w:themeShade="BF"/>
      <w:spacing w:val="5"/>
    </w:rPr>
  </w:style>
  <w:style w:type="table" w:styleId="Tablaconcuadrcula">
    <w:name w:val="Table Grid"/>
    <w:basedOn w:val="Tablanormal"/>
    <w:uiPriority w:val="39"/>
    <w:rsid w:val="006E6A5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E6A5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E6A57"/>
    <w:rPr>
      <w:sz w:val="22"/>
      <w:szCs w:val="22"/>
    </w:rPr>
  </w:style>
  <w:style w:type="paragraph" w:styleId="Piedepgina">
    <w:name w:val="footer"/>
    <w:basedOn w:val="Normal"/>
    <w:link w:val="PiedepginaCar"/>
    <w:uiPriority w:val="99"/>
    <w:unhideWhenUsed/>
    <w:rsid w:val="006E6A5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E6A57"/>
    <w:rPr>
      <w:sz w:val="22"/>
      <w:szCs w:val="22"/>
    </w:rPr>
  </w:style>
  <w:style w:type="character" w:styleId="Hipervnculo">
    <w:name w:val="Hyperlink"/>
    <w:basedOn w:val="Fuentedeprrafopredeter"/>
    <w:uiPriority w:val="99"/>
    <w:unhideWhenUsed/>
    <w:rsid w:val="00C30EDA"/>
    <w:rPr>
      <w:color w:val="467886" w:themeColor="hyperlink"/>
      <w:u w:val="single"/>
    </w:rPr>
  </w:style>
  <w:style w:type="paragraph" w:customStyle="1" w:styleId="Default">
    <w:name w:val="Default"/>
    <w:rsid w:val="00C30EDA"/>
    <w:pPr>
      <w:autoSpaceDE w:val="0"/>
      <w:autoSpaceDN w:val="0"/>
      <w:adjustRightInd w:val="0"/>
      <w:spacing w:after="0" w:line="240" w:lineRule="auto"/>
    </w:pPr>
    <w:rPr>
      <w:rFonts w:ascii="Lucida Bright" w:eastAsia="Calibri" w:hAnsi="Lucida Bright" w:cs="Lucida Bright"/>
      <w:color w:val="000000"/>
      <w:kern w:val="0"/>
      <w:lang w:eastAsia="es-CO"/>
      <w14:ligatures w14:val="none"/>
    </w:rPr>
  </w:style>
  <w:style w:type="character" w:styleId="nfasis">
    <w:name w:val="Emphasis"/>
    <w:basedOn w:val="Fuentedeprrafopredeter"/>
    <w:uiPriority w:val="20"/>
    <w:qFormat/>
    <w:rsid w:val="00291FEC"/>
    <w:rPr>
      <w:i/>
      <w:iCs/>
    </w:rPr>
  </w:style>
  <w:style w:type="paragraph" w:styleId="NormalWeb">
    <w:name w:val="Normal (Web)"/>
    <w:basedOn w:val="Normal"/>
    <w:uiPriority w:val="99"/>
    <w:unhideWhenUsed/>
    <w:rsid w:val="00291FEC"/>
    <w:pPr>
      <w:spacing w:before="100" w:beforeAutospacing="1" w:after="100" w:afterAutospacing="1" w:line="240" w:lineRule="auto"/>
    </w:pPr>
    <w:rPr>
      <w:rFonts w:ascii="Times New Roman" w:eastAsiaTheme="minorEastAsia" w:hAnsi="Times New Roman" w:cs="Times New Roman"/>
      <w:kern w:val="0"/>
      <w:sz w:val="24"/>
      <w:szCs w:val="24"/>
      <w:lang w:eastAsia="es-CO"/>
      <w14:ligatures w14:val="none"/>
    </w:rPr>
  </w:style>
  <w:style w:type="paragraph" w:styleId="Sinespaciado">
    <w:name w:val="No Spacing"/>
    <w:aliases w:val="Nota de pie de página,Tablas e ilustraciones"/>
    <w:link w:val="SinespaciadoCar"/>
    <w:uiPriority w:val="1"/>
    <w:qFormat/>
    <w:rsid w:val="00291FEC"/>
    <w:pPr>
      <w:spacing w:after="0" w:line="240" w:lineRule="auto"/>
    </w:pPr>
    <w:rPr>
      <w:rFonts w:ascii="PMingLiU" w:eastAsiaTheme="minorEastAsia" w:hAnsi="PMingLiU"/>
      <w:kern w:val="0"/>
      <w:sz w:val="22"/>
      <w:szCs w:val="22"/>
      <w:lang w:val="es-ES_tradnl" w:eastAsia="es-ES"/>
      <w14:ligatures w14:val="none"/>
    </w:rPr>
  </w:style>
  <w:style w:type="character" w:customStyle="1" w:styleId="SinespaciadoCar">
    <w:name w:val="Sin espaciado Car"/>
    <w:aliases w:val="Nota de pie de página Car,Tablas e ilustraciones Car"/>
    <w:basedOn w:val="Fuentedeprrafopredeter"/>
    <w:link w:val="Sinespaciado"/>
    <w:uiPriority w:val="1"/>
    <w:rsid w:val="00291FEC"/>
    <w:rPr>
      <w:rFonts w:ascii="PMingLiU" w:eastAsiaTheme="minorEastAsia" w:hAnsi="PMingLiU"/>
      <w:kern w:val="0"/>
      <w:sz w:val="22"/>
      <w:szCs w:val="22"/>
      <w:lang w:val="es-ES_tradnl" w:eastAsia="es-ES"/>
      <w14:ligatures w14:val="none"/>
    </w:rPr>
  </w:style>
  <w:style w:type="character" w:customStyle="1" w:styleId="PrrafodelistaCar">
    <w:name w:val="Párrafo de lista Car"/>
    <w:aliases w:val="titulo 3 Car,Título sin Numeración Car,TIT 2 IND Car,Titulo parrafo Car,Dot pt Car,No Spacing1 Car,List Paragraph Char Char Char Car,Indicator Text Car,Numbered Para 1 Car,Colorful List - Accent 11 Car,Bullet 1 Car,Bullet Points Car"/>
    <w:link w:val="Prrafodelista"/>
    <w:uiPriority w:val="34"/>
    <w:qFormat/>
    <w:locked/>
    <w:rsid w:val="00291FEC"/>
  </w:style>
  <w:style w:type="character" w:styleId="Mencinsinresolver">
    <w:name w:val="Unresolved Mention"/>
    <w:basedOn w:val="Fuentedeprrafopredeter"/>
    <w:uiPriority w:val="99"/>
    <w:semiHidden/>
    <w:unhideWhenUsed/>
    <w:rsid w:val="005E1B5B"/>
    <w:rPr>
      <w:color w:val="605E5C"/>
      <w:shd w:val="clear" w:color="auto" w:fill="E1DFDD"/>
    </w:rPr>
  </w:style>
  <w:style w:type="paragraph" w:styleId="Textonotapie">
    <w:name w:val="footnote text"/>
    <w:aliases w:val="Footnote Text Char,Footnote Text Char Char Char Char,Footnote Text Char Char Char Char Char Char Char Char,Footnote Text Char Char Char Char Char Char1,Footnote Text Char Char Char Char Char Char Char1,Footnote referenc,Footnote reference"/>
    <w:basedOn w:val="Normal"/>
    <w:link w:val="TextonotapieCar"/>
    <w:uiPriority w:val="99"/>
    <w:unhideWhenUsed/>
    <w:qFormat/>
    <w:rsid w:val="00586326"/>
    <w:pPr>
      <w:spacing w:after="0" w:line="240" w:lineRule="auto"/>
    </w:pPr>
    <w:rPr>
      <w:kern w:val="0"/>
      <w:sz w:val="20"/>
      <w:szCs w:val="20"/>
      <w14:ligatures w14:val="none"/>
    </w:rPr>
  </w:style>
  <w:style w:type="character" w:customStyle="1" w:styleId="TextonotapieCar">
    <w:name w:val="Texto nota pie Car"/>
    <w:aliases w:val="Footnote Text Char Car,Footnote Text Char Char Char Char Car,Footnote Text Char Char Char Char Char Char Char Char Car,Footnote Text Char Char Char Char Char Char1 Car,Footnote Text Char Char Char Char Char Char Char1 Car"/>
    <w:basedOn w:val="Fuentedeprrafopredeter"/>
    <w:link w:val="Textonotapie"/>
    <w:uiPriority w:val="99"/>
    <w:rsid w:val="00586326"/>
    <w:rPr>
      <w:kern w:val="0"/>
      <w:sz w:val="20"/>
      <w:szCs w:val="20"/>
      <w14:ligatures w14:val="none"/>
    </w:rPr>
  </w:style>
  <w:style w:type="character" w:styleId="Refdenotaalpie">
    <w:name w:val="footnote reference"/>
    <w:aliases w:val="Ref. de nota al pie 2,Texto de nota al pie,Appel note de bas de page,Footnotes refss,Footnote number,referencia nota al pie,BVI fnr,f,4_G,16 Point,Superscript 6 Point,Texto nota al pie,Pie de Página,FC,Texto de nota al pi,Pie de P_gi"/>
    <w:basedOn w:val="Fuentedeprrafopredeter"/>
    <w:link w:val="4GChar"/>
    <w:qFormat/>
    <w:rsid w:val="00586326"/>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586326"/>
    <w:pPr>
      <w:spacing w:after="0" w:line="240" w:lineRule="auto"/>
      <w:jc w:val="both"/>
    </w:pPr>
    <w:rPr>
      <w:sz w:val="24"/>
      <w:szCs w:val="24"/>
      <w:vertAlign w:val="superscript"/>
    </w:rPr>
  </w:style>
  <w:style w:type="paragraph" w:customStyle="1" w:styleId="paragraph">
    <w:name w:val="paragraph"/>
    <w:basedOn w:val="Normal"/>
    <w:rsid w:val="00BD23B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BD23B7"/>
  </w:style>
  <w:style w:type="character" w:customStyle="1" w:styleId="eop">
    <w:name w:val="eop"/>
    <w:basedOn w:val="Fuentedeprrafopredeter"/>
    <w:rsid w:val="00BD23B7"/>
  </w:style>
  <w:style w:type="character" w:customStyle="1" w:styleId="scxw137567636">
    <w:name w:val="scxw137567636"/>
    <w:basedOn w:val="Fuentedeprrafopredeter"/>
    <w:rsid w:val="00BD23B7"/>
  </w:style>
  <w:style w:type="character" w:styleId="Fuerte">
    <w:name w:val="Strong"/>
    <w:basedOn w:val="Fuentedeprrafopredeter"/>
    <w:uiPriority w:val="22"/>
    <w:qFormat/>
    <w:rsid w:val="002812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E80CD4E8BEA64DAA0BC119D168BE53" ma:contentTypeVersion="4" ma:contentTypeDescription="Crear nuevo documento." ma:contentTypeScope="" ma:versionID="6231bf37b34ce899933d326e9902575c">
  <xsd:schema xmlns:xsd="http://www.w3.org/2001/XMLSchema" xmlns:xs="http://www.w3.org/2001/XMLSchema" xmlns:p="http://schemas.microsoft.com/office/2006/metadata/properties" xmlns:ns2="12a53619-3bc0-412b-b090-bc6c4fb46350" targetNamespace="http://schemas.microsoft.com/office/2006/metadata/properties" ma:root="true" ma:fieldsID="47fe2f3bdb9815be6a06016c229986b2" ns2:_="">
    <xsd:import namespace="12a53619-3bc0-412b-b090-bc6c4fb463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a53619-3bc0-412b-b090-bc6c4fb46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69A2B6-5CAD-4D54-BB3B-57317053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a53619-3bc0-412b-b090-bc6c4fb46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43D428-9579-47D4-B951-9A3526883DC7}">
  <ds:schemaRefs>
    <ds:schemaRef ds:uri="http://schemas.microsoft.com/sharepoint/v3/contenttype/forms"/>
  </ds:schemaRefs>
</ds:datastoreItem>
</file>

<file path=customXml/itemProps3.xml><?xml version="1.0" encoding="utf-8"?>
<ds:datastoreItem xmlns:ds="http://schemas.openxmlformats.org/officeDocument/2006/customXml" ds:itemID="{CDDC8382-1F90-4D17-84C5-2ABBB315EB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6495</Words>
  <Characters>35724</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Baracaldo Godoy</dc:creator>
  <cp:keywords/>
  <dc:description/>
  <cp:lastModifiedBy>Luis Andres Olaya Olaya</cp:lastModifiedBy>
  <cp:revision>4</cp:revision>
  <dcterms:created xsi:type="dcterms:W3CDTF">2026-09-22T00:54:00Z</dcterms:created>
  <dcterms:modified xsi:type="dcterms:W3CDTF">2026-09-22T00:58:00Z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0x010100E6E80CD4E8BEA64DAA0BC119D168BE53</vt:lpwstr>
  </property>
</Properties>
</file>