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D858F" w14:textId="69312EC2" w:rsidR="00D1773A" w:rsidRDefault="00FC78C5" w:rsidP="0031763A">
      <w:pPr>
        <w:pStyle w:val="Sinespaciado"/>
        <w:jc w:val="both"/>
        <w:rPr>
          <w:rFonts w:ascii="Verdana" w:hAnsi="Verdana" w:cs="Arial"/>
          <w:lang w:val="es-CO"/>
        </w:rPr>
      </w:pPr>
      <w:r w:rsidRPr="00EC6FCF">
        <w:rPr>
          <w:rFonts w:ascii="Verdana" w:hAnsi="Verdana" w:cs="Arial"/>
          <w:b/>
          <w:bCs/>
          <w:lang w:val="es-CO"/>
        </w:rPr>
        <w:t>RADICADO:</w:t>
      </w:r>
      <w:r w:rsidRPr="00EC6FCF">
        <w:rPr>
          <w:rFonts w:ascii="Verdana" w:hAnsi="Verdana" w:cs="Arial"/>
          <w:lang w:val="es-CO"/>
        </w:rPr>
        <w:tab/>
      </w:r>
      <w:r w:rsidRPr="00EC6FCF">
        <w:rPr>
          <w:rFonts w:ascii="Verdana" w:hAnsi="Verdana" w:cs="Arial"/>
          <w:lang w:val="es-CO"/>
        </w:rPr>
        <w:tab/>
      </w:r>
      <w:r w:rsidR="00274010" w:rsidRPr="00274010">
        <w:rPr>
          <w:rFonts w:ascii="Verdana" w:hAnsi="Verdana"/>
          <w:highlight w:val="yellow"/>
        </w:rPr>
        <w:t>110014189-038-2026-01537-00</w:t>
      </w:r>
    </w:p>
    <w:p w14:paraId="76294D3A" w14:textId="3E68F79B" w:rsidR="0031763A" w:rsidRPr="00EC6FCF" w:rsidRDefault="00FC78C5" w:rsidP="0031763A">
      <w:pPr>
        <w:pStyle w:val="Sinespaciado"/>
        <w:jc w:val="both"/>
        <w:rPr>
          <w:rFonts w:ascii="Verdana" w:hAnsi="Verdana" w:cs="Arial"/>
          <w:lang w:val="es-CO"/>
        </w:rPr>
      </w:pPr>
      <w:r w:rsidRPr="00EC6FCF">
        <w:rPr>
          <w:rFonts w:ascii="Verdana" w:hAnsi="Verdana" w:cs="Arial"/>
          <w:b/>
          <w:bCs/>
          <w:lang w:val="es-CO"/>
        </w:rPr>
        <w:t>TIPO DE PROCESO:</w:t>
      </w:r>
      <w:r w:rsidRPr="00EC6FCF">
        <w:rPr>
          <w:rFonts w:ascii="Verdana" w:hAnsi="Verdana" w:cs="Arial"/>
          <w:lang w:val="es-CO"/>
        </w:rPr>
        <w:t xml:space="preserve"> </w:t>
      </w:r>
      <w:r w:rsidRPr="00EC6FCF">
        <w:rPr>
          <w:rFonts w:ascii="Verdana" w:hAnsi="Verdana" w:cs="Arial"/>
          <w:lang w:val="es-CO"/>
        </w:rPr>
        <w:tab/>
        <w:t xml:space="preserve">ACCIÓN DE TUTELA </w:t>
      </w:r>
    </w:p>
    <w:p w14:paraId="29849F1C" w14:textId="345AF94D" w:rsidR="0031763A" w:rsidRPr="00274010" w:rsidRDefault="00FC78C5" w:rsidP="00445216">
      <w:pPr>
        <w:widowControl w:val="0"/>
        <w:autoSpaceDE w:val="0"/>
        <w:autoSpaceDN w:val="0"/>
        <w:adjustRightInd w:val="0"/>
        <w:spacing w:after="0" w:line="240" w:lineRule="auto"/>
        <w:ind w:left="3540" w:hanging="3540"/>
        <w:jc w:val="both"/>
        <w:rPr>
          <w:rFonts w:ascii="Verdana" w:eastAsiaTheme="minorEastAsia" w:hAnsi="Verdana" w:cs="Arial"/>
          <w:kern w:val="0"/>
          <w:highlight w:val="yellow"/>
          <w:lang w:eastAsia="es-ES"/>
          <w14:ligatures w14:val="none"/>
        </w:rPr>
      </w:pPr>
      <w:r w:rsidRPr="00EC6FCF">
        <w:rPr>
          <w:rFonts w:ascii="Verdana" w:eastAsiaTheme="minorEastAsia" w:hAnsi="Verdana" w:cs="Arial"/>
          <w:b/>
          <w:bCs/>
          <w:kern w:val="0"/>
          <w:lang w:eastAsia="es-ES"/>
          <w14:ligatures w14:val="none"/>
        </w:rPr>
        <w:t xml:space="preserve">ACCIONANTE: </w:t>
      </w:r>
      <w:r>
        <w:rPr>
          <w:rFonts w:ascii="Verdana" w:eastAsiaTheme="minorEastAsia" w:hAnsi="Verdana" w:cs="Arial"/>
          <w:b/>
          <w:bCs/>
          <w:kern w:val="0"/>
          <w:lang w:eastAsia="es-ES"/>
          <w14:ligatures w14:val="none"/>
        </w:rPr>
        <w:t xml:space="preserve">              </w:t>
      </w:r>
      <w:r w:rsidR="00274010" w:rsidRPr="00274010">
        <w:rPr>
          <w:rFonts w:ascii="Verdana" w:hAnsi="Verdana"/>
          <w:highlight w:val="yellow"/>
        </w:rPr>
        <w:t>MARIA PAULA QUINTERO SALAMANCA</w:t>
      </w:r>
    </w:p>
    <w:p w14:paraId="35417A73" w14:textId="59F92B63" w:rsidR="000979B5" w:rsidRDefault="00FC78C5" w:rsidP="0031763A">
      <w:pPr>
        <w:widowControl w:val="0"/>
        <w:autoSpaceDE w:val="0"/>
        <w:autoSpaceDN w:val="0"/>
        <w:adjustRightInd w:val="0"/>
        <w:spacing w:after="0" w:line="240" w:lineRule="auto"/>
        <w:ind w:left="2832" w:hanging="2832"/>
        <w:jc w:val="both"/>
        <w:rPr>
          <w:rFonts w:ascii="Verdana" w:eastAsiaTheme="minorEastAsia" w:hAnsi="Verdana" w:cs="Arial"/>
          <w:kern w:val="0"/>
          <w:lang w:eastAsia="es-ES"/>
          <w14:ligatures w14:val="none"/>
        </w:rPr>
      </w:pPr>
      <w:r w:rsidRPr="00E23F03">
        <w:rPr>
          <w:rFonts w:ascii="Verdana" w:eastAsiaTheme="minorEastAsia" w:hAnsi="Verdana" w:cs="Arial"/>
          <w:b/>
          <w:bCs/>
          <w:kern w:val="0"/>
          <w:lang w:eastAsia="es-ES"/>
          <w14:ligatures w14:val="none"/>
        </w:rPr>
        <w:t>ACCIONADO:</w:t>
      </w:r>
      <w:r w:rsidRPr="00E23F03">
        <w:rPr>
          <w:rFonts w:ascii="Verdana" w:eastAsiaTheme="minorEastAsia" w:hAnsi="Verdana" w:cs="Arial"/>
          <w:kern w:val="0"/>
          <w:lang w:eastAsia="es-ES"/>
          <w14:ligatures w14:val="none"/>
        </w:rPr>
        <w:tab/>
      </w:r>
      <w:r w:rsidR="00274010" w:rsidRPr="00274010">
        <w:rPr>
          <w:rFonts w:ascii="Verdana" w:hAnsi="Verdana"/>
          <w:highlight w:val="yellow"/>
        </w:rPr>
        <w:t>UNIVERSIDAD DEL TOLIMA - CAT KENNEDY</w:t>
      </w:r>
    </w:p>
    <w:p w14:paraId="19F809DF" w14:textId="42C30673" w:rsidR="0031763A" w:rsidRPr="00EC6FCF" w:rsidRDefault="00FC78C5" w:rsidP="0031763A">
      <w:pPr>
        <w:widowControl w:val="0"/>
        <w:autoSpaceDE w:val="0"/>
        <w:autoSpaceDN w:val="0"/>
        <w:adjustRightInd w:val="0"/>
        <w:spacing w:after="0" w:line="240" w:lineRule="auto"/>
        <w:ind w:left="2832" w:hanging="2832"/>
        <w:jc w:val="both"/>
        <w:rPr>
          <w:rFonts w:ascii="Verdana" w:eastAsiaTheme="minorEastAsia" w:hAnsi="Verdana" w:cs="Arial"/>
          <w:b/>
          <w:bCs/>
          <w:kern w:val="0"/>
          <w:lang w:eastAsia="es-ES"/>
          <w14:ligatures w14:val="none"/>
        </w:rPr>
      </w:pPr>
      <w:r w:rsidRPr="00EC6FCF">
        <w:rPr>
          <w:rFonts w:ascii="Verdana" w:eastAsiaTheme="minorEastAsia" w:hAnsi="Verdana" w:cs="Arial"/>
          <w:b/>
          <w:bCs/>
          <w:kern w:val="0"/>
          <w:lang w:eastAsia="es-ES"/>
          <w14:ligatures w14:val="none"/>
        </w:rPr>
        <w:t>VINCULADOS:</w:t>
      </w:r>
      <w:r w:rsidRPr="00EC6FCF">
        <w:rPr>
          <w:rFonts w:ascii="Verdana" w:eastAsiaTheme="minorEastAsia" w:hAnsi="Verdana" w:cs="Arial"/>
          <w:b/>
          <w:bCs/>
          <w:kern w:val="0"/>
          <w:lang w:eastAsia="es-ES"/>
          <w14:ligatures w14:val="none"/>
        </w:rPr>
        <w:tab/>
      </w:r>
      <w:r w:rsidRPr="00CA732E">
        <w:rPr>
          <w:rFonts w:ascii="Verdana" w:eastAsiaTheme="minorEastAsia" w:hAnsi="Verdana" w:cs="Arial"/>
          <w:kern w:val="0"/>
          <w:lang w:eastAsia="es-ES"/>
          <w14:ligatures w14:val="none"/>
        </w:rPr>
        <w:t xml:space="preserve">MINISTERIO DE EDUCACIÓN NACIONAL </w:t>
      </w:r>
    </w:p>
    <w:p w14:paraId="6F70F7E6" w14:textId="77777777" w:rsidR="00C84FDE" w:rsidRPr="00EC6FCF" w:rsidRDefault="00C84FDE" w:rsidP="00C84FDE">
      <w:pPr>
        <w:autoSpaceDE w:val="0"/>
        <w:autoSpaceDN w:val="0"/>
        <w:adjustRightInd w:val="0"/>
        <w:spacing w:after="0" w:line="240" w:lineRule="auto"/>
        <w:ind w:left="2832" w:hanging="2832"/>
        <w:jc w:val="both"/>
        <w:rPr>
          <w:rFonts w:ascii="Verdana" w:hAnsi="Verdana" w:cs="Arial"/>
          <w:b/>
          <w:bCs/>
          <w:color w:val="000000"/>
          <w:kern w:val="0"/>
          <w:lang w:val="es-ES_tradnl"/>
        </w:rPr>
      </w:pPr>
    </w:p>
    <w:p w14:paraId="06C0E8A1" w14:textId="77777777" w:rsidR="00A30EB6" w:rsidRPr="00EC6FCF" w:rsidRDefault="00A30EB6" w:rsidP="00C84FDE">
      <w:pPr>
        <w:autoSpaceDE w:val="0"/>
        <w:autoSpaceDN w:val="0"/>
        <w:adjustRightInd w:val="0"/>
        <w:spacing w:after="0" w:line="240" w:lineRule="auto"/>
        <w:ind w:left="2832" w:hanging="2832"/>
        <w:jc w:val="both"/>
        <w:rPr>
          <w:rFonts w:ascii="Verdana" w:hAnsi="Verdana" w:cs="Arial"/>
          <w:color w:val="000000"/>
          <w:kern w:val="0"/>
          <w:lang w:val="es-ES_tradnl"/>
        </w:rPr>
      </w:pPr>
    </w:p>
    <w:p w14:paraId="218B80AB" w14:textId="77777777" w:rsidR="00336A40" w:rsidRDefault="00336A40" w:rsidP="00C84FDE">
      <w:pPr>
        <w:autoSpaceDE w:val="0"/>
        <w:autoSpaceDN w:val="0"/>
        <w:adjustRightInd w:val="0"/>
        <w:spacing w:after="0" w:line="240" w:lineRule="auto"/>
        <w:ind w:left="2832" w:hanging="2832"/>
        <w:jc w:val="both"/>
        <w:rPr>
          <w:rFonts w:ascii="Verdana" w:hAnsi="Verdana" w:cs="Arial"/>
          <w:color w:val="000000"/>
          <w:kern w:val="0"/>
          <w:lang w:val="es-ES_tradnl"/>
        </w:rPr>
      </w:pPr>
    </w:p>
    <w:p w14:paraId="5BE31F0D" w14:textId="13DD0813" w:rsidR="00C84FDE" w:rsidRPr="00EC6FCF" w:rsidRDefault="00C84FDE" w:rsidP="00C84FDE">
      <w:pPr>
        <w:autoSpaceDE w:val="0"/>
        <w:autoSpaceDN w:val="0"/>
        <w:adjustRightInd w:val="0"/>
        <w:spacing w:after="0" w:line="240" w:lineRule="auto"/>
        <w:ind w:left="2832" w:hanging="2832"/>
        <w:jc w:val="both"/>
        <w:rPr>
          <w:rFonts w:ascii="Verdana" w:hAnsi="Verdana" w:cs="Arial"/>
          <w:color w:val="000000"/>
          <w:kern w:val="0"/>
          <w:lang w:val="es-ES_tradnl"/>
        </w:rPr>
      </w:pPr>
      <w:r w:rsidRPr="00EC6FCF">
        <w:rPr>
          <w:rFonts w:ascii="Verdana" w:hAnsi="Verdana" w:cs="Arial"/>
          <w:color w:val="000000"/>
          <w:kern w:val="0"/>
          <w:lang w:val="es-ES_tradnl"/>
        </w:rPr>
        <w:t xml:space="preserve">Cordial saludo, </w:t>
      </w:r>
    </w:p>
    <w:p w14:paraId="27F0EB5E" w14:textId="77777777" w:rsidR="00EE57EF" w:rsidRPr="00EC6FCF" w:rsidRDefault="00EE57EF" w:rsidP="00C84FDE">
      <w:pPr>
        <w:autoSpaceDE w:val="0"/>
        <w:autoSpaceDN w:val="0"/>
        <w:adjustRightInd w:val="0"/>
        <w:spacing w:after="0" w:line="240" w:lineRule="auto"/>
        <w:jc w:val="both"/>
        <w:rPr>
          <w:rFonts w:ascii="Verdana" w:hAnsi="Verdana" w:cs="Arial"/>
        </w:rPr>
      </w:pPr>
    </w:p>
    <w:p w14:paraId="1617D7F4" w14:textId="77B598B4" w:rsidR="00C84FDE" w:rsidRPr="00EC6FCF" w:rsidRDefault="00C84FDE" w:rsidP="00C84FDE">
      <w:pPr>
        <w:autoSpaceDE w:val="0"/>
        <w:autoSpaceDN w:val="0"/>
        <w:adjustRightInd w:val="0"/>
        <w:spacing w:after="0" w:line="240" w:lineRule="auto"/>
        <w:jc w:val="both"/>
        <w:rPr>
          <w:rFonts w:ascii="Verdana" w:hAnsi="Verdana" w:cs="Arial"/>
          <w:color w:val="000000"/>
        </w:rPr>
      </w:pPr>
      <w:r w:rsidRPr="00EC6FCF">
        <w:rPr>
          <w:rFonts w:ascii="Verdana" w:hAnsi="Verdana" w:cs="Arial"/>
        </w:rPr>
        <w:t xml:space="preserve">En atención al auto admisorio proferido el </w:t>
      </w:r>
      <w:r w:rsidR="004472DF" w:rsidRPr="00274010">
        <w:rPr>
          <w:rFonts w:ascii="Verdana" w:hAnsi="Verdana" w:cs="Arial"/>
          <w:highlight w:val="yellow"/>
        </w:rPr>
        <w:t>1</w:t>
      </w:r>
      <w:r w:rsidR="00936BB0" w:rsidRPr="00274010">
        <w:rPr>
          <w:rFonts w:ascii="Verdana" w:hAnsi="Verdana" w:cs="Arial"/>
          <w:highlight w:val="yellow"/>
        </w:rPr>
        <w:t>7</w:t>
      </w:r>
      <w:r w:rsidR="000D2C52" w:rsidRPr="00274010">
        <w:rPr>
          <w:rFonts w:ascii="Verdana" w:hAnsi="Verdana" w:cs="Arial"/>
          <w:highlight w:val="yellow"/>
        </w:rPr>
        <w:t xml:space="preserve"> </w:t>
      </w:r>
      <w:r w:rsidRPr="00274010">
        <w:rPr>
          <w:rFonts w:ascii="Verdana" w:hAnsi="Verdana" w:cs="Arial"/>
          <w:highlight w:val="yellow"/>
        </w:rPr>
        <w:t xml:space="preserve">de </w:t>
      </w:r>
      <w:r w:rsidR="00216832" w:rsidRPr="00274010">
        <w:rPr>
          <w:rFonts w:ascii="Verdana" w:hAnsi="Verdana" w:cs="Arial"/>
          <w:highlight w:val="yellow"/>
        </w:rPr>
        <w:t xml:space="preserve">septiembre </w:t>
      </w:r>
      <w:r w:rsidRPr="00274010">
        <w:rPr>
          <w:rFonts w:ascii="Verdana" w:hAnsi="Verdana" w:cs="Arial"/>
          <w:highlight w:val="yellow"/>
        </w:rPr>
        <w:t>de 2026</w:t>
      </w:r>
      <w:r w:rsidRPr="00EC6FCF">
        <w:rPr>
          <w:rFonts w:ascii="Verdana" w:hAnsi="Verdana" w:cs="Arial"/>
        </w:rPr>
        <w:t xml:space="preserve">, proveniente de su Despacho y allegado al Ministerio de Educación mediante correo electrónico, </w:t>
      </w:r>
      <w:r w:rsidR="00DE2F0D" w:rsidRPr="00DE2F0D">
        <w:rPr>
          <w:rFonts w:ascii="Verdana" w:hAnsi="Verdana" w:cs="Arial"/>
          <w:b/>
          <w:bCs/>
        </w:rPr>
        <w:t xml:space="preserve">DEICY TATIANA ROMERO GUIO, </w:t>
      </w:r>
      <w:r w:rsidR="00DE2F0D" w:rsidRPr="00DE2F0D">
        <w:rPr>
          <w:rFonts w:ascii="Verdana" w:hAnsi="Verdana" w:cs="Arial"/>
        </w:rPr>
        <w:t xml:space="preserve">mayor de edad, identificada con la Cédula de Ciudadanía número 1.049.603.149 portadora de la tarjeta profesional No. 191.016 del Consejo Superior de la Judicatura, representante judicial de la </w:t>
      </w:r>
      <w:r w:rsidR="00DE2F0D" w:rsidRPr="00DE2F0D">
        <w:rPr>
          <w:rFonts w:ascii="Verdana" w:hAnsi="Verdana" w:cs="Arial"/>
          <w:b/>
          <w:bCs/>
        </w:rPr>
        <w:t>Nación – Ministerio de Educación Nacional</w:t>
      </w:r>
      <w:r w:rsidR="00DE2F0D" w:rsidRPr="00DE2F0D">
        <w:rPr>
          <w:rFonts w:ascii="Verdana" w:hAnsi="Verdana" w:cs="Arial"/>
        </w:rPr>
        <w:t xml:space="preserve">, en mi calidad de </w:t>
      </w:r>
      <w:r w:rsidR="00DE2F0D" w:rsidRPr="00DE2F0D">
        <w:rPr>
          <w:rFonts w:ascii="Verdana" w:hAnsi="Verdana" w:cs="Arial"/>
          <w:b/>
          <w:bCs/>
        </w:rPr>
        <w:t>Jefe de la Oficina Asesora Jurídica</w:t>
      </w:r>
      <w:r w:rsidR="00DE2F0D" w:rsidRPr="00DE2F0D">
        <w:rPr>
          <w:rFonts w:ascii="Verdana" w:hAnsi="Verdana" w:cs="Arial"/>
        </w:rPr>
        <w:t>, otorgada mediante de la Resolución No. 023816 de 01 de septiembre de 2026, y de la delegación efectuada por medio de la Resolución No. 20980 de 10 de diciembre de 2014, expedida por el Ministro de Educación Nacional, en virtud del artículo 159 de la Ley 1437 de 2011</w:t>
      </w:r>
      <w:r w:rsidRPr="00EC6FCF">
        <w:rPr>
          <w:rFonts w:ascii="Verdana" w:hAnsi="Verdana" w:cs="Arial"/>
        </w:rPr>
        <w:t>, dentro de la oportunidad legal me permito dar contestación en los términos que a continuación se siguen:</w:t>
      </w:r>
    </w:p>
    <w:p w14:paraId="2BC46410" w14:textId="77777777" w:rsidR="00C84FDE" w:rsidRPr="00EC6FCF" w:rsidRDefault="00C84FDE" w:rsidP="00C84FDE">
      <w:pPr>
        <w:autoSpaceDE w:val="0"/>
        <w:autoSpaceDN w:val="0"/>
        <w:adjustRightInd w:val="0"/>
        <w:spacing w:line="252" w:lineRule="auto"/>
        <w:jc w:val="both"/>
        <w:rPr>
          <w:rFonts w:ascii="Verdana" w:hAnsi="Verdana" w:cs="Arial"/>
          <w:color w:val="000000"/>
        </w:rPr>
      </w:pPr>
    </w:p>
    <w:p w14:paraId="283F8B09" w14:textId="77777777" w:rsidR="00C84FDE" w:rsidRPr="00EC6FCF" w:rsidRDefault="00C84FDE" w:rsidP="00C84FDE">
      <w:pPr>
        <w:autoSpaceDE w:val="0"/>
        <w:autoSpaceDN w:val="0"/>
        <w:adjustRightInd w:val="0"/>
        <w:spacing w:line="240" w:lineRule="auto"/>
        <w:jc w:val="both"/>
        <w:rPr>
          <w:rFonts w:ascii="Verdana" w:hAnsi="Verdana" w:cs="Arial"/>
          <w:b/>
          <w:bCs/>
          <w:color w:val="000000"/>
        </w:rPr>
      </w:pPr>
      <w:r w:rsidRPr="00EC6FCF">
        <w:rPr>
          <w:rFonts w:ascii="Verdana" w:hAnsi="Verdana" w:cs="Arial"/>
          <w:b/>
          <w:bCs/>
          <w:color w:val="000000"/>
        </w:rPr>
        <w:t>SOBRE EL CÓMPUTO DEL TÉRMINO JUDICIAL PARA CONTESTAR LA ACCIÓN DE TUTELA</w:t>
      </w:r>
    </w:p>
    <w:p w14:paraId="28C5AE37" w14:textId="77777777" w:rsidR="00C84FDE" w:rsidRPr="00EC6FCF" w:rsidRDefault="00C84FDE" w:rsidP="00C84FDE">
      <w:pPr>
        <w:autoSpaceDE w:val="0"/>
        <w:autoSpaceDN w:val="0"/>
        <w:adjustRightInd w:val="0"/>
        <w:spacing w:line="240" w:lineRule="auto"/>
        <w:jc w:val="both"/>
        <w:rPr>
          <w:rFonts w:ascii="Verdana" w:hAnsi="Verdana" w:cs="Arial"/>
          <w:color w:val="000000"/>
        </w:rPr>
      </w:pPr>
      <w:r w:rsidRPr="00EC6FCF">
        <w:rPr>
          <w:rFonts w:ascii="Verdana" w:hAnsi="Verdana" w:cs="Arial"/>
          <w:color w:val="000000"/>
        </w:rPr>
        <w:t>La Sentencia SU-487 de 2025 unificó la jurisprudencia en relación con la notificación del auto admisorio de la acción de tutela y el término para que los vinculados den respuesta. En dicha providencia, la Corte Constitucional estableció que cuando la notificación de auto admisorio se realiza por medios electrónicos, el término para contestar no empieza a contarse el mismo día en que se envía el correo, sino a partir del día hábil siguiente a la confirmación de recepción del mensaje o, en su defecto, dos (2) días hábiles después del envío del correo electrónico, en caso de no constar acuse de recibo. Así, cuando no hay constancia de acuse de recibo del correo electrónico, el plazo para dar respuesta a la tutela se entiende ampliado en dos (2) días hábiles, contados a partir del segundo día posterior al envío. Esto evita que el término procesal se compute de forma que genere indefensión o imposibilidad material de ejercicio del derecho de contradicción, especialmente tratándose de entidades públicas.</w:t>
      </w:r>
    </w:p>
    <w:p w14:paraId="42B93492" w14:textId="5EAD8310" w:rsidR="00C84FDE" w:rsidRPr="00EC6FCF" w:rsidRDefault="00C84FDE" w:rsidP="00C84FDE">
      <w:pPr>
        <w:autoSpaceDE w:val="0"/>
        <w:autoSpaceDN w:val="0"/>
        <w:adjustRightInd w:val="0"/>
        <w:spacing w:line="240" w:lineRule="auto"/>
        <w:jc w:val="both"/>
        <w:rPr>
          <w:rFonts w:ascii="Verdana" w:hAnsi="Verdana" w:cs="Arial"/>
          <w:color w:val="000000"/>
        </w:rPr>
      </w:pPr>
      <w:r w:rsidRPr="00EC6FCF">
        <w:rPr>
          <w:rFonts w:ascii="Verdana" w:hAnsi="Verdana" w:cs="Arial"/>
          <w:color w:val="000000"/>
        </w:rPr>
        <w:t xml:space="preserve">Ahora bien, para el presente caso, se debe tener en cuenta que el despacho judicial envió por correo electrónico la notificación electrónica el día </w:t>
      </w:r>
      <w:r w:rsidR="000625F7" w:rsidRPr="004052F6">
        <w:rPr>
          <w:rFonts w:ascii="Verdana" w:hAnsi="Verdana" w:cs="Arial"/>
          <w:color w:val="000000"/>
          <w:highlight w:val="yellow"/>
        </w:rPr>
        <w:t>1</w:t>
      </w:r>
      <w:r w:rsidR="00936BB0" w:rsidRPr="004052F6">
        <w:rPr>
          <w:rFonts w:ascii="Verdana" w:hAnsi="Verdana" w:cs="Arial"/>
          <w:color w:val="000000"/>
          <w:highlight w:val="yellow"/>
        </w:rPr>
        <w:t>7</w:t>
      </w:r>
      <w:r w:rsidR="009106A7" w:rsidRPr="004052F6">
        <w:rPr>
          <w:rFonts w:ascii="Verdana" w:hAnsi="Verdana" w:cs="Arial"/>
          <w:color w:val="000000"/>
          <w:highlight w:val="yellow"/>
        </w:rPr>
        <w:t xml:space="preserve"> </w:t>
      </w:r>
      <w:r w:rsidRPr="004052F6">
        <w:rPr>
          <w:rFonts w:ascii="Verdana" w:hAnsi="Verdana" w:cs="Arial"/>
          <w:color w:val="000000"/>
          <w:highlight w:val="yellow"/>
        </w:rPr>
        <w:t xml:space="preserve">de </w:t>
      </w:r>
      <w:r w:rsidR="00216832" w:rsidRPr="004052F6">
        <w:rPr>
          <w:rFonts w:ascii="Verdana" w:hAnsi="Verdana" w:cs="Arial"/>
          <w:color w:val="000000"/>
          <w:highlight w:val="yellow"/>
        </w:rPr>
        <w:t xml:space="preserve">septiembre </w:t>
      </w:r>
      <w:r w:rsidRPr="004052F6">
        <w:rPr>
          <w:rFonts w:ascii="Verdana" w:hAnsi="Verdana" w:cs="Arial"/>
          <w:color w:val="000000"/>
          <w:highlight w:val="yellow"/>
        </w:rPr>
        <w:t>de 2026</w:t>
      </w:r>
      <w:r w:rsidRPr="00EC6FCF">
        <w:rPr>
          <w:rFonts w:ascii="Verdana" w:hAnsi="Verdana" w:cs="Arial"/>
          <w:color w:val="000000"/>
        </w:rPr>
        <w:t xml:space="preserve">, y que, teniendo en cuenta lo previsto en la Sentencia SU-487 de 2025, el Ministerio de Educación Nacional cuenta con </w:t>
      </w:r>
      <w:r w:rsidRPr="004052F6">
        <w:rPr>
          <w:rFonts w:ascii="Verdana" w:hAnsi="Verdana" w:cs="Arial"/>
          <w:color w:val="000000"/>
          <w:highlight w:val="yellow"/>
        </w:rPr>
        <w:t>dos (2) días</w:t>
      </w:r>
      <w:r w:rsidRPr="00EC6FCF">
        <w:rPr>
          <w:rFonts w:ascii="Verdana" w:hAnsi="Verdana" w:cs="Arial"/>
          <w:color w:val="000000"/>
        </w:rPr>
        <w:t xml:space="preserve"> adicionales para presentar la contestación de tutela. Esta previsión busca salvaguardar los derechos procesales y se alinea con lo dispuesto en el artículo 8 de la Ley 2213 de 2022, que regula las notificaciones personales realizadas por medios tecnológicos.</w:t>
      </w:r>
    </w:p>
    <w:p w14:paraId="56228E8B" w14:textId="77777777" w:rsidR="00C84FDE" w:rsidRPr="00EC6FCF" w:rsidRDefault="00C84FDE" w:rsidP="00C84FDE">
      <w:pPr>
        <w:autoSpaceDE w:val="0"/>
        <w:autoSpaceDN w:val="0"/>
        <w:adjustRightInd w:val="0"/>
        <w:spacing w:line="240" w:lineRule="auto"/>
        <w:jc w:val="both"/>
        <w:rPr>
          <w:rFonts w:ascii="Verdana" w:hAnsi="Verdana" w:cs="Arial"/>
          <w:color w:val="000000"/>
        </w:rPr>
      </w:pPr>
      <w:r w:rsidRPr="00EC6FCF">
        <w:rPr>
          <w:rFonts w:ascii="Verdana" w:hAnsi="Verdana" w:cs="Arial"/>
          <w:color w:val="000000"/>
        </w:rPr>
        <w:t>Por lo tanto, esta Cartera Ministerial se encuentra dentro del término legal para emitir el correspondiente pronunciamiento en los siguientes términos:</w:t>
      </w:r>
    </w:p>
    <w:p w14:paraId="06C34B9B" w14:textId="77777777" w:rsidR="00C84FDE" w:rsidRPr="00EC6FCF" w:rsidRDefault="00C84FDE" w:rsidP="00C84FDE">
      <w:pPr>
        <w:autoSpaceDE w:val="0"/>
        <w:autoSpaceDN w:val="0"/>
        <w:adjustRightInd w:val="0"/>
        <w:spacing w:line="252" w:lineRule="auto"/>
        <w:jc w:val="both"/>
        <w:rPr>
          <w:rFonts w:ascii="Verdana" w:hAnsi="Verdana" w:cs="Arial"/>
          <w:color w:val="000000"/>
        </w:rPr>
      </w:pPr>
    </w:p>
    <w:p w14:paraId="0D383C5F" w14:textId="6DEC5AEB" w:rsidR="00C84FDE" w:rsidRPr="00EC6FCF" w:rsidRDefault="00D37BD7">
      <w:pPr>
        <w:numPr>
          <w:ilvl w:val="11"/>
          <w:numId w:val="2"/>
        </w:numPr>
        <w:autoSpaceDE w:val="0"/>
        <w:autoSpaceDN w:val="0"/>
        <w:adjustRightInd w:val="0"/>
        <w:spacing w:line="252" w:lineRule="auto"/>
        <w:jc w:val="both"/>
        <w:rPr>
          <w:rFonts w:ascii="Verdana" w:hAnsi="Verdana" w:cs="Arial"/>
          <w:b/>
          <w:bCs/>
          <w:color w:val="000000"/>
          <w:u w:val="single"/>
        </w:rPr>
      </w:pPr>
      <w:r w:rsidRPr="00EC6FCF">
        <w:rPr>
          <w:rFonts w:ascii="Verdana" w:hAnsi="Verdana" w:cs="Arial"/>
          <w:b/>
          <w:bCs/>
          <w:color w:val="000000"/>
        </w:rPr>
        <w:t xml:space="preserve">      I.         ANTECEDENTES</w:t>
      </w:r>
    </w:p>
    <w:p w14:paraId="4170D1CB" w14:textId="650CFC03" w:rsidR="00C84FDE" w:rsidRPr="00EC6FCF" w:rsidRDefault="00C84FDE" w:rsidP="00C84FDE">
      <w:pPr>
        <w:autoSpaceDE w:val="0"/>
        <w:autoSpaceDN w:val="0"/>
        <w:adjustRightInd w:val="0"/>
        <w:spacing w:after="0" w:line="240" w:lineRule="auto"/>
        <w:jc w:val="both"/>
        <w:rPr>
          <w:rFonts w:ascii="Verdana" w:hAnsi="Verdana" w:cs="Arial"/>
          <w:kern w:val="0"/>
          <w:lang w:val="es-ES_tradnl"/>
        </w:rPr>
      </w:pPr>
      <w:r w:rsidRPr="004052F6">
        <w:rPr>
          <w:rFonts w:ascii="Verdana" w:hAnsi="Verdana" w:cs="Arial"/>
          <w:color w:val="000000"/>
          <w:kern w:val="0"/>
          <w:highlight w:val="yellow"/>
          <w:lang w:val="es-ES_tradnl"/>
        </w:rPr>
        <w:t>El</w:t>
      </w:r>
      <w:r w:rsidR="0051082B" w:rsidRPr="004052F6">
        <w:rPr>
          <w:rFonts w:ascii="Verdana" w:hAnsi="Verdana" w:cs="Arial"/>
          <w:color w:val="000000"/>
          <w:kern w:val="0"/>
          <w:highlight w:val="yellow"/>
          <w:lang w:val="es-ES_tradnl"/>
        </w:rPr>
        <w:t xml:space="preserve"> </w:t>
      </w:r>
      <w:r w:rsidR="000625F7" w:rsidRPr="004052F6">
        <w:rPr>
          <w:rFonts w:ascii="Verdana" w:hAnsi="Verdana" w:cs="Arial"/>
          <w:color w:val="000000"/>
          <w:kern w:val="0"/>
          <w:highlight w:val="yellow"/>
          <w:lang w:val="es-ES_tradnl"/>
        </w:rPr>
        <w:t>1</w:t>
      </w:r>
      <w:r w:rsidR="00936BB0" w:rsidRPr="004052F6">
        <w:rPr>
          <w:rFonts w:ascii="Verdana" w:hAnsi="Verdana" w:cs="Arial"/>
          <w:color w:val="000000"/>
          <w:kern w:val="0"/>
          <w:highlight w:val="yellow"/>
          <w:lang w:val="es-ES_tradnl"/>
        </w:rPr>
        <w:t>7</w:t>
      </w:r>
      <w:r w:rsidR="00686AD4" w:rsidRPr="004052F6">
        <w:rPr>
          <w:rFonts w:ascii="Verdana" w:hAnsi="Verdana" w:cs="Arial"/>
          <w:color w:val="000000"/>
          <w:kern w:val="0"/>
          <w:highlight w:val="yellow"/>
          <w:lang w:val="es-ES_tradnl"/>
        </w:rPr>
        <w:t xml:space="preserve"> </w:t>
      </w:r>
      <w:r w:rsidRPr="004052F6">
        <w:rPr>
          <w:rFonts w:ascii="Verdana" w:hAnsi="Verdana" w:cs="Arial"/>
          <w:color w:val="000000"/>
          <w:kern w:val="0"/>
          <w:highlight w:val="yellow"/>
          <w:lang w:val="es-ES_tradnl"/>
        </w:rPr>
        <w:t xml:space="preserve">de </w:t>
      </w:r>
      <w:r w:rsidR="00BC793E" w:rsidRPr="004052F6">
        <w:rPr>
          <w:rFonts w:ascii="Verdana" w:hAnsi="Verdana" w:cs="Arial"/>
          <w:color w:val="000000"/>
          <w:kern w:val="0"/>
          <w:highlight w:val="yellow"/>
          <w:lang w:val="es-ES_tradnl"/>
        </w:rPr>
        <w:t xml:space="preserve">septiembre </w:t>
      </w:r>
      <w:r w:rsidRPr="004052F6">
        <w:rPr>
          <w:rFonts w:ascii="Verdana" w:hAnsi="Verdana" w:cs="Arial"/>
          <w:color w:val="000000"/>
          <w:kern w:val="0"/>
          <w:highlight w:val="yellow"/>
          <w:lang w:val="es-ES_tradnl"/>
        </w:rPr>
        <w:t>de 2026</w:t>
      </w:r>
      <w:r w:rsidRPr="00EC6FCF">
        <w:rPr>
          <w:rFonts w:ascii="Verdana" w:hAnsi="Verdana" w:cs="Arial"/>
          <w:color w:val="000000"/>
          <w:kern w:val="0"/>
          <w:lang w:val="es-ES_tradnl"/>
        </w:rPr>
        <w:t xml:space="preserve"> fuimos notificados por parte del</w:t>
      </w:r>
      <w:r w:rsidRPr="00EC6FCF">
        <w:rPr>
          <w:rFonts w:ascii="Verdana" w:hAnsi="Verdana" w:cs="Arial"/>
          <w:color w:val="000000"/>
          <w:kern w:val="0"/>
          <w:lang w:val="es-ES"/>
        </w:rPr>
        <w:t xml:space="preserve"> </w:t>
      </w:r>
      <w:r w:rsidRPr="00EC6FCF">
        <w:rPr>
          <w:rFonts w:ascii="Verdana" w:hAnsi="Verdana" w:cs="Arial"/>
          <w:color w:val="000000"/>
          <w:kern w:val="0"/>
          <w:lang w:val="es-ES_tradnl"/>
        </w:rPr>
        <w:t xml:space="preserve">despacho judicial del auto que ordenó nuestra vinculación en la acción de tutela. </w:t>
      </w:r>
    </w:p>
    <w:p w14:paraId="202D24F3" w14:textId="77777777" w:rsidR="00C84FDE" w:rsidRPr="00EC6FCF" w:rsidRDefault="00C84FDE" w:rsidP="00C84FDE">
      <w:pPr>
        <w:autoSpaceDE w:val="0"/>
        <w:autoSpaceDN w:val="0"/>
        <w:adjustRightInd w:val="0"/>
        <w:spacing w:after="0" w:line="240" w:lineRule="auto"/>
        <w:jc w:val="both"/>
        <w:rPr>
          <w:rFonts w:ascii="Verdana" w:hAnsi="Verdana" w:cs="Arial"/>
          <w:b/>
          <w:bCs/>
          <w:color w:val="000000"/>
          <w:kern w:val="0"/>
          <w:lang w:val="es-ES_tradnl"/>
        </w:rPr>
      </w:pPr>
    </w:p>
    <w:p w14:paraId="7EEF4DB3" w14:textId="77777777" w:rsidR="00C84FDE" w:rsidRPr="00EC6FCF" w:rsidRDefault="00C84FDE" w:rsidP="00C84FDE">
      <w:pPr>
        <w:autoSpaceDE w:val="0"/>
        <w:autoSpaceDN w:val="0"/>
        <w:adjustRightInd w:val="0"/>
        <w:spacing w:line="252" w:lineRule="auto"/>
        <w:ind w:left="1080" w:hanging="720"/>
        <w:jc w:val="both"/>
        <w:rPr>
          <w:rFonts w:ascii="Verdana" w:hAnsi="Verdana" w:cs="Arial"/>
          <w:b/>
          <w:bCs/>
          <w:color w:val="000000"/>
          <w:lang w:val="es-ES"/>
        </w:rPr>
      </w:pPr>
      <w:r w:rsidRPr="00EC6FCF">
        <w:rPr>
          <w:rFonts w:ascii="Verdana" w:hAnsi="Verdana" w:cs="Arial"/>
          <w:b/>
          <w:bCs/>
          <w:color w:val="000000"/>
          <w:lang w:val="es-ES"/>
        </w:rPr>
        <w:t>II.</w:t>
      </w:r>
      <w:r w:rsidRPr="00EC6FCF">
        <w:rPr>
          <w:rFonts w:ascii="Verdana" w:hAnsi="Verdana" w:cs="Arial"/>
          <w:b/>
          <w:bCs/>
          <w:color w:val="000000"/>
          <w:lang w:val="es-ES"/>
        </w:rPr>
        <w:tab/>
        <w:t>PRETENSIÓN DE LA ACCIONANTE</w:t>
      </w:r>
    </w:p>
    <w:p w14:paraId="3D84BA8C" w14:textId="77777777" w:rsidR="00C84FDE" w:rsidRPr="00EC6FCF" w:rsidRDefault="00C84FDE" w:rsidP="00C84FDE">
      <w:pPr>
        <w:autoSpaceDE w:val="0"/>
        <w:autoSpaceDN w:val="0"/>
        <w:adjustRightInd w:val="0"/>
        <w:spacing w:line="252" w:lineRule="auto"/>
        <w:jc w:val="both"/>
        <w:rPr>
          <w:rFonts w:ascii="Verdana" w:hAnsi="Verdana" w:cs="Arial"/>
          <w:i/>
          <w:iCs/>
          <w:color w:val="000000"/>
        </w:rPr>
      </w:pPr>
      <w:r w:rsidRPr="00EC6FCF">
        <w:rPr>
          <w:rFonts w:ascii="Verdana" w:hAnsi="Verdana" w:cs="Arial"/>
          <w:color w:val="000000"/>
          <w:lang w:val="es-ES"/>
        </w:rPr>
        <w:t>La</w:t>
      </w:r>
      <w:r w:rsidRPr="00EC6FCF">
        <w:rPr>
          <w:rFonts w:ascii="Verdana" w:hAnsi="Verdana" w:cs="Arial"/>
          <w:color w:val="000000"/>
        </w:rPr>
        <w:t xml:space="preserve"> accionante solicitó que se le garantice la protección de sus derechos fundamentales, por lo que pretendió:</w:t>
      </w:r>
      <w:r w:rsidRPr="00EC6FCF">
        <w:rPr>
          <w:rFonts w:ascii="Verdana" w:hAnsi="Verdana" w:cs="Arial"/>
          <w:i/>
          <w:iCs/>
          <w:color w:val="000000"/>
        </w:rPr>
        <w:t xml:space="preserve"> </w:t>
      </w:r>
    </w:p>
    <w:p w14:paraId="611742FF" w14:textId="77777777" w:rsidR="00274010" w:rsidRPr="00E23F03" w:rsidRDefault="00A3406D" w:rsidP="00274010">
      <w:pPr>
        <w:autoSpaceDE w:val="0"/>
        <w:autoSpaceDN w:val="0"/>
        <w:adjustRightInd w:val="0"/>
        <w:spacing w:after="0" w:line="252" w:lineRule="auto"/>
        <w:ind w:left="708"/>
        <w:jc w:val="both"/>
        <w:rPr>
          <w:i/>
          <w:iCs/>
          <w:highlight w:val="yellow"/>
        </w:rPr>
      </w:pPr>
      <w:r w:rsidRPr="00E23F03">
        <w:rPr>
          <w:rFonts w:ascii="Verdana" w:hAnsi="Verdana" w:cs="Arial"/>
          <w:i/>
          <w:iCs/>
          <w:color w:val="000000"/>
          <w:sz w:val="20"/>
          <w:szCs w:val="20"/>
          <w:highlight w:val="yellow"/>
        </w:rPr>
        <w:lastRenderedPageBreak/>
        <w:t>“</w:t>
      </w:r>
      <w:r w:rsidR="00274010" w:rsidRPr="00E23F03">
        <w:rPr>
          <w:i/>
          <w:iCs/>
          <w:highlight w:val="yellow"/>
        </w:rPr>
        <w:t xml:space="preserve">PRIMERA. Amparar mis derechos fundamentales de petición, educación, debido proceso y trabajo, que considero vulnerados por la Universidad del Tolima. </w:t>
      </w:r>
    </w:p>
    <w:p w14:paraId="3B35E060" w14:textId="77777777" w:rsidR="00274010" w:rsidRPr="00E23F03" w:rsidRDefault="00274010" w:rsidP="00274010">
      <w:pPr>
        <w:autoSpaceDE w:val="0"/>
        <w:autoSpaceDN w:val="0"/>
        <w:adjustRightInd w:val="0"/>
        <w:spacing w:after="0" w:line="252" w:lineRule="auto"/>
        <w:ind w:left="708"/>
        <w:jc w:val="both"/>
        <w:rPr>
          <w:i/>
          <w:iCs/>
          <w:highlight w:val="yellow"/>
        </w:rPr>
      </w:pPr>
      <w:r w:rsidRPr="00E23F03">
        <w:rPr>
          <w:i/>
          <w:iCs/>
          <w:highlight w:val="yellow"/>
        </w:rPr>
        <w:t xml:space="preserve">SEGUNDA. Ordenar a la Universidad del Tolima que, dentro del término que determine el despacho judicial, emita una respuesta clara, completa, de fondo y debidamente sustentada al derecho de petición presentado el 24 de agosto de 2026. </w:t>
      </w:r>
    </w:p>
    <w:p w14:paraId="5F912D75" w14:textId="77777777" w:rsidR="00274010" w:rsidRPr="00E23F03" w:rsidRDefault="00274010" w:rsidP="00274010">
      <w:pPr>
        <w:autoSpaceDE w:val="0"/>
        <w:autoSpaceDN w:val="0"/>
        <w:adjustRightInd w:val="0"/>
        <w:spacing w:after="0" w:line="252" w:lineRule="auto"/>
        <w:ind w:left="708"/>
        <w:jc w:val="both"/>
        <w:rPr>
          <w:i/>
          <w:iCs/>
          <w:highlight w:val="yellow"/>
        </w:rPr>
      </w:pPr>
      <w:r w:rsidRPr="00E23F03">
        <w:rPr>
          <w:i/>
          <w:iCs/>
          <w:highlight w:val="yellow"/>
        </w:rPr>
        <w:t xml:space="preserve">TERCERA. Ordenar a la Universidad que revise de manera integral mi situación académica y administrativa y determine si existe realmente algún requisito o pago pendiente que legal y reglamentariamente me impida acceder al grado. </w:t>
      </w:r>
    </w:p>
    <w:p w14:paraId="43B3BBD2" w14:textId="77777777" w:rsidR="00274010" w:rsidRPr="00E23F03" w:rsidRDefault="00274010" w:rsidP="00274010">
      <w:pPr>
        <w:autoSpaceDE w:val="0"/>
        <w:autoSpaceDN w:val="0"/>
        <w:adjustRightInd w:val="0"/>
        <w:spacing w:after="0" w:line="252" w:lineRule="auto"/>
        <w:ind w:left="708"/>
        <w:jc w:val="both"/>
        <w:rPr>
          <w:i/>
          <w:iCs/>
          <w:highlight w:val="yellow"/>
        </w:rPr>
      </w:pPr>
      <w:r w:rsidRPr="00E23F03">
        <w:rPr>
          <w:i/>
          <w:iCs/>
          <w:highlight w:val="yellow"/>
        </w:rPr>
        <w:t xml:space="preserve">CUARTA. En caso de existir un cobro adicional, ordenar que la Universidad explique de manera clara su fundamento, concepto, reglamento o disposición que lo establece, la fecha en que fue informado a los estudiantes y las razones por las cuales no se me comunicó oportunamente antes de realizar el pago de los derechos de grado. </w:t>
      </w:r>
    </w:p>
    <w:p w14:paraId="6AC114F6" w14:textId="77777777" w:rsidR="00274010" w:rsidRPr="00E23F03" w:rsidRDefault="00274010" w:rsidP="00274010">
      <w:pPr>
        <w:autoSpaceDE w:val="0"/>
        <w:autoSpaceDN w:val="0"/>
        <w:adjustRightInd w:val="0"/>
        <w:spacing w:after="0" w:line="252" w:lineRule="auto"/>
        <w:ind w:left="708"/>
        <w:jc w:val="both"/>
        <w:rPr>
          <w:i/>
          <w:iCs/>
          <w:highlight w:val="yellow"/>
        </w:rPr>
      </w:pPr>
      <w:r w:rsidRPr="00E23F03">
        <w:rPr>
          <w:i/>
          <w:iCs/>
          <w:highlight w:val="yellow"/>
        </w:rPr>
        <w:t xml:space="preserve">QUINTA. Solicito que, si el despacho encuentra que la exigencia del nuevo pago o la actuación de la Universidad vulnera mis derechos fundamentales, se ordene a la institución adoptar las medidas necesarias para garantizar la continuidad y culminación de mi proceso de grado, evitando que se me impida injustificadamente participar en la ceremonia correspondiente. </w:t>
      </w:r>
    </w:p>
    <w:p w14:paraId="6E7A845A" w14:textId="2B931969" w:rsidR="006406C5" w:rsidRPr="00274010" w:rsidRDefault="00274010" w:rsidP="00E23F03">
      <w:pPr>
        <w:autoSpaceDE w:val="0"/>
        <w:autoSpaceDN w:val="0"/>
        <w:adjustRightInd w:val="0"/>
        <w:spacing w:after="0" w:line="252" w:lineRule="auto"/>
        <w:ind w:left="708"/>
        <w:jc w:val="both"/>
        <w:rPr>
          <w:rFonts w:ascii="Verdana" w:hAnsi="Verdana" w:cs="Arial"/>
          <w:i/>
          <w:iCs/>
          <w:color w:val="000000"/>
          <w:sz w:val="20"/>
          <w:szCs w:val="20"/>
        </w:rPr>
      </w:pPr>
      <w:r w:rsidRPr="00E23F03">
        <w:rPr>
          <w:i/>
          <w:iCs/>
          <w:highlight w:val="yellow"/>
        </w:rPr>
        <w:t>SEXTA. Solicito que se tenga en cuenta que ya realicé pagos por concepto de seminario ($1.745.000) y derechos de grado ($833.200), y que antes de efectuar dichos pagos no recibí información clara y oportuna sobre la existencia del nuevo cobro que ahora se me exige. SÉPTIMA. Solicito que se adopte una medida que permita evitar que la demora administrativa y la falta de respuesta de la Universidad ocasionen la pérdida de mi oportunidad de graduarme en el año 2026, teniendo en cuenta que la situación fue comunicada cuando ya se encontraba próximo el periodo previsto para la ceremonia de grado</w:t>
      </w:r>
      <w:r w:rsidR="00585944" w:rsidRPr="00E23F03">
        <w:rPr>
          <w:rFonts w:ascii="Verdana" w:hAnsi="Verdana" w:cs="Arial"/>
          <w:color w:val="000000"/>
          <w:sz w:val="20"/>
          <w:szCs w:val="20"/>
          <w:highlight w:val="yellow"/>
        </w:rPr>
        <w:t>.</w:t>
      </w:r>
      <w:r w:rsidR="00134DA9" w:rsidRPr="00E23F03">
        <w:rPr>
          <w:rFonts w:ascii="Verdana" w:hAnsi="Verdana" w:cs="Arial"/>
          <w:color w:val="000000"/>
          <w:sz w:val="20"/>
          <w:szCs w:val="20"/>
          <w:highlight w:val="yellow"/>
        </w:rPr>
        <w:t>”</w:t>
      </w:r>
    </w:p>
    <w:p w14:paraId="357AAF96" w14:textId="77777777" w:rsidR="00954A02" w:rsidRPr="00EC6FCF" w:rsidRDefault="00954A02" w:rsidP="00954A02">
      <w:pPr>
        <w:autoSpaceDE w:val="0"/>
        <w:autoSpaceDN w:val="0"/>
        <w:adjustRightInd w:val="0"/>
        <w:spacing w:after="0" w:line="252" w:lineRule="auto"/>
        <w:jc w:val="both"/>
        <w:rPr>
          <w:rFonts w:ascii="Verdana" w:hAnsi="Verdana" w:cs="Arial"/>
          <w:b/>
          <w:bCs/>
          <w:i/>
          <w:iCs/>
          <w:color w:val="000000"/>
          <w:sz w:val="20"/>
          <w:szCs w:val="20"/>
        </w:rPr>
      </w:pPr>
    </w:p>
    <w:p w14:paraId="749A3326" w14:textId="5ED59A87" w:rsidR="00954A02" w:rsidRDefault="003A4C15" w:rsidP="00954A02">
      <w:pPr>
        <w:numPr>
          <w:ilvl w:val="0"/>
          <w:numId w:val="10"/>
        </w:numPr>
        <w:autoSpaceDE w:val="0"/>
        <w:autoSpaceDN w:val="0"/>
        <w:adjustRightInd w:val="0"/>
        <w:spacing w:after="0" w:line="252" w:lineRule="auto"/>
        <w:jc w:val="both"/>
        <w:rPr>
          <w:rFonts w:ascii="Verdana" w:hAnsi="Verdana" w:cs="Arial"/>
          <w:b/>
          <w:bCs/>
          <w:color w:val="000000"/>
          <w:sz w:val="20"/>
          <w:szCs w:val="20"/>
        </w:rPr>
      </w:pPr>
      <w:r>
        <w:rPr>
          <w:rFonts w:ascii="Verdana" w:hAnsi="Verdana" w:cs="Arial"/>
          <w:b/>
          <w:bCs/>
          <w:color w:val="000000"/>
          <w:sz w:val="20"/>
          <w:szCs w:val="20"/>
        </w:rPr>
        <w:t>DE LOS DERECHOS DE PETICIÓN RADICADOS ANTE EL MINISTERIO DE EDUCACIÓN NACIONAL</w:t>
      </w:r>
    </w:p>
    <w:p w14:paraId="70479E9A" w14:textId="77777777" w:rsidR="003A4C15" w:rsidRDefault="003A4C15" w:rsidP="003A4C15">
      <w:pPr>
        <w:autoSpaceDE w:val="0"/>
        <w:autoSpaceDN w:val="0"/>
        <w:adjustRightInd w:val="0"/>
        <w:spacing w:after="0" w:line="252" w:lineRule="auto"/>
        <w:jc w:val="both"/>
        <w:rPr>
          <w:rFonts w:ascii="Verdana" w:hAnsi="Verdana" w:cs="Arial"/>
          <w:b/>
          <w:bCs/>
          <w:color w:val="000000"/>
          <w:sz w:val="20"/>
          <w:szCs w:val="20"/>
        </w:rPr>
      </w:pPr>
    </w:p>
    <w:p w14:paraId="5AA91F3B"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Arial"/>
          <w:color w:val="000000"/>
          <w:sz w:val="20"/>
          <w:szCs w:val="20"/>
        </w:rPr>
        <w:t>En nuestro sistema de gestión documental se realizó una búsqueda, con la intensión de conocer si el accionante o su apoderada había radicado solicitud alguna ante nuestra entidad, a lo que arrojo la búsqueda negativa, por ello podemos comenzar afirmando que en ningún momento hemos violado el Derecho de Petición del accionante. Manifestamos al Despacho la imposibilidad de responder una petición la cual no ha sido radicada en nuestros canales oficiales, los cuales son virtuales y presenciales. </w:t>
      </w:r>
    </w:p>
    <w:p w14:paraId="251FFFF7"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Arial"/>
          <w:color w:val="000000"/>
          <w:sz w:val="20"/>
          <w:szCs w:val="20"/>
        </w:rPr>
        <w:t> </w:t>
      </w:r>
    </w:p>
    <w:p w14:paraId="57AB5EED" w14:textId="6C23F1EC"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Arial"/>
          <w:color w:val="000000"/>
          <w:sz w:val="20"/>
          <w:szCs w:val="20"/>
        </w:rPr>
        <w:t xml:space="preserve">Los virtuales pueden ser radicados en nuestra web (atencionalciudadano@mineducacion.gov.co), la cual de manera instantánea emitirá un radicado interno iniciado con el No. </w:t>
      </w:r>
      <w:r w:rsidRPr="00E56F6F">
        <w:rPr>
          <w:rFonts w:ascii="Verdana" w:hAnsi="Verdana" w:cs="Arial"/>
          <w:color w:val="000000"/>
          <w:sz w:val="20"/>
          <w:szCs w:val="20"/>
        </w:rPr>
        <w:t>2026-ER-….,</w:t>
      </w:r>
      <w:r w:rsidRPr="00EC6FCF">
        <w:rPr>
          <w:rFonts w:ascii="Verdana" w:hAnsi="Verdana" w:cs="Arial"/>
          <w:color w:val="000000"/>
          <w:sz w:val="20"/>
          <w:szCs w:val="20"/>
        </w:rPr>
        <w:t>  </w:t>
      </w:r>
    </w:p>
    <w:p w14:paraId="64658CC7"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Arial"/>
          <w:color w:val="000000"/>
          <w:sz w:val="20"/>
          <w:szCs w:val="20"/>
        </w:rPr>
        <w:t> </w:t>
      </w:r>
    </w:p>
    <w:p w14:paraId="26D6909A"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Arial"/>
          <w:color w:val="000000"/>
          <w:sz w:val="20"/>
          <w:szCs w:val="20"/>
        </w:rPr>
        <w:t>De manera física y/o presencial, en la dirección: Calle 43 No. 57 - 14. CAN. Bogotá.  </w:t>
      </w:r>
    </w:p>
    <w:p w14:paraId="1076236A"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Arial"/>
          <w:color w:val="000000"/>
          <w:sz w:val="20"/>
          <w:szCs w:val="20"/>
        </w:rPr>
        <w:t> </w:t>
      </w:r>
    </w:p>
    <w:p w14:paraId="1F394737" w14:textId="063246E0" w:rsidR="00954A02" w:rsidRPr="00EC6FCF" w:rsidRDefault="00954A02" w:rsidP="00B10186">
      <w:pPr>
        <w:widowControl w:val="0"/>
        <w:autoSpaceDE w:val="0"/>
        <w:autoSpaceDN w:val="0"/>
        <w:adjustRightInd w:val="0"/>
        <w:spacing w:after="0" w:line="240" w:lineRule="auto"/>
        <w:jc w:val="both"/>
        <w:rPr>
          <w:rFonts w:ascii="Verdana" w:hAnsi="Verdana" w:cs="Arial"/>
          <w:color w:val="000000"/>
          <w:sz w:val="20"/>
          <w:szCs w:val="20"/>
        </w:rPr>
      </w:pPr>
      <w:r w:rsidRPr="00EC6FCF">
        <w:rPr>
          <w:rFonts w:ascii="Verdana" w:hAnsi="Verdana" w:cs="Arial"/>
          <w:color w:val="000000"/>
          <w:sz w:val="20"/>
          <w:szCs w:val="20"/>
        </w:rPr>
        <w:t xml:space="preserve">Como se logra evidenciar en el escrito de tutela y sus anexos, la petición que nos ordenan responder no ha sido radicada en nuestra Entidad, por el contrario, manifiesta el accionante haberlo radicado ante </w:t>
      </w:r>
      <w:r w:rsidR="00836853" w:rsidRPr="00EC6FCF">
        <w:rPr>
          <w:rFonts w:ascii="Verdana" w:hAnsi="Verdana" w:cs="Arial"/>
          <w:color w:val="000000"/>
          <w:sz w:val="20"/>
          <w:szCs w:val="20"/>
        </w:rPr>
        <w:t>la</w:t>
      </w:r>
      <w:r w:rsidR="003246F0" w:rsidRPr="003246F0">
        <w:rPr>
          <w:rFonts w:ascii="Verdana" w:eastAsiaTheme="minorEastAsia" w:hAnsi="Verdana" w:cs="Arial"/>
          <w:kern w:val="0"/>
          <w:lang w:eastAsia="es-ES"/>
          <w14:ligatures w14:val="none"/>
        </w:rPr>
        <w:t xml:space="preserve"> </w:t>
      </w:r>
      <w:r w:rsidR="008C2426" w:rsidRPr="004052F6">
        <w:rPr>
          <w:rFonts w:ascii="Verdana" w:eastAsiaTheme="minorEastAsia" w:hAnsi="Verdana" w:cs="Arial"/>
          <w:kern w:val="0"/>
          <w:highlight w:val="yellow"/>
          <w:lang w:eastAsia="es-ES"/>
          <w14:ligatures w14:val="none"/>
        </w:rPr>
        <w:t>FUNDACIÓN DE EDUCACIÓN SUPERIOR SAN JOSÉ</w:t>
      </w:r>
      <w:r w:rsidRPr="00EC6FCF">
        <w:rPr>
          <w:rFonts w:ascii="Verdana" w:hAnsi="Verdana" w:cs="Arial"/>
          <w:color w:val="000000"/>
          <w:sz w:val="20"/>
          <w:szCs w:val="20"/>
        </w:rPr>
        <w:t>, entidad diferente a esta Cartera Ministerial. </w:t>
      </w:r>
    </w:p>
    <w:p w14:paraId="22CFDA86" w14:textId="6D347252" w:rsidR="00020FE8" w:rsidRPr="00EC6FCF" w:rsidRDefault="00020FE8" w:rsidP="00954A02">
      <w:pPr>
        <w:autoSpaceDE w:val="0"/>
        <w:autoSpaceDN w:val="0"/>
        <w:adjustRightInd w:val="0"/>
        <w:spacing w:after="0" w:line="252" w:lineRule="auto"/>
        <w:jc w:val="both"/>
        <w:rPr>
          <w:rFonts w:ascii="Verdana" w:hAnsi="Verdana" w:cs="Arial"/>
          <w:i/>
          <w:iCs/>
          <w:color w:val="000000"/>
          <w:sz w:val="20"/>
          <w:szCs w:val="20"/>
        </w:rPr>
      </w:pPr>
    </w:p>
    <w:p w14:paraId="6280E4DD" w14:textId="77777777" w:rsidR="00A26EF0" w:rsidRPr="00EC6FCF" w:rsidRDefault="00A26EF0" w:rsidP="00A26EF0">
      <w:pPr>
        <w:autoSpaceDE w:val="0"/>
        <w:autoSpaceDN w:val="0"/>
        <w:adjustRightInd w:val="0"/>
        <w:spacing w:after="0" w:line="252" w:lineRule="auto"/>
        <w:ind w:left="708"/>
        <w:jc w:val="both"/>
        <w:rPr>
          <w:rFonts w:ascii="Verdana" w:hAnsi="Verdana" w:cs="Arial"/>
          <w:i/>
          <w:iCs/>
          <w:color w:val="000000"/>
          <w:sz w:val="20"/>
          <w:szCs w:val="20"/>
        </w:rPr>
      </w:pPr>
    </w:p>
    <w:p w14:paraId="23CA99B3" w14:textId="7F63773F" w:rsidR="0064575A" w:rsidRDefault="00C84FDE" w:rsidP="00954A02">
      <w:pPr>
        <w:autoSpaceDE w:val="0"/>
        <w:autoSpaceDN w:val="0"/>
        <w:adjustRightInd w:val="0"/>
        <w:spacing w:line="252" w:lineRule="auto"/>
        <w:ind w:left="708"/>
        <w:jc w:val="both"/>
        <w:rPr>
          <w:rFonts w:ascii="Verdana" w:hAnsi="Verdana" w:cs="Arial"/>
          <w:b/>
          <w:bCs/>
          <w:kern w:val="0"/>
        </w:rPr>
      </w:pPr>
      <w:r w:rsidRPr="007E73B0">
        <w:rPr>
          <w:rFonts w:ascii="Verdana" w:hAnsi="Verdana" w:cs="Arial"/>
          <w:b/>
          <w:bCs/>
        </w:rPr>
        <w:t>III.</w:t>
      </w:r>
      <w:r w:rsidRPr="007E73B0">
        <w:rPr>
          <w:rFonts w:ascii="Verdana" w:hAnsi="Verdana" w:cs="Arial"/>
          <w:b/>
          <w:bCs/>
        </w:rPr>
        <w:tab/>
      </w:r>
      <w:r w:rsidR="00AE5D88" w:rsidRPr="007E73B0">
        <w:rPr>
          <w:rFonts w:ascii="Verdana" w:hAnsi="Verdana" w:cs="Arial"/>
          <w:b/>
          <w:bCs/>
          <w:kern w:val="0"/>
        </w:rPr>
        <w:t>SOBRE LOS HECHOS</w:t>
      </w:r>
    </w:p>
    <w:p w14:paraId="656CAF49" w14:textId="2F51C540" w:rsidR="00974A04" w:rsidRPr="007E73B0" w:rsidRDefault="00B10186" w:rsidP="00974A04">
      <w:pPr>
        <w:autoSpaceDE w:val="0"/>
        <w:autoSpaceDN w:val="0"/>
        <w:adjustRightInd w:val="0"/>
        <w:spacing w:line="252" w:lineRule="auto"/>
        <w:jc w:val="both"/>
        <w:rPr>
          <w:rFonts w:ascii="Verdana" w:hAnsi="Verdana" w:cs="Arial"/>
          <w:kern w:val="0"/>
        </w:rPr>
      </w:pPr>
      <w:r>
        <w:rPr>
          <w:rFonts w:ascii="Verdana" w:hAnsi="Verdana" w:cs="Arial"/>
          <w:kern w:val="0"/>
        </w:rPr>
        <w:t>E</w:t>
      </w:r>
      <w:r w:rsidR="00974A04" w:rsidRPr="007E73B0">
        <w:rPr>
          <w:rFonts w:ascii="Verdana" w:hAnsi="Verdana" w:cs="Arial"/>
          <w:kern w:val="0"/>
        </w:rPr>
        <w:t>l Ministerio de Educación es ajeno a los hechos que suscitan la presente acción de tutela, pues lo relatado en ella recae sobre el ámbito de competencia de la institución de educación superior-en adelante IES-, en virtud del principio de autonomía universitaria. </w:t>
      </w:r>
    </w:p>
    <w:p w14:paraId="59CFE707" w14:textId="4BC2F50C" w:rsidR="00AE5D88" w:rsidRPr="007E73B0" w:rsidRDefault="00974A04" w:rsidP="00974A04">
      <w:pPr>
        <w:autoSpaceDE w:val="0"/>
        <w:autoSpaceDN w:val="0"/>
        <w:adjustRightInd w:val="0"/>
        <w:spacing w:line="252" w:lineRule="auto"/>
        <w:jc w:val="both"/>
        <w:rPr>
          <w:rFonts w:ascii="Verdana" w:eastAsia="Arial" w:hAnsi="Verdana" w:cs="Arial"/>
        </w:rPr>
      </w:pPr>
      <w:r w:rsidRPr="007E73B0">
        <w:rPr>
          <w:rFonts w:ascii="Verdana" w:eastAsia="Arial" w:hAnsi="Verdana" w:cs="Arial"/>
        </w:rPr>
        <w:t>Al respecto</w:t>
      </w:r>
      <w:r w:rsidR="00AE5D88" w:rsidRPr="007E73B0">
        <w:rPr>
          <w:rFonts w:ascii="Verdana" w:eastAsia="Arial" w:hAnsi="Verdana" w:cs="Arial"/>
        </w:rPr>
        <w:t>, se solicita la declaración de falta de legitimación por pasiva en razón a lo siguiente:</w:t>
      </w:r>
    </w:p>
    <w:p w14:paraId="17DEDDAC" w14:textId="77777777" w:rsidR="00AE5D88" w:rsidRPr="007E73B0" w:rsidRDefault="00AE5D88" w:rsidP="00AE5D88">
      <w:pPr>
        <w:pStyle w:val="Prrafodelista"/>
        <w:numPr>
          <w:ilvl w:val="0"/>
          <w:numId w:val="1"/>
        </w:numPr>
        <w:spacing w:line="259" w:lineRule="auto"/>
        <w:jc w:val="both"/>
        <w:rPr>
          <w:rFonts w:ascii="Verdana" w:eastAsia="Arial" w:hAnsi="Verdana" w:cs="Arial"/>
          <w:sz w:val="22"/>
          <w:szCs w:val="22"/>
        </w:rPr>
      </w:pPr>
      <w:r w:rsidRPr="007E73B0">
        <w:rPr>
          <w:rFonts w:ascii="Verdana" w:eastAsia="Arial" w:hAnsi="Verdana" w:cs="Arial"/>
          <w:sz w:val="22"/>
          <w:szCs w:val="22"/>
        </w:rPr>
        <w:t xml:space="preserve">Este Ministerio no ha incurrido en violación alguna de los derechos fundamentales invocados por la accionante toda vez que no es función de esta cartera la expedición de documentos relacionados la historial </w:t>
      </w:r>
      <w:r w:rsidRPr="007E73B0">
        <w:rPr>
          <w:rFonts w:ascii="Verdana" w:eastAsia="Arial" w:hAnsi="Verdana" w:cs="Arial"/>
          <w:sz w:val="22"/>
          <w:szCs w:val="22"/>
        </w:rPr>
        <w:lastRenderedPageBreak/>
        <w:t>académico, gestiones para adelantar procesos de grado, homologación de materias, validación de notas y/o procesos disciplinarios de las instituciones de educación superior.</w:t>
      </w:r>
    </w:p>
    <w:p w14:paraId="5BEAD910" w14:textId="77777777" w:rsidR="00AE5D88" w:rsidRPr="007E73B0" w:rsidRDefault="00AE5D88" w:rsidP="00AE5D88">
      <w:pPr>
        <w:pStyle w:val="Prrafodelista"/>
        <w:jc w:val="both"/>
        <w:rPr>
          <w:rFonts w:ascii="Verdana" w:eastAsia="Arial" w:hAnsi="Verdana" w:cs="Arial"/>
          <w:sz w:val="22"/>
          <w:szCs w:val="22"/>
        </w:rPr>
      </w:pPr>
    </w:p>
    <w:p w14:paraId="5B9622E3" w14:textId="77777777" w:rsidR="00AE5D88" w:rsidRPr="007E73B0" w:rsidRDefault="00AE5D88" w:rsidP="00AE5D88">
      <w:pPr>
        <w:pStyle w:val="Prrafodelista"/>
        <w:numPr>
          <w:ilvl w:val="0"/>
          <w:numId w:val="1"/>
        </w:numPr>
        <w:spacing w:line="259" w:lineRule="auto"/>
        <w:jc w:val="both"/>
        <w:rPr>
          <w:rFonts w:ascii="Verdana" w:eastAsia="Arial" w:hAnsi="Verdana" w:cs="Arial"/>
          <w:sz w:val="22"/>
          <w:szCs w:val="22"/>
        </w:rPr>
      </w:pPr>
      <w:r w:rsidRPr="007E73B0">
        <w:rPr>
          <w:rFonts w:ascii="Verdana" w:eastAsia="Arial" w:hAnsi="Verdana" w:cs="Arial"/>
          <w:sz w:val="22"/>
          <w:szCs w:val="22"/>
        </w:rPr>
        <w:t>Por otro lado, este Ministerio no tiene la competencia legal o reglamentaria para pronunciarse sobre la polémica suscitada entre la institución y el accionante.</w:t>
      </w:r>
    </w:p>
    <w:p w14:paraId="29C543C5" w14:textId="77777777" w:rsidR="00AE5D88" w:rsidRPr="007E73B0" w:rsidRDefault="00AE5D88" w:rsidP="00AE5D88">
      <w:pPr>
        <w:jc w:val="both"/>
        <w:rPr>
          <w:rFonts w:ascii="Verdana" w:eastAsia="Arial" w:hAnsi="Verdana" w:cs="Arial"/>
        </w:rPr>
      </w:pPr>
      <w:r w:rsidRPr="007E73B0">
        <w:rPr>
          <w:rFonts w:ascii="Verdana" w:eastAsia="Arial" w:hAnsi="Verdana" w:cs="Arial"/>
        </w:rPr>
        <w:t>Por lo anterior solicitamos se declararse la condición arriba reseñada toda vez que no se ha incurrido en vulneración alguna a los derechos fundamentales por acción u omisión de alguna de las normas que rigen la educación superior.</w:t>
      </w:r>
    </w:p>
    <w:p w14:paraId="0FC5A639" w14:textId="77777777" w:rsidR="00AE5D88" w:rsidRDefault="00AE5D88" w:rsidP="00AE5D88">
      <w:pPr>
        <w:jc w:val="both"/>
        <w:rPr>
          <w:rFonts w:ascii="Verdana" w:eastAsia="Arial" w:hAnsi="Verdana" w:cs="Arial"/>
        </w:rPr>
      </w:pPr>
      <w:r w:rsidRPr="007E73B0">
        <w:rPr>
          <w:rFonts w:ascii="Verdana" w:eastAsia="Arial" w:hAnsi="Verdana" w:cs="Arial"/>
        </w:rPr>
        <w:t xml:space="preserve">Es preciso indicarle que, la competencia del Ministerio de Educación Nacional en materia de inspección y vigilancia se circunscribe a la verificación del cumplimiento efectivo de las normas de educación superior por parte de las instituciones de este nivel formativo y de sus directivos. Así como, el cumplimiento de sus disposiciones estatutarias y reglamentarias internas y en tal sentido no está facultada para interferir en las </w:t>
      </w:r>
      <w:r w:rsidRPr="007E73B0">
        <w:rPr>
          <w:rFonts w:ascii="Verdana" w:eastAsia="Arial" w:hAnsi="Verdana" w:cs="Arial"/>
          <w:b/>
          <w:bCs/>
        </w:rPr>
        <w:t>decisiones administrativas, financieras y académicas que deba adoptar la institución</w:t>
      </w:r>
      <w:r w:rsidRPr="007E73B0">
        <w:rPr>
          <w:rFonts w:ascii="Verdana" w:eastAsia="Arial" w:hAnsi="Verdana" w:cs="Arial"/>
        </w:rPr>
        <w:t>, en virtud de la autonomía universitaria anteriormente referida.</w:t>
      </w:r>
    </w:p>
    <w:p w14:paraId="2126696F" w14:textId="77777777" w:rsidR="005276CA" w:rsidRPr="00EC6FCF" w:rsidRDefault="005276CA" w:rsidP="005276CA">
      <w:pPr>
        <w:pStyle w:val="Prrafodelista"/>
        <w:numPr>
          <w:ilvl w:val="0"/>
          <w:numId w:val="9"/>
        </w:numPr>
        <w:pBdr>
          <w:top w:val="nil"/>
          <w:left w:val="nil"/>
          <w:bottom w:val="nil"/>
          <w:right w:val="nil"/>
          <w:between w:val="nil"/>
        </w:pBdr>
        <w:spacing w:after="0" w:line="240" w:lineRule="auto"/>
        <w:jc w:val="both"/>
        <w:rPr>
          <w:rFonts w:ascii="Verdana" w:eastAsia="Arial" w:hAnsi="Verdana" w:cs="Arial"/>
          <w:b/>
          <w:sz w:val="22"/>
          <w:szCs w:val="22"/>
        </w:rPr>
      </w:pPr>
      <w:r w:rsidRPr="00EC6FCF">
        <w:rPr>
          <w:rFonts w:ascii="Verdana" w:eastAsia="Arial" w:hAnsi="Verdana" w:cs="Arial"/>
          <w:b/>
          <w:sz w:val="22"/>
          <w:szCs w:val="22"/>
        </w:rPr>
        <w:t xml:space="preserve">ICETEX- ENTIDAD CON INDEPENDENCIA ADMINISTRATIVA Y FINANCIERA - ES LA ENCARGADA DE ADMINISTRAR LOS PROGRAMAS. </w:t>
      </w:r>
    </w:p>
    <w:p w14:paraId="59A78BBC" w14:textId="77777777" w:rsidR="005276CA" w:rsidRPr="00EC6FCF" w:rsidRDefault="005276CA" w:rsidP="005276CA">
      <w:pPr>
        <w:pBdr>
          <w:top w:val="nil"/>
          <w:left w:val="nil"/>
          <w:bottom w:val="nil"/>
          <w:right w:val="nil"/>
          <w:between w:val="nil"/>
        </w:pBdr>
        <w:spacing w:after="0" w:line="240" w:lineRule="auto"/>
        <w:jc w:val="both"/>
        <w:rPr>
          <w:rFonts w:ascii="Verdana" w:eastAsia="Arial" w:hAnsi="Verdana" w:cs="Arial"/>
          <w:b/>
        </w:rPr>
      </w:pPr>
    </w:p>
    <w:p w14:paraId="0BA87EEC" w14:textId="77777777" w:rsidR="005276CA" w:rsidRPr="00EC6FCF" w:rsidRDefault="005276CA" w:rsidP="005276CA">
      <w:pPr>
        <w:spacing w:after="0" w:line="240" w:lineRule="auto"/>
        <w:jc w:val="both"/>
        <w:rPr>
          <w:rFonts w:ascii="Verdana" w:eastAsia="Arial" w:hAnsi="Verdana" w:cs="Arial"/>
          <w:b/>
          <w:u w:val="single"/>
        </w:rPr>
      </w:pPr>
      <w:r w:rsidRPr="00EC6FCF">
        <w:rPr>
          <w:rFonts w:ascii="Verdana" w:eastAsia="Arial" w:hAnsi="Verdana" w:cs="Arial"/>
        </w:rPr>
        <w:t>En materia de prestación del servicio educativo, corresponde al Ministerio de Educación Nacional fijar la política respecto al tema educativo y en tal sentido impartir orientaciones y directrices para su prestación, por parte de las Secretarías de Educación Departamentales, Distritales y Municipales, a través de los establecimientos educativos, tratándose de educación preescolar, básica y media.</w:t>
      </w:r>
    </w:p>
    <w:p w14:paraId="5A19CC1F"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Arial"/>
        </w:rPr>
        <w:br/>
        <w:t>Con respecto a la educación superior, que se realiza con posterioridad a la educación media y secundaria y tiene por objeto el pleno desarrollo de los alumnos y su formación académica o profesional, corresponde al Estado además de ofrecer las condiciones especiales para su desarrollo, fortaleciendo la investigación científica, facilitar los mecanismos financieros que hagan posible el acceso de todas las personas aptas a la educación superior, tal como lo establece el artículo 69 de nuestra Carta Política.</w:t>
      </w:r>
    </w:p>
    <w:p w14:paraId="2AB8976E"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Arial"/>
        </w:rPr>
        <w:br/>
      </w:r>
      <w:bookmarkStart w:id="0" w:name="_Hlk215237252"/>
      <w:r w:rsidRPr="00EC6FCF">
        <w:rPr>
          <w:rFonts w:ascii="Verdana" w:eastAsia="Arial" w:hAnsi="Verdana" w:cs="Arial"/>
        </w:rPr>
        <w:t xml:space="preserve">Precisamente, en desarrollo del artículo 69 de la Constitución Política, el Estado Colombiano a través del Instituto Colombiano de Crédito Educativo y Estudios Técnicos en el Exterior, Mariano Ospina Pérez </w:t>
      </w:r>
      <w:r w:rsidRPr="00EC6FCF">
        <w:rPr>
          <w:rFonts w:ascii="Verdana" w:eastAsia="Arial" w:hAnsi="Verdana" w:cs="Arial"/>
          <w:b/>
        </w:rPr>
        <w:t>“ICETEX”,</w:t>
      </w:r>
      <w:r w:rsidRPr="00EC6FCF">
        <w:rPr>
          <w:rFonts w:ascii="Verdana" w:eastAsia="Arial" w:hAnsi="Verdana" w:cs="Arial"/>
        </w:rPr>
        <w:t xml:space="preserve"> transformado en virtud de la Ley 1002 del 30 de diciembre de 2005, en una entidad financiera de naturaleza especial, propicia los mecanismos financieros que hagan posible el acceso y permanencia de las personas a la educación superior.</w:t>
      </w:r>
    </w:p>
    <w:p w14:paraId="06962C75" w14:textId="77777777" w:rsidR="005276CA" w:rsidRPr="00EC6FCF" w:rsidRDefault="005276CA" w:rsidP="005276CA">
      <w:pPr>
        <w:spacing w:after="0" w:line="240" w:lineRule="auto"/>
        <w:jc w:val="both"/>
        <w:rPr>
          <w:rFonts w:ascii="Verdana" w:eastAsia="Arial" w:hAnsi="Verdana" w:cs="Arial"/>
        </w:rPr>
      </w:pPr>
    </w:p>
    <w:p w14:paraId="4A3441A5"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Arial"/>
        </w:rPr>
        <w:t xml:space="preserve">De forma adicional, es pertinente informar que en el Decreto 2269 de 2025 </w:t>
      </w:r>
      <w:r w:rsidRPr="00EC6FCF">
        <w:rPr>
          <w:rFonts w:ascii="Verdana" w:eastAsia="Arial" w:hAnsi="Verdana" w:cs="Arial"/>
          <w:i/>
          <w:iCs/>
        </w:rPr>
        <w:t>"Por el cual se adopta la estructura del Ministerio de Educación Nacional y se determinan las funciones de sus dependencias."</w:t>
      </w:r>
      <w:r w:rsidRPr="00EC6FCF">
        <w:rPr>
          <w:rFonts w:ascii="Verdana" w:eastAsia="Arial" w:hAnsi="Verdana" w:cs="Arial"/>
        </w:rPr>
        <w:t xml:space="preserve"> el </w:t>
      </w:r>
      <w:r w:rsidRPr="00EC6FCF">
        <w:rPr>
          <w:rFonts w:ascii="Verdana" w:eastAsia="Arial" w:hAnsi="Verdana" w:cs="Arial"/>
          <w:b/>
          <w:bCs/>
        </w:rPr>
        <w:t>ICETEX</w:t>
      </w:r>
      <w:r w:rsidRPr="00EC6FCF">
        <w:rPr>
          <w:rFonts w:ascii="Verdana" w:eastAsia="Arial" w:hAnsi="Verdana" w:cs="Arial"/>
        </w:rPr>
        <w:t> NO se encuentra como una entidad vinculada a éste.</w:t>
      </w:r>
    </w:p>
    <w:p w14:paraId="51C7392C"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Arial"/>
        </w:rPr>
        <w:t> </w:t>
      </w:r>
    </w:p>
    <w:p w14:paraId="62E92BD7"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Arial"/>
        </w:rPr>
        <w:t xml:space="preserve">Lo anterior tiene especial relevancia en cuanto al objeto de debate del proceso en cuanto el ICETEX se encuentra plenamente habilitado para realizar operaciones financieras tendientes a cumplir su objeto, operaciones que, de acuerdo con el artículo 8° están sujetas a las disposiciones de </w:t>
      </w:r>
      <w:r w:rsidRPr="00EC6FCF">
        <w:rPr>
          <w:rFonts w:ascii="Verdana" w:eastAsia="Arial" w:hAnsi="Verdana" w:cs="Arial"/>
          <w:b/>
          <w:bCs/>
        </w:rPr>
        <w:t>derecho privado.</w:t>
      </w:r>
    </w:p>
    <w:bookmarkEnd w:id="0"/>
    <w:p w14:paraId="2643D5A9"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Arial"/>
        </w:rPr>
        <w:br/>
        <w:t xml:space="preserve">Aunado a lo anterior cabe recalcar que los recursos del gobierno colombiano son canalizados a través de </w:t>
      </w:r>
      <w:r w:rsidRPr="00EC6FCF">
        <w:rPr>
          <w:rFonts w:ascii="Verdana" w:eastAsia="Arial" w:hAnsi="Verdana" w:cs="Arial"/>
          <w:b/>
        </w:rPr>
        <w:t>ICETEX</w:t>
      </w:r>
      <w:r w:rsidRPr="00EC6FCF">
        <w:rPr>
          <w:rFonts w:ascii="Verdana" w:eastAsia="Arial" w:hAnsi="Verdana" w:cs="Arial"/>
        </w:rPr>
        <w:t>, teniendo en cuenta que la Ley 1450 de 2011, en su artículo 27, determina:</w:t>
      </w:r>
    </w:p>
    <w:p w14:paraId="13688638" w14:textId="77777777" w:rsidR="005276CA" w:rsidRPr="00EC6FCF" w:rsidRDefault="005276CA" w:rsidP="005276CA">
      <w:pPr>
        <w:spacing w:after="0" w:line="240" w:lineRule="auto"/>
        <w:ind w:left="708"/>
        <w:jc w:val="both"/>
        <w:rPr>
          <w:rFonts w:ascii="Verdana" w:eastAsia="Arial" w:hAnsi="Verdana" w:cs="Arial"/>
          <w:i/>
          <w:sz w:val="20"/>
          <w:szCs w:val="20"/>
        </w:rPr>
      </w:pPr>
      <w:r w:rsidRPr="00EC6FCF">
        <w:rPr>
          <w:rFonts w:ascii="Verdana" w:eastAsia="Arial" w:hAnsi="Verdana" w:cs="Arial"/>
        </w:rPr>
        <w:lastRenderedPageBreak/>
        <w:br/>
      </w:r>
      <w:r w:rsidRPr="00EC6FCF">
        <w:rPr>
          <w:rFonts w:ascii="Verdana" w:eastAsia="Arial" w:hAnsi="Verdana" w:cs="Arial"/>
          <w:sz w:val="20"/>
          <w:szCs w:val="20"/>
        </w:rPr>
        <w:t>“</w:t>
      </w:r>
      <w:r w:rsidRPr="00EC6FCF">
        <w:rPr>
          <w:rFonts w:ascii="Verdana" w:eastAsia="Arial" w:hAnsi="Verdana" w:cs="Arial"/>
          <w:i/>
          <w:sz w:val="20"/>
          <w:szCs w:val="20"/>
        </w:rPr>
        <w:t>Los recursos de la Nación destinados a becas o a créditos educativos universitarios en Colombia, serán girados al Instituto Colombiano de Crédito Educativo y Estudios Técnicos en el Exterior (ICETEX) y a él corresponde su administración. Los recursos de la Nación destinados a becas o a créditos educativos universitarios para la financiación de maestrías, doctorados o postdoctorados podrán ser girados al Fondo Nacional de Financiamiento para la Ciencia, la Tecnología y la Innovación, Fondo Francisco José de Caldas. En este evento la ejecución de los recursos podrá ser apoyada con la participación de terceros y el Gobierno Nacional reglamentará los criterios de asignación.”</w:t>
      </w:r>
    </w:p>
    <w:p w14:paraId="2BF1D34F" w14:textId="77777777" w:rsidR="005276CA" w:rsidRPr="00EC6FCF" w:rsidRDefault="005276CA" w:rsidP="005276CA">
      <w:pPr>
        <w:spacing w:after="0" w:line="240" w:lineRule="auto"/>
        <w:jc w:val="both"/>
        <w:rPr>
          <w:rFonts w:ascii="Verdana" w:eastAsia="Arial" w:hAnsi="Verdana" w:cs="Arial"/>
        </w:rPr>
      </w:pPr>
    </w:p>
    <w:p w14:paraId="774443AE"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Arial"/>
        </w:rPr>
        <w:t>En efecto, la Corte Constitucional, al referirse al tema, adujo:</w:t>
      </w:r>
    </w:p>
    <w:p w14:paraId="10E55D14" w14:textId="77777777" w:rsidR="005276CA" w:rsidRPr="00EC6FCF" w:rsidRDefault="005276CA" w:rsidP="005276CA">
      <w:pPr>
        <w:spacing w:after="0" w:line="240" w:lineRule="auto"/>
        <w:jc w:val="both"/>
        <w:rPr>
          <w:rFonts w:ascii="Verdana" w:eastAsia="Arial" w:hAnsi="Verdana" w:cs="Arial"/>
          <w:i/>
        </w:rPr>
      </w:pPr>
    </w:p>
    <w:p w14:paraId="4A308D46" w14:textId="77777777" w:rsidR="005276CA" w:rsidRPr="00EC6FCF" w:rsidRDefault="005276CA" w:rsidP="005276CA">
      <w:pPr>
        <w:spacing w:after="0" w:line="240" w:lineRule="auto"/>
        <w:ind w:left="708"/>
        <w:jc w:val="both"/>
        <w:rPr>
          <w:rFonts w:ascii="Verdana" w:eastAsia="Arial" w:hAnsi="Verdana" w:cs="Arial"/>
          <w:i/>
          <w:sz w:val="20"/>
          <w:szCs w:val="20"/>
        </w:rPr>
      </w:pPr>
      <w:r w:rsidRPr="00EC6FCF">
        <w:rPr>
          <w:rFonts w:ascii="Verdana" w:eastAsia="Arial" w:hAnsi="Verdana" w:cs="Arial"/>
          <w:i/>
          <w:sz w:val="20"/>
          <w:szCs w:val="20"/>
        </w:rPr>
        <w:t>“La Corte ha sostenido que la naturaleza de derecho fundamental del derecho a la educación superior, contiene dentro de su núcleo esencial la garantía de que su goce efectivo está a cargo del Estado, lo que significa que si bien éste último no tiene una obligación directa de procurar el acceso inmediato de todas las personas a la educación superior, sí significa que no queda eximido de su responsabilidad de procurar el acceso progresivo de las personas al sistema educativo.”</w:t>
      </w:r>
    </w:p>
    <w:p w14:paraId="70DB1E4D" w14:textId="43A89B6F" w:rsidR="005276CA" w:rsidRPr="00EC6FCF" w:rsidRDefault="005276CA" w:rsidP="005276CA">
      <w:pPr>
        <w:jc w:val="both"/>
        <w:rPr>
          <w:rFonts w:ascii="Verdana" w:eastAsia="Arial" w:hAnsi="Verdana" w:cs="Arial"/>
        </w:rPr>
      </w:pPr>
      <w:r w:rsidRPr="00EC6FCF">
        <w:rPr>
          <w:rFonts w:ascii="Verdana" w:eastAsia="Arial" w:hAnsi="Verdana" w:cs="Arial"/>
        </w:rPr>
        <w:br/>
        <w:t>Esta labor ha sido encomendada al ICETEX</w:t>
      </w:r>
      <w:r w:rsidRPr="00EC6FCF">
        <w:rPr>
          <w:rFonts w:ascii="Verdana" w:eastAsia="Arial" w:hAnsi="Verdana" w:cs="Arial"/>
          <w:b/>
        </w:rPr>
        <w:t xml:space="preserve">, </w:t>
      </w:r>
      <w:r w:rsidRPr="00EC6FCF">
        <w:rPr>
          <w:rFonts w:ascii="Verdana" w:eastAsia="Arial" w:hAnsi="Verdana" w:cs="Arial"/>
        </w:rPr>
        <w:t>tal como lo ha señalado la Corte Constitucional.</w:t>
      </w:r>
    </w:p>
    <w:p w14:paraId="7EA53931" w14:textId="77777777" w:rsidR="005F097F" w:rsidRPr="00EC6FCF" w:rsidRDefault="005F097F" w:rsidP="005F097F">
      <w:pPr>
        <w:spacing w:after="0" w:line="240" w:lineRule="auto"/>
        <w:jc w:val="both"/>
        <w:rPr>
          <w:rFonts w:ascii="Verdana" w:eastAsia="Arial" w:hAnsi="Verdana" w:cs="Arial"/>
          <w:color w:val="000000" w:themeColor="text1"/>
          <w:sz w:val="20"/>
          <w:szCs w:val="20"/>
        </w:rPr>
      </w:pPr>
    </w:p>
    <w:p w14:paraId="238FFAF3" w14:textId="07AAF314" w:rsidR="005F097F" w:rsidRPr="00EC6FCF" w:rsidRDefault="005F097F">
      <w:pPr>
        <w:pStyle w:val="Prrafodelista"/>
        <w:numPr>
          <w:ilvl w:val="0"/>
          <w:numId w:val="3"/>
        </w:numPr>
        <w:jc w:val="both"/>
        <w:rPr>
          <w:rFonts w:ascii="Verdana" w:hAnsi="Verdana" w:cs="Arial"/>
          <w:b/>
          <w:bCs/>
          <w:sz w:val="22"/>
          <w:szCs w:val="22"/>
        </w:rPr>
      </w:pPr>
      <w:r w:rsidRPr="00EC6FCF">
        <w:rPr>
          <w:rFonts w:ascii="Verdana" w:hAnsi="Verdana" w:cs="Arial"/>
          <w:b/>
          <w:bCs/>
          <w:sz w:val="22"/>
          <w:szCs w:val="22"/>
        </w:rPr>
        <w:t>NATURALEZA JURÍDICA DE LA AGENCIA DISTRITAL PARA LA EDUCACIÓN SUPERIOR, LA CIENCIA Y LA TECNOLOGÍA - ATENEA.</w:t>
      </w:r>
    </w:p>
    <w:p w14:paraId="659AF05A" w14:textId="77777777" w:rsidR="005F097F" w:rsidRPr="00EC6FCF" w:rsidRDefault="005F097F" w:rsidP="005F097F">
      <w:pPr>
        <w:jc w:val="both"/>
        <w:rPr>
          <w:rFonts w:ascii="Verdana" w:hAnsi="Verdana" w:cs="Arial"/>
        </w:rPr>
      </w:pPr>
      <w:r w:rsidRPr="00EC6FCF">
        <w:rPr>
          <w:rFonts w:ascii="Verdana" w:hAnsi="Verdana" w:cs="Arial"/>
        </w:rPr>
        <w:t>La Agencia Distrital para la Educación Superior, la Ciencia y la Tecnología, y conocida como “ATENEA”, es una entidad pública del orden distrital, creada mediante el Decreto 273 de 2020, que la estableció en su artículo primero como una entidad pública personería jurídica, autonomía administrativa, financiera y presupuestal y patrimonio autónomo, adscrita a la Secretaría de Educación de Bogotá D.C.</w:t>
      </w:r>
    </w:p>
    <w:p w14:paraId="04038FC1" w14:textId="77777777" w:rsidR="005F097F" w:rsidRPr="00EC6FCF" w:rsidRDefault="005F097F" w:rsidP="005F097F">
      <w:pPr>
        <w:jc w:val="both"/>
        <w:rPr>
          <w:rFonts w:ascii="Verdana" w:hAnsi="Verdana" w:cs="Arial"/>
        </w:rPr>
      </w:pPr>
      <w:r w:rsidRPr="00EC6FCF">
        <w:rPr>
          <w:rFonts w:ascii="Verdana" w:hAnsi="Verdana" w:cs="Arial"/>
        </w:rPr>
        <w:t>Su objeto principal consiste en fortalecer, promover, financiar y propiciar la oferta educativa del nivel superior, por lo cual sus funciones circunscriben a:</w:t>
      </w:r>
    </w:p>
    <w:p w14:paraId="17AE9789"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Artículo 6°. Funciones. La Agencia Distrital para la Educación Superior, la Ciencia y la Tecnología “Atenea” ejercerá las siguientes funciones: </w:t>
      </w:r>
    </w:p>
    <w:p w14:paraId="1FF833FE"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1.Liderar, acompañar y dar soporte técnico en la formulación y ejecución de las políticas, planes, programas y proyectos distritales de acceso, permanencia y pertinencia de la educación post-media. </w:t>
      </w:r>
    </w:p>
    <w:p w14:paraId="0FEF6D38"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2. Coordinar el Sistema Distrital de Educación Post-media, que articule la educación media, la educación para el trabajo y el desarrollo humano, la educación informal, la certificación de competencias y la educación superior, con el objeto de promover el desarrollo sostenible de la ciudad y el cierre de brechas. </w:t>
      </w:r>
    </w:p>
    <w:p w14:paraId="6F3DBDEE"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3. Diseñar y ejecutar planes, programas y proyectos distritales para la transición de la educación media a la superior; y para la articulación entre la educación media y la educación post-media, teniendo en cuenta las posibilidades de acceso de la población a estos niveles, en coordinación con las entidades competentes. </w:t>
      </w:r>
    </w:p>
    <w:p w14:paraId="2EAC4355"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4. Desarrollar los planes, programas y proyectos distritales para el establecimiento de rutas y modelos de homologación de contenidos académicos y competencias laborales de los actores del Sistema Distrital de Educación Post-media. </w:t>
      </w:r>
    </w:p>
    <w:p w14:paraId="219FCEB3"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5. Gestionar y ejecutar estrategias de financiamiento público y/o privado, para promover el acceso, permanencia y articulación en educación post-media, la cual incluye la formación para el trabajo, la educación informal, la educación superior y la certificación de competencias, privilegiando la oferta pública. </w:t>
      </w:r>
    </w:p>
    <w:p w14:paraId="0AC9730F"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lastRenderedPageBreak/>
        <w:t xml:space="preserve">6. Gestionar y ejecutar planes, programas y proyectos distritales que promuevan el fortalecimiento y financiamiento de proyectos y redes colaborativas de ciencia, tecnología e innovación con actores del sector público y privado, para mejorar la infraestructura tecnológica del Distrito Capital. </w:t>
      </w:r>
    </w:p>
    <w:p w14:paraId="6D4FCB9B"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7. Coordinar bajo la orientación de los organismos y entidades competentes en la materia en el Distrito Capital, la formulación y ejecución de la política, planes, programas y proyectos distritales de ciencia, tecnología e innovación; así como en la divulgación y apropiación social de conocimiento resultado de CT+I. </w:t>
      </w:r>
    </w:p>
    <w:p w14:paraId="2942EC40"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8. Gestionar la creación, promover el fortalecimiento y participar en alianzas y convenios de cooperación con entidades y actores del ecosistema de ciencia, tecnología e innovación, así como la gestión y consecución de recursos para su desarrollo. </w:t>
      </w:r>
    </w:p>
    <w:p w14:paraId="076E1F4E"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9. Orientar, liderar y desarrollar programas y proyectos distritales de base científica y tecnológica, para la solución de problemas y desafíos de la ciudad y la región, el fortalecimiento de su infraestructura tecnológica y su capital humano, intelectual y relacional, en coordinación con los organismos y entidades competentes en la materia en el Distrito Capital. </w:t>
      </w:r>
    </w:p>
    <w:p w14:paraId="26B3B4D3"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10. Desarrollar, mantener y actualizar un modelo de análisis de información que permita orientar, con criterios de pertinencia, la oferta en la formación post-media, y que articule la vocación de los y las jóvenes con las necesidades de empleo, emprendimiento e innovación. </w:t>
      </w:r>
    </w:p>
    <w:p w14:paraId="572CD30D"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11. Suscribir convenios, asociarse o conformar esquemas asociativos con entidades públicas de cualquier nivel de gobierno o con personas de derecho privado, y efectuar lastransferencias o aportes correspondientes, con sujeción a lo dispuesto en la Ley 489 de 1998, el Acuerdo 257 de 2006 y las demás normas legales que modifiquen, adicionen o regulen la materia. </w:t>
      </w:r>
    </w:p>
    <w:p w14:paraId="6DA96FBD"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12. Realizar todo tipo de actos y negocios jurídicos que se relacionen con su objeto o faciliten su ejecución, así como aquellos que permitan el ejercicio de sus funciones y el cumplimiento de sus obligaciones. </w:t>
      </w:r>
    </w:p>
    <w:p w14:paraId="18309395"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13. Cobrar por los servicios que preste o los bienes que produzca, cuando a ello haya lugar según lo dispuesto en el ordenamiento jurídico y en sus estatutos. </w:t>
      </w:r>
    </w:p>
    <w:p w14:paraId="1A9A8097"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14. Las demás que le establezcan las leyes, acuerdos y demás disposiciones aplicables.</w:t>
      </w:r>
    </w:p>
    <w:p w14:paraId="16E666CB" w14:textId="510236B0" w:rsidR="009D01AC" w:rsidRPr="00EC6FCF" w:rsidRDefault="005F097F" w:rsidP="00AE5D88">
      <w:pPr>
        <w:jc w:val="both"/>
        <w:rPr>
          <w:rFonts w:ascii="Verdana" w:hAnsi="Verdana" w:cs="Arial"/>
        </w:rPr>
      </w:pPr>
      <w:r w:rsidRPr="00EC6FCF">
        <w:rPr>
          <w:rFonts w:ascii="Verdana" w:hAnsi="Verdana" w:cs="Arial"/>
        </w:rPr>
        <w:t>Es fundamental destacar que esta Agencia no es una continuación o un simple cambio de nombre de la Secretaría de Educación del Distrito (SED). Por el contrario, es una entidad nueva que, tras un régimen de transición establecido en su norma de creación, asumió de manera exclusiva las funciones en materia de educación superior, ciencia y tecnología que antes eran competencia de la mencionada Secretaría.</w:t>
      </w:r>
    </w:p>
    <w:p w14:paraId="00086B03" w14:textId="46CB7ADA" w:rsidR="00C84FDE" w:rsidRPr="00EC6FCF" w:rsidRDefault="005C00A3"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rPr>
        <w:t> </w:t>
      </w:r>
    </w:p>
    <w:p w14:paraId="5DFE0F88" w14:textId="77777777" w:rsidR="00C84FDE" w:rsidRPr="00EC6FCF" w:rsidRDefault="00C84FDE" w:rsidP="00C84FDE">
      <w:pPr>
        <w:autoSpaceDE w:val="0"/>
        <w:autoSpaceDN w:val="0"/>
        <w:adjustRightInd w:val="0"/>
        <w:spacing w:after="0" w:line="240" w:lineRule="auto"/>
        <w:ind w:left="1080" w:hanging="720"/>
        <w:jc w:val="both"/>
        <w:rPr>
          <w:rFonts w:ascii="Verdana" w:hAnsi="Verdana" w:cs="Arial"/>
          <w:kern w:val="0"/>
        </w:rPr>
      </w:pPr>
      <w:r w:rsidRPr="00EC6FCF">
        <w:rPr>
          <w:rFonts w:ascii="Verdana" w:hAnsi="Verdana" w:cs="Arial"/>
          <w:b/>
          <w:bCs/>
          <w:kern w:val="0"/>
        </w:rPr>
        <w:t>IV.</w:t>
      </w:r>
      <w:r w:rsidRPr="00EC6FCF">
        <w:rPr>
          <w:rFonts w:ascii="Verdana" w:hAnsi="Verdana" w:cs="Arial"/>
          <w:b/>
          <w:bCs/>
          <w:kern w:val="0"/>
        </w:rPr>
        <w:tab/>
        <w:t>FUNDAMENTOS DE DEFENSA</w:t>
      </w:r>
      <w:r w:rsidRPr="00EC6FCF">
        <w:rPr>
          <w:rFonts w:ascii="Verdana" w:hAnsi="Verdana" w:cs="Arial"/>
          <w:kern w:val="0"/>
        </w:rPr>
        <w:t> </w:t>
      </w:r>
    </w:p>
    <w:p w14:paraId="76A6AC25"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color w:val="000000"/>
          <w:kern w:val="0"/>
        </w:rPr>
        <w:t> </w:t>
      </w:r>
    </w:p>
    <w:p w14:paraId="094328E1" w14:textId="452E45C7" w:rsidR="007A24C5" w:rsidRPr="00EC6FCF" w:rsidRDefault="00C84FDE" w:rsidP="007B5BFA">
      <w:pPr>
        <w:autoSpaceDE w:val="0"/>
        <w:autoSpaceDN w:val="0"/>
        <w:adjustRightInd w:val="0"/>
        <w:spacing w:after="0" w:line="240" w:lineRule="auto"/>
        <w:jc w:val="both"/>
        <w:rPr>
          <w:rFonts w:ascii="Verdana" w:hAnsi="Verdana" w:cs="Arial"/>
          <w:color w:val="000000"/>
          <w:kern w:val="0"/>
        </w:rPr>
      </w:pPr>
      <w:r w:rsidRPr="00EC6FCF">
        <w:rPr>
          <w:rFonts w:ascii="Verdana" w:hAnsi="Verdana" w:cs="Arial"/>
          <w:color w:val="000000"/>
          <w:kern w:val="0"/>
        </w:rPr>
        <w:t>En cuanto a las pretensiones contenidas en la acción de tutela se tiene que no son procedentes, por las siguientes razones:</w:t>
      </w:r>
    </w:p>
    <w:p w14:paraId="3BB072DD" w14:textId="77777777" w:rsidR="00C84FDE" w:rsidRPr="00EC6FCF" w:rsidRDefault="00C84FDE" w:rsidP="00C84FDE">
      <w:pPr>
        <w:autoSpaceDE w:val="0"/>
        <w:autoSpaceDN w:val="0"/>
        <w:adjustRightInd w:val="0"/>
        <w:spacing w:after="0" w:line="240" w:lineRule="auto"/>
        <w:ind w:left="1080"/>
        <w:jc w:val="both"/>
        <w:rPr>
          <w:rFonts w:ascii="Verdana" w:hAnsi="Verdana" w:cs="Segoe UI"/>
          <w:kern w:val="0"/>
          <w:sz w:val="18"/>
          <w:szCs w:val="18"/>
        </w:rPr>
      </w:pPr>
      <w:r w:rsidRPr="00EC6FCF">
        <w:rPr>
          <w:rFonts w:ascii="Verdana" w:hAnsi="Verdana" w:cs="Arial"/>
          <w:kern w:val="0"/>
        </w:rPr>
        <w:t> </w:t>
      </w:r>
    </w:p>
    <w:p w14:paraId="7B335D53" w14:textId="67F294C2" w:rsidR="00C84FDE" w:rsidRPr="00EC6FCF" w:rsidRDefault="007B5BFA">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Arial"/>
          <w:b/>
          <w:bCs/>
          <w:kern w:val="0"/>
        </w:rPr>
        <w:t xml:space="preserve">A. </w:t>
      </w:r>
      <w:r w:rsidR="00C84FDE" w:rsidRPr="00EC6FCF">
        <w:rPr>
          <w:rFonts w:ascii="Verdana" w:hAnsi="Verdana" w:cs="Arial"/>
          <w:b/>
          <w:bCs/>
          <w:kern w:val="0"/>
        </w:rPr>
        <w:t>Autonomía Universitaria</w:t>
      </w:r>
      <w:r w:rsidR="00C84FDE" w:rsidRPr="00EC6FCF">
        <w:rPr>
          <w:rFonts w:ascii="Verdana" w:hAnsi="Verdana" w:cs="Arial"/>
          <w:kern w:val="0"/>
        </w:rPr>
        <w:t> </w:t>
      </w:r>
    </w:p>
    <w:p w14:paraId="7C903F92"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44E3BF25"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El artículo 69 de la Carta Política reconoce y garantiza la autonomía universitaria y establece que “</w:t>
      </w:r>
      <w:r w:rsidRPr="00EC6FCF">
        <w:rPr>
          <w:rFonts w:ascii="Verdana" w:hAnsi="Verdana" w:cs="Arial"/>
          <w:i/>
          <w:iCs/>
          <w:kern w:val="0"/>
        </w:rPr>
        <w:t>las universidades podrán darse sus directivas y regirse por sus propios estatutos, de acuerdo con la ley</w:t>
      </w:r>
      <w:r w:rsidRPr="00EC6FCF">
        <w:rPr>
          <w:rFonts w:ascii="Verdana" w:hAnsi="Verdana" w:cs="Arial"/>
          <w:kern w:val="0"/>
        </w:rPr>
        <w:t xml:space="preserve">.” Esta norma igualmente difiere al legislador la tarea de establecer un régimen especial para las universidades del Estado. En desarrollo de esa normativa constitucional, el legislador, mediante la Ley 30 de 1992, organizó el servicio público de la educación superior y precisó que la autonomía universitaria reconoce a las universidades el derecho a darse y modificar sus estatutos, designar sus autoridades académicas y </w:t>
      </w:r>
      <w:r w:rsidRPr="00EC6FCF">
        <w:rPr>
          <w:rFonts w:ascii="Verdana" w:hAnsi="Verdana" w:cs="Arial"/>
          <w:kern w:val="0"/>
        </w:rPr>
        <w:lastRenderedPageBreak/>
        <w:t>administrativas, crear, organizar y desarrollar sus programas académicos, definir y organizar sus labores formativas, académicas, docentes, científicas y culturales, otorgar los títulos correspondientes, seleccionar a sus profesores, admitir a sus alumnos y adoptar sus correspondientes regímenes, como de establecer, arbitrar y aplicar sus recursos para el cumplimiento de su misión social y de su función institucional (artículos 28 y 29).  </w:t>
      </w:r>
    </w:p>
    <w:p w14:paraId="7028D91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A1C26DB"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En la sentencia T-180 de 1996, la Corte Constitucional se refirió a la finalidad y a los límites de la </w:t>
      </w:r>
      <w:r w:rsidRPr="00EC6FCF">
        <w:rPr>
          <w:rFonts w:ascii="Verdana" w:hAnsi="Verdana" w:cs="Arial"/>
          <w:b/>
          <w:bCs/>
          <w:kern w:val="0"/>
        </w:rPr>
        <w:t>autonomía universitaria</w:t>
      </w:r>
      <w:r w:rsidRPr="00EC6FCF">
        <w:rPr>
          <w:rFonts w:ascii="Verdana" w:hAnsi="Verdana" w:cs="Arial"/>
          <w:kern w:val="0"/>
        </w:rPr>
        <w:t> en los siguientes términos:  </w:t>
      </w:r>
    </w:p>
    <w:p w14:paraId="550B9D1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3995522B"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Arial"/>
          <w:kern w:val="0"/>
        </w:rPr>
        <w:t> </w:t>
      </w:r>
      <w:r w:rsidRPr="00EC6FCF">
        <w:rPr>
          <w:rFonts w:ascii="Verdana" w:hAnsi="Verdana" w:cs="Arial"/>
          <w:i/>
          <w:iCs/>
          <w:kern w:val="0"/>
          <w:sz w:val="20"/>
          <w:szCs w:val="20"/>
        </w:rPr>
        <w:t>“La finalidad de la autonomía universitaria es la de evitar que el Estado, a través de sus distintos poderes, intervenga de manera ilegítima en el proceso de creación y difusión del conocimiento. Con ello se asegura un espacio de plena autonomía en el que el saber y la investigación científica se ponen al servicio del pluralismo y no de visiones dogmáticas impuestas por el poder público, que coartarían la plena realización intelectual del ser humano e impedirían la formación de una opinión pública crítica que proyecte el conocimiento en el proceso de evolución social, económica y cultural.</w:t>
      </w:r>
      <w:r w:rsidRPr="00EC6FCF">
        <w:rPr>
          <w:rFonts w:ascii="Verdana" w:hAnsi="Verdana" w:cs="Arial"/>
          <w:kern w:val="0"/>
          <w:sz w:val="20"/>
          <w:szCs w:val="20"/>
        </w:rPr>
        <w:t> </w:t>
      </w:r>
    </w:p>
    <w:p w14:paraId="307E0FEB"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Arial"/>
          <w:i/>
          <w:iCs/>
          <w:kern w:val="0"/>
          <w:sz w:val="20"/>
          <w:szCs w:val="20"/>
          <w:lang w:val="es-ES"/>
        </w:rPr>
        <w:t>(…)</w:t>
      </w:r>
      <w:r w:rsidRPr="00EC6FCF">
        <w:rPr>
          <w:rFonts w:ascii="Verdana" w:hAnsi="Verdana" w:cs="Arial"/>
          <w:kern w:val="0"/>
          <w:sz w:val="20"/>
          <w:szCs w:val="20"/>
        </w:rPr>
        <w:t> </w:t>
      </w:r>
    </w:p>
    <w:p w14:paraId="6F356B1B" w14:textId="77777777" w:rsidR="00C84FDE" w:rsidRPr="00EC6FCF" w:rsidRDefault="00C84FDE" w:rsidP="00C84FDE">
      <w:pPr>
        <w:autoSpaceDE w:val="0"/>
        <w:autoSpaceDN w:val="0"/>
        <w:adjustRightInd w:val="0"/>
        <w:spacing w:after="0" w:line="240" w:lineRule="auto"/>
        <w:ind w:left="705"/>
        <w:jc w:val="both"/>
        <w:rPr>
          <w:rFonts w:ascii="Verdana" w:hAnsi="Verdana" w:cs="Arial"/>
          <w:kern w:val="0"/>
          <w:sz w:val="20"/>
          <w:szCs w:val="20"/>
        </w:rPr>
      </w:pPr>
      <w:r w:rsidRPr="00EC6FCF">
        <w:rPr>
          <w:rFonts w:ascii="Verdana" w:hAnsi="Verdana" w:cs="Arial"/>
          <w:i/>
          <w:iCs/>
          <w:kern w:val="0"/>
          <w:sz w:val="20"/>
          <w:szCs w:val="20"/>
          <w:lang w:val="es-ES"/>
        </w:rPr>
        <w:t>Los altísimos fines que persigue la autonomía universitaria no pueden servir de excusa a los centros docentes para que, prevalidos de esa valiosa garantía institucional, vulneren los principios y derechos en los que se apoya el ordenamiento jurídico. De igual manera, no puede predicarse como correlato de la garantía institucional consagrada en el artículo 69 de la Carta, la inmunidad judicial de los actos de las Universidades que sean susceptibles de vulnerar los derechos fundamentales de sus estudiantes. Sin embargo, la intervención del juez debe limitarse a la protección de los derechos contra actuaciones ilegítimas, sin que le esté dado inmiscuirse en el ámbito propio de libertad de la Universidad para fijar sus políticas académicas e investigativas”.</w:t>
      </w:r>
      <w:r w:rsidRPr="00EC6FCF">
        <w:rPr>
          <w:rFonts w:ascii="Verdana" w:hAnsi="Verdana" w:cs="Arial"/>
          <w:kern w:val="0"/>
          <w:sz w:val="20"/>
          <w:szCs w:val="20"/>
        </w:rPr>
        <w:t> </w:t>
      </w:r>
    </w:p>
    <w:p w14:paraId="6F5AE89C"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p>
    <w:p w14:paraId="0D9AA7FA"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En sentencia T 452 de 2023, la Corte estableció algunas subreglas con respecto a la autonomía universitaria en el marco de procesos disciplinarios que tengan como objeto la imposición de sanciones, que se resumen de la siguiente manera: </w:t>
      </w:r>
    </w:p>
    <w:p w14:paraId="012AECA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6C66DEE"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“a) La discrecionalidad universitaria, propia de su autonomía, no es absoluta, como quiera que se encuentra limitada por el orden público, el interés general y el bien común.</w:t>
      </w:r>
      <w:r w:rsidRPr="00EC6FCF">
        <w:rPr>
          <w:rFonts w:ascii="Verdana" w:hAnsi="Verdana" w:cs="Arial"/>
          <w:i/>
          <w:iCs/>
          <w:kern w:val="0"/>
          <w:sz w:val="20"/>
          <w:szCs w:val="20"/>
        </w:rPr>
        <w:t>  </w:t>
      </w:r>
    </w:p>
    <w:p w14:paraId="65742F6F"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b) La autonomía universitaria también se limita por la inspección y vigilancia de la educación que ejerce el Estado.</w:t>
      </w:r>
      <w:r w:rsidRPr="00EC6FCF">
        <w:rPr>
          <w:rFonts w:ascii="Verdana" w:hAnsi="Verdana" w:cs="Arial"/>
          <w:i/>
          <w:iCs/>
          <w:kern w:val="0"/>
          <w:sz w:val="20"/>
          <w:szCs w:val="20"/>
        </w:rPr>
        <w:t>  </w:t>
      </w:r>
    </w:p>
    <w:p w14:paraId="354C90D0"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c) El ejercicio de la autonomía universitaria y el respeto por el pluralismo ideológico, demuestran que los centros superiores tienen libertad para determinar sus normas internas, a través de los estatutos, las cuales no podrán ser contrarias a la ley ni a la Constitución.</w:t>
      </w:r>
      <w:r w:rsidRPr="00EC6FCF">
        <w:rPr>
          <w:rFonts w:ascii="Verdana" w:hAnsi="Verdana" w:cs="Arial"/>
          <w:i/>
          <w:iCs/>
          <w:kern w:val="0"/>
          <w:sz w:val="20"/>
          <w:szCs w:val="20"/>
        </w:rPr>
        <w:t>  </w:t>
      </w:r>
    </w:p>
    <w:p w14:paraId="555C4D15"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d) Los estatutos se acogen voluntariamente por quienes desean estudiar en el centro educativo superior, pero una vez aceptados son obligatorios para toda la comunidad educativa. El reglamento concreta la libertad académica, administrativa y económica de las instituciones de educación superior.</w:t>
      </w:r>
      <w:r w:rsidRPr="00EC6FCF">
        <w:rPr>
          <w:rFonts w:ascii="Verdana" w:hAnsi="Verdana" w:cs="Arial"/>
          <w:i/>
          <w:iCs/>
          <w:kern w:val="0"/>
          <w:sz w:val="20"/>
          <w:szCs w:val="20"/>
        </w:rPr>
        <w:t>  </w:t>
      </w:r>
    </w:p>
    <w:p w14:paraId="51061072"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e) El Legislador está constitucionalmente autorizado para limitar la autonomía universitaria, siempre y cuando no invada ni anule su núcleo.</w:t>
      </w:r>
      <w:r w:rsidRPr="00EC6FCF">
        <w:rPr>
          <w:rFonts w:ascii="Verdana" w:hAnsi="Verdana" w:cs="Arial"/>
          <w:i/>
          <w:iCs/>
          <w:kern w:val="0"/>
          <w:sz w:val="20"/>
          <w:szCs w:val="20"/>
        </w:rPr>
        <w:t>  </w:t>
      </w:r>
    </w:p>
    <w:p w14:paraId="70B1BBE1"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f) La autonomía universitaria es un derecho limitado y complejo. Limitado porque es una garantía para el funcionamiento adecuado de la institución. Es complejo, como quiera que involucre otros derechos de las personas.</w:t>
      </w:r>
      <w:r w:rsidRPr="00EC6FCF">
        <w:rPr>
          <w:rFonts w:ascii="Verdana" w:hAnsi="Verdana" w:cs="Arial"/>
          <w:i/>
          <w:iCs/>
          <w:kern w:val="0"/>
          <w:sz w:val="20"/>
          <w:szCs w:val="20"/>
        </w:rPr>
        <w:t>  </w:t>
      </w:r>
    </w:p>
    <w:p w14:paraId="6D81981A"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g) Los criterios para selección de los estudiantes pertenecen a la órbita de la autonomía universitaria, siempre y cuando aquellos sean razonables, proporcionales y no vulneren derechos fundamentales y en especial el derecho a la igualdad. Por ende, la admisión debe corresponder a criterios objetivos de mérito académico individual.</w:t>
      </w:r>
      <w:r w:rsidRPr="00EC6FCF">
        <w:rPr>
          <w:rFonts w:ascii="Verdana" w:hAnsi="Verdana" w:cs="Arial"/>
          <w:i/>
          <w:iCs/>
          <w:kern w:val="0"/>
          <w:sz w:val="20"/>
          <w:szCs w:val="20"/>
        </w:rPr>
        <w:t>  </w:t>
      </w:r>
    </w:p>
    <w:p w14:paraId="1FB516E8"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h) Los criterios para determinar las calificaciones mínimas deben regularse por reglamento, esto es corresponden a la autonomía universitaria.</w:t>
      </w:r>
      <w:r w:rsidRPr="00EC6FCF">
        <w:rPr>
          <w:rFonts w:ascii="Verdana" w:hAnsi="Verdana" w:cs="Arial"/>
          <w:i/>
          <w:iCs/>
          <w:kern w:val="0"/>
          <w:sz w:val="20"/>
          <w:szCs w:val="20"/>
        </w:rPr>
        <w:t>  </w:t>
      </w:r>
    </w:p>
    <w:p w14:paraId="013C86B2" w14:textId="77777777" w:rsidR="00C84FDE" w:rsidRPr="00EC6FCF" w:rsidRDefault="00C84FDE" w:rsidP="00C84FDE">
      <w:pPr>
        <w:autoSpaceDE w:val="0"/>
        <w:autoSpaceDN w:val="0"/>
        <w:adjustRightInd w:val="0"/>
        <w:spacing w:after="0" w:line="240" w:lineRule="auto"/>
        <w:jc w:val="both"/>
        <w:rPr>
          <w:rFonts w:ascii="Verdana" w:hAnsi="Verdana" w:cs="Arial"/>
          <w:i/>
          <w:iCs/>
          <w:kern w:val="0"/>
          <w:sz w:val="20"/>
          <w:szCs w:val="20"/>
        </w:rPr>
      </w:pPr>
      <w:r w:rsidRPr="00EC6FCF">
        <w:rPr>
          <w:rFonts w:ascii="Verdana" w:hAnsi="Verdana" w:cs="Arial"/>
          <w:i/>
          <w:iCs/>
          <w:kern w:val="0"/>
          <w:sz w:val="20"/>
          <w:szCs w:val="20"/>
          <w:lang w:val="es-MX"/>
        </w:rPr>
        <w:t>i) Las sanciones académicas hacen parte de la autonomía universitaria. Sin embargo, son de naturaleza reglada, como quiera que las conductas que originan la sanción deben estar previamente determinadas en el reglamento. Así mismo, la imposición de sanciones está sometida a la aplicación del debido proceso y del derecho de defensa.</w:t>
      </w:r>
      <w:r w:rsidRPr="00EC6FCF">
        <w:rPr>
          <w:rFonts w:ascii="Verdana" w:hAnsi="Verdana" w:cs="Arial"/>
          <w:i/>
          <w:iCs/>
          <w:kern w:val="0"/>
          <w:sz w:val="20"/>
          <w:szCs w:val="20"/>
        </w:rPr>
        <w:t> </w:t>
      </w:r>
    </w:p>
    <w:p w14:paraId="0A0807E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7124B77C" w14:textId="552C8D0B" w:rsidR="00C84FDE" w:rsidRPr="00EC6FCF" w:rsidRDefault="007B5BFA">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Arial"/>
          <w:b/>
          <w:bCs/>
          <w:kern w:val="0"/>
        </w:rPr>
        <w:t>B</w:t>
      </w:r>
      <w:r w:rsidR="007A24C5" w:rsidRPr="00EC6FCF">
        <w:rPr>
          <w:rFonts w:ascii="Verdana" w:hAnsi="Verdana" w:cs="Arial"/>
          <w:b/>
          <w:bCs/>
          <w:kern w:val="0"/>
        </w:rPr>
        <w:t xml:space="preserve">. </w:t>
      </w:r>
      <w:r w:rsidR="00C84FDE" w:rsidRPr="00EC6FCF">
        <w:rPr>
          <w:rFonts w:ascii="Verdana" w:hAnsi="Verdana" w:cs="Arial"/>
          <w:b/>
          <w:bCs/>
          <w:kern w:val="0"/>
        </w:rPr>
        <w:t>Excepción de falta de legitimación en la causa por pasiva </w:t>
      </w:r>
      <w:r w:rsidR="00C84FDE" w:rsidRPr="00EC6FCF">
        <w:rPr>
          <w:rFonts w:ascii="Verdana" w:hAnsi="Verdana" w:cs="Arial"/>
          <w:b/>
          <w:bCs/>
          <w:kern w:val="0"/>
          <w:lang w:val="es-ES"/>
        </w:rPr>
        <w:t>del Ministerio de Educación Nacional en asuntos de IES</w:t>
      </w:r>
      <w:r w:rsidR="00C84FDE" w:rsidRPr="00EC6FCF">
        <w:rPr>
          <w:rFonts w:ascii="Verdana" w:hAnsi="Verdana" w:cs="Arial"/>
          <w:kern w:val="0"/>
        </w:rPr>
        <w:t> </w:t>
      </w:r>
    </w:p>
    <w:p w14:paraId="289FF1B8"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1B08DDAA"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La Constitución Política de Colombia consagra el principio de la autonomía universitaria, desarrollado por la Ley 30 de 1992, la cual faculta a las instituciones de educación superior el derecho a darse y modificar sus estatutos, designar sus autoridades académicas y administrativas, crear, organizar y desarrollar sus programas académicos, definir y organizar sus labores formativas, académicas, docentes, científicas y culturales, otorgar los títulos correspondientes, seleccionar a sus profesores, admitir a sus alumnos y adoptar sus correspondientes regímenes y establecer, arbitrar y aplicar sus recursos para el cumplimiento de su misión social y de su función institucional. </w:t>
      </w:r>
    </w:p>
    <w:p w14:paraId="3E2C709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49E9172B"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En su artículo 24 establece que </w:t>
      </w:r>
      <w:r w:rsidRPr="00EC6FCF">
        <w:rPr>
          <w:rFonts w:ascii="Verdana" w:hAnsi="Verdana" w:cs="Arial"/>
          <w:i/>
          <w:iCs/>
          <w:kern w:val="0"/>
        </w:rPr>
        <w:t>“el título es el reconocimiento expreso de carácter académico, otorgado a una persona natural, a la culminación de un programa, por haber adquirido un saber determinado en una Institución de Educación Superior.</w:t>
      </w:r>
      <w:r w:rsidRPr="00EC6FCF">
        <w:rPr>
          <w:rFonts w:ascii="Verdana" w:hAnsi="Verdana" w:cs="Arial"/>
          <w:kern w:val="0"/>
        </w:rPr>
        <w:t> Y es claro que el otorgamiento de títulos en la Educación Superior es de competencia exclusiva de las instituciones de ese nivel. </w:t>
      </w:r>
    </w:p>
    <w:p w14:paraId="0E2AA83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1582EB91"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Así mismo, es necesario tener en consideración que el artículo 109 de la Ley 30 citada, señala que las instituciones de Educación Superior deberán tener un reglamento estudiantil que regule al menos los siguientes aspectos: Requisitos de inscripción, admisión y matrícula, derechos y deberes, distinciones e incentivos, régimen disciplinario y demás aspectos académicos. </w:t>
      </w:r>
    </w:p>
    <w:p w14:paraId="5A93E102"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762BE091"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Es decir, cada institución de educación superior dentro de sus reglamentos internos determina las condiciones y requisitos que deben cumplirse al desarrollar un programa académico para que los egresados de los mismos sean aptos para otorgarles los títulos correspondientes. En este sentido debe tenerse en cuenta que los reglamentos hacen </w:t>
      </w:r>
      <w:r w:rsidRPr="00EC6FCF">
        <w:rPr>
          <w:rFonts w:ascii="Verdana" w:hAnsi="Verdana" w:cs="Arial"/>
          <w:b/>
          <w:bCs/>
          <w:kern w:val="0"/>
        </w:rPr>
        <w:t>parte del contrato de matrícula que se suscribe entre el estudiante y la institución</w:t>
      </w:r>
      <w:r w:rsidRPr="00EC6FCF">
        <w:rPr>
          <w:rFonts w:ascii="Verdana" w:hAnsi="Verdana" w:cs="Arial"/>
          <w:kern w:val="0"/>
        </w:rPr>
        <w:t> y sus condiciones deben ser respetadas y atendidas por ambas partes. </w:t>
      </w:r>
    </w:p>
    <w:p w14:paraId="0C530886"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87ABB3E" w14:textId="77777777" w:rsidR="00C84FDE" w:rsidRPr="00EC6FCF" w:rsidRDefault="00C84FDE" w:rsidP="00C84FDE">
      <w:pPr>
        <w:autoSpaceDE w:val="0"/>
        <w:autoSpaceDN w:val="0"/>
        <w:adjustRightInd w:val="0"/>
        <w:spacing w:after="0" w:line="240" w:lineRule="auto"/>
        <w:ind w:left="705"/>
        <w:jc w:val="both"/>
        <w:rPr>
          <w:rFonts w:ascii="Verdana" w:hAnsi="Verdana" w:cs="Arial"/>
          <w:kern w:val="0"/>
          <w:sz w:val="20"/>
          <w:szCs w:val="20"/>
        </w:rPr>
      </w:pPr>
      <w:r w:rsidRPr="00EC6FCF">
        <w:rPr>
          <w:rFonts w:ascii="Verdana" w:hAnsi="Verdana" w:cs="Arial"/>
          <w:b/>
          <w:bCs/>
          <w:i/>
          <w:iCs/>
          <w:kern w:val="0"/>
          <w:sz w:val="20"/>
          <w:szCs w:val="20"/>
        </w:rPr>
        <w:t>“Artículo   28.</w:t>
      </w:r>
      <w:r w:rsidRPr="00EC6FCF">
        <w:rPr>
          <w:rFonts w:ascii="Verdana" w:hAnsi="Verdana" w:cs="Arial"/>
          <w:i/>
          <w:iCs/>
          <w:kern w:val="0"/>
          <w:sz w:val="20"/>
          <w:szCs w:val="20"/>
        </w:rPr>
        <w:t> La autonomía universitaria consagrada en la Constitución Política de Colombia y de conformidad con la presente ley, reconoce a las universidades el derecho a darse y modificar sus estatutos, designar sus autoridades académicas y administrativas, crear, organizar y desarrollar sus programas académicos, definir y organizar sus labores formativas, académicas, docentes, científicas y culturales, otorgar los títulos correspondientes, seleccionar a sus profesores, admitir a sus alumnos y adoptar sus correspondientes regímenes, y establecer, arbitrar y aplicar sus recursos para el cumplimiento de su misión social y de función institucional.”  (subrayado fuera de texto)</w:t>
      </w:r>
      <w:r w:rsidRPr="00EC6FCF">
        <w:rPr>
          <w:rFonts w:ascii="Verdana" w:hAnsi="Verdana" w:cs="Arial"/>
          <w:kern w:val="0"/>
          <w:sz w:val="20"/>
          <w:szCs w:val="20"/>
        </w:rPr>
        <w:t> </w:t>
      </w:r>
    </w:p>
    <w:p w14:paraId="476E2D10"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p>
    <w:p w14:paraId="68C39C19"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Arial"/>
          <w:b/>
          <w:bCs/>
          <w:i/>
          <w:iCs/>
          <w:kern w:val="0"/>
          <w:sz w:val="20"/>
          <w:szCs w:val="20"/>
        </w:rPr>
        <w:t>“Artículo   29</w:t>
      </w:r>
      <w:r w:rsidRPr="00EC6FCF">
        <w:rPr>
          <w:rFonts w:ascii="Verdana" w:hAnsi="Verdana" w:cs="Arial"/>
          <w:i/>
          <w:iCs/>
          <w:kern w:val="0"/>
          <w:sz w:val="20"/>
          <w:szCs w:val="20"/>
        </w:rPr>
        <w:t>. La autonomía de las instituciones universitarias, o, escuelas tecnológicas y de las instituciones técnicas profesionales estará determinada por su campo de acción y de acuerdo con la presente ley, en los siguientes aspectos:</w:t>
      </w:r>
      <w:r w:rsidRPr="00EC6FCF">
        <w:rPr>
          <w:rFonts w:ascii="Verdana" w:hAnsi="Verdana" w:cs="Arial"/>
          <w:kern w:val="0"/>
          <w:sz w:val="20"/>
          <w:szCs w:val="20"/>
        </w:rPr>
        <w:t> </w:t>
      </w:r>
    </w:p>
    <w:p w14:paraId="33484A64" w14:textId="77777777" w:rsidR="00C84FDE" w:rsidRPr="00EC6FCF" w:rsidRDefault="00C84FDE" w:rsidP="00C84FDE">
      <w:pPr>
        <w:autoSpaceDE w:val="0"/>
        <w:autoSpaceDN w:val="0"/>
        <w:adjustRightInd w:val="0"/>
        <w:spacing w:after="0" w:line="240" w:lineRule="auto"/>
        <w:ind w:left="705"/>
        <w:rPr>
          <w:rFonts w:ascii="Verdana" w:hAnsi="Verdana" w:cs="Segoe UI"/>
          <w:kern w:val="0"/>
          <w:sz w:val="18"/>
          <w:szCs w:val="18"/>
        </w:rPr>
      </w:pPr>
      <w:r w:rsidRPr="00EC6FCF">
        <w:rPr>
          <w:rFonts w:ascii="Verdana" w:hAnsi="Verdana" w:cs="Arial"/>
          <w:i/>
          <w:iCs/>
          <w:kern w:val="0"/>
          <w:sz w:val="20"/>
          <w:szCs w:val="20"/>
          <w:lang w:val="es-ES"/>
        </w:rPr>
        <w:t>a. Darse y modificar sus estatutos;</w:t>
      </w:r>
      <w:r w:rsidRPr="00EC6FCF">
        <w:rPr>
          <w:rFonts w:ascii="Verdana" w:hAnsi="Verdana" w:cs="Arial"/>
          <w:kern w:val="0"/>
          <w:sz w:val="20"/>
          <w:szCs w:val="20"/>
        </w:rPr>
        <w:t> </w:t>
      </w:r>
    </w:p>
    <w:p w14:paraId="775AB9F6" w14:textId="77777777" w:rsidR="00C84FDE" w:rsidRPr="00EC6FCF" w:rsidRDefault="00C84FDE" w:rsidP="00C84FDE">
      <w:pPr>
        <w:autoSpaceDE w:val="0"/>
        <w:autoSpaceDN w:val="0"/>
        <w:adjustRightInd w:val="0"/>
        <w:spacing w:after="0" w:line="240" w:lineRule="auto"/>
        <w:ind w:left="705"/>
        <w:rPr>
          <w:rFonts w:ascii="Verdana" w:hAnsi="Verdana" w:cs="Segoe UI"/>
          <w:kern w:val="0"/>
          <w:sz w:val="18"/>
          <w:szCs w:val="18"/>
        </w:rPr>
      </w:pPr>
      <w:r w:rsidRPr="00EC6FCF">
        <w:rPr>
          <w:rFonts w:ascii="Verdana" w:hAnsi="Verdana" w:cs="Arial"/>
          <w:i/>
          <w:iCs/>
          <w:kern w:val="0"/>
          <w:sz w:val="20"/>
          <w:szCs w:val="20"/>
          <w:lang w:val="es-ES"/>
        </w:rPr>
        <w:t>b. Designar sus autoridades académicas y administrativas;</w:t>
      </w:r>
      <w:r w:rsidRPr="00EC6FCF">
        <w:rPr>
          <w:rFonts w:ascii="Verdana" w:hAnsi="Verdana" w:cs="Arial"/>
          <w:kern w:val="0"/>
          <w:sz w:val="20"/>
          <w:szCs w:val="20"/>
        </w:rPr>
        <w:t> </w:t>
      </w:r>
      <w:r w:rsidRPr="00EC6FCF">
        <w:rPr>
          <w:rFonts w:ascii="Verdana" w:hAnsi="Verdana" w:cs="Arial"/>
          <w:kern w:val="0"/>
          <w:sz w:val="20"/>
          <w:szCs w:val="20"/>
        </w:rPr>
        <w:br/>
      </w:r>
      <w:r w:rsidRPr="00EC6FCF">
        <w:rPr>
          <w:rFonts w:ascii="Verdana" w:hAnsi="Verdana" w:cs="Arial"/>
          <w:i/>
          <w:iCs/>
          <w:kern w:val="0"/>
          <w:sz w:val="20"/>
          <w:szCs w:val="20"/>
          <w:lang w:val="es-ES"/>
        </w:rPr>
        <w:t>c. Crear, desarrollar sus programas académicos, lo mismo que expedir los correspondientes títulos;</w:t>
      </w:r>
      <w:r w:rsidRPr="00EC6FCF">
        <w:rPr>
          <w:rFonts w:ascii="Verdana" w:hAnsi="Verdana" w:cs="Arial"/>
          <w:kern w:val="0"/>
          <w:sz w:val="20"/>
          <w:szCs w:val="20"/>
        </w:rPr>
        <w:t> </w:t>
      </w:r>
      <w:r w:rsidRPr="00EC6FCF">
        <w:rPr>
          <w:rFonts w:ascii="Verdana" w:hAnsi="Verdana" w:cs="Arial"/>
          <w:kern w:val="0"/>
          <w:sz w:val="20"/>
          <w:szCs w:val="20"/>
        </w:rPr>
        <w:br/>
      </w:r>
      <w:r w:rsidRPr="00EC6FCF">
        <w:rPr>
          <w:rFonts w:ascii="Verdana" w:hAnsi="Verdana" w:cs="Arial"/>
          <w:i/>
          <w:iCs/>
          <w:kern w:val="0"/>
          <w:sz w:val="20"/>
          <w:szCs w:val="20"/>
          <w:lang w:val="es-ES"/>
        </w:rPr>
        <w:t>d. Definir y organizar sus labores formativas, académicas, docentes, científicas, culturales y de extensión;</w:t>
      </w:r>
      <w:r w:rsidRPr="00EC6FCF">
        <w:rPr>
          <w:rFonts w:ascii="Verdana" w:hAnsi="Verdana" w:cs="Arial"/>
          <w:kern w:val="0"/>
          <w:sz w:val="20"/>
          <w:szCs w:val="20"/>
        </w:rPr>
        <w:t> </w:t>
      </w:r>
      <w:r w:rsidRPr="00EC6FCF">
        <w:rPr>
          <w:rFonts w:ascii="Verdana" w:hAnsi="Verdana" w:cs="Arial"/>
          <w:kern w:val="0"/>
          <w:sz w:val="20"/>
          <w:szCs w:val="20"/>
        </w:rPr>
        <w:br/>
      </w:r>
      <w:r w:rsidRPr="00EC6FCF">
        <w:rPr>
          <w:rFonts w:ascii="Verdana" w:hAnsi="Verdana" w:cs="Arial"/>
          <w:i/>
          <w:iCs/>
          <w:kern w:val="0"/>
          <w:sz w:val="20"/>
          <w:szCs w:val="20"/>
          <w:lang w:val="es-ES"/>
        </w:rPr>
        <w:t>e. Seleccionar y vincular a sus docentes, lo mismo que sus alumnos;</w:t>
      </w:r>
      <w:r w:rsidRPr="00EC6FCF">
        <w:rPr>
          <w:rFonts w:ascii="Verdana" w:hAnsi="Verdana" w:cs="Arial"/>
          <w:kern w:val="0"/>
          <w:sz w:val="20"/>
          <w:szCs w:val="20"/>
        </w:rPr>
        <w:t> </w:t>
      </w:r>
      <w:r w:rsidRPr="00EC6FCF">
        <w:rPr>
          <w:rFonts w:ascii="Verdana" w:hAnsi="Verdana" w:cs="Arial"/>
          <w:kern w:val="0"/>
          <w:sz w:val="20"/>
          <w:szCs w:val="20"/>
        </w:rPr>
        <w:br/>
      </w:r>
      <w:r w:rsidRPr="00EC6FCF">
        <w:rPr>
          <w:rFonts w:ascii="Verdana" w:hAnsi="Verdana" w:cs="Arial"/>
          <w:i/>
          <w:iCs/>
          <w:kern w:val="0"/>
          <w:sz w:val="20"/>
          <w:szCs w:val="20"/>
          <w:lang w:val="es-ES"/>
        </w:rPr>
        <w:t>f. Adoptar el régimen de alumnos y docentes, y</w:t>
      </w:r>
      <w:r w:rsidRPr="00EC6FCF">
        <w:rPr>
          <w:rFonts w:ascii="Verdana" w:hAnsi="Verdana" w:cs="Arial"/>
          <w:kern w:val="0"/>
          <w:sz w:val="20"/>
          <w:szCs w:val="20"/>
        </w:rPr>
        <w:t> </w:t>
      </w:r>
      <w:r w:rsidRPr="00EC6FCF">
        <w:rPr>
          <w:rFonts w:ascii="Verdana" w:hAnsi="Verdana" w:cs="Arial"/>
          <w:kern w:val="0"/>
          <w:sz w:val="20"/>
          <w:szCs w:val="20"/>
        </w:rPr>
        <w:br/>
      </w:r>
      <w:r w:rsidRPr="00EC6FCF">
        <w:rPr>
          <w:rFonts w:ascii="Verdana" w:hAnsi="Verdana" w:cs="Arial"/>
          <w:i/>
          <w:iCs/>
          <w:kern w:val="0"/>
          <w:sz w:val="20"/>
          <w:szCs w:val="20"/>
          <w:lang w:val="es-ES"/>
        </w:rPr>
        <w:t>g. Arbitrar y aplicar sus recursos para el cumplimiento de su misión social y de su función institucional.</w:t>
      </w:r>
      <w:r w:rsidRPr="00EC6FCF">
        <w:rPr>
          <w:rFonts w:ascii="Verdana" w:hAnsi="Verdana" w:cs="Arial"/>
          <w:kern w:val="0"/>
          <w:sz w:val="20"/>
          <w:szCs w:val="20"/>
        </w:rPr>
        <w:t> </w:t>
      </w:r>
      <w:r w:rsidRPr="00EC6FCF">
        <w:rPr>
          <w:rFonts w:ascii="Verdana" w:hAnsi="Verdana" w:cs="Arial"/>
          <w:kern w:val="0"/>
          <w:sz w:val="20"/>
          <w:szCs w:val="20"/>
        </w:rPr>
        <w:br/>
      </w:r>
      <w:r w:rsidRPr="00EC6FCF">
        <w:rPr>
          <w:rFonts w:ascii="Verdana" w:hAnsi="Verdana" w:cs="Arial"/>
          <w:i/>
          <w:iCs/>
          <w:kern w:val="0"/>
          <w:sz w:val="20"/>
          <w:szCs w:val="20"/>
          <w:lang w:val="es-ES"/>
        </w:rPr>
        <w:t>(…).”</w:t>
      </w:r>
      <w:r w:rsidRPr="00EC6FCF">
        <w:rPr>
          <w:rFonts w:ascii="Verdana" w:hAnsi="Verdana" w:cs="Arial"/>
          <w:kern w:val="0"/>
          <w:sz w:val="20"/>
          <w:szCs w:val="20"/>
        </w:rPr>
        <w:t> </w:t>
      </w:r>
    </w:p>
    <w:p w14:paraId="6E9D183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Sobre la autonomía universitaria la Corte Constitucional ha señalado en reiteradas sentencias como la C-491 de 2016, que: </w:t>
      </w:r>
    </w:p>
    <w:p w14:paraId="1BB5D32A"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w:t>
      </w:r>
      <w:r w:rsidRPr="00EC6FCF">
        <w:rPr>
          <w:rFonts w:ascii="Verdana" w:hAnsi="Verdana" w:cs="Arial"/>
          <w:i/>
          <w:iCs/>
          <w:kern w:val="0"/>
          <w:sz w:val="20"/>
          <w:szCs w:val="20"/>
          <w:highlight w:val="white"/>
        </w:rPr>
        <w:t>Podemos deducir dos grandes vertientes que definen el contenido de la autonomía de las instituciones educativas superiores. De un lado, la </w:t>
      </w:r>
      <w:r w:rsidRPr="00EC6FCF">
        <w:rPr>
          <w:rFonts w:ascii="Verdana" w:hAnsi="Verdana" w:cs="Arial"/>
          <w:b/>
          <w:bCs/>
          <w:i/>
          <w:iCs/>
          <w:kern w:val="0"/>
          <w:sz w:val="20"/>
          <w:szCs w:val="20"/>
          <w:highlight w:val="white"/>
        </w:rPr>
        <w:t>dirección ideológica</w:t>
      </w:r>
      <w:r w:rsidRPr="00EC6FCF">
        <w:rPr>
          <w:rFonts w:ascii="Verdana" w:hAnsi="Verdana" w:cs="Arial"/>
          <w:i/>
          <w:iCs/>
          <w:kern w:val="0"/>
          <w:sz w:val="20"/>
          <w:szCs w:val="20"/>
          <w:highlight w:val="white"/>
        </w:rPr>
        <w:t> del centro educativo, lo cual determina su particularidad y su especial condición filosófica en la sociedad pluralista y participativa. </w:t>
      </w:r>
      <w:r w:rsidRPr="00EC6FCF">
        <w:rPr>
          <w:rFonts w:ascii="Verdana" w:hAnsi="Verdana" w:cs="Arial"/>
          <w:b/>
          <w:bCs/>
          <w:i/>
          <w:iCs/>
          <w:kern w:val="0"/>
          <w:sz w:val="20"/>
          <w:szCs w:val="20"/>
          <w:highlight w:val="white"/>
        </w:rPr>
        <w:t xml:space="preserve">Para ello la universidad cuenta con la potestad de señalar los planes de estudio y los </w:t>
      </w:r>
      <w:r w:rsidRPr="00EC6FCF">
        <w:rPr>
          <w:rFonts w:ascii="Verdana" w:hAnsi="Verdana" w:cs="Arial"/>
          <w:b/>
          <w:bCs/>
          <w:i/>
          <w:iCs/>
          <w:kern w:val="0"/>
          <w:sz w:val="20"/>
          <w:szCs w:val="20"/>
          <w:highlight w:val="white"/>
        </w:rPr>
        <w:lastRenderedPageBreak/>
        <w:t>métodos y sistemas de investigación</w:t>
      </w:r>
      <w:r w:rsidRPr="00EC6FCF">
        <w:rPr>
          <w:rFonts w:ascii="Verdana" w:hAnsi="Verdana" w:cs="Arial"/>
          <w:i/>
          <w:iCs/>
          <w:kern w:val="0"/>
          <w:sz w:val="20"/>
          <w:szCs w:val="20"/>
          <w:highlight w:val="white"/>
        </w:rPr>
        <w:t>. Y, de otro lado, la potestad para </w:t>
      </w:r>
      <w:r w:rsidRPr="00EC6FCF">
        <w:rPr>
          <w:rFonts w:ascii="Verdana" w:hAnsi="Verdana" w:cs="Arial"/>
          <w:b/>
          <w:bCs/>
          <w:i/>
          <w:iCs/>
          <w:kern w:val="0"/>
          <w:sz w:val="20"/>
          <w:szCs w:val="20"/>
          <w:highlight w:val="white"/>
        </w:rPr>
        <w:t>dotarse de su propia organización interna, lo cual se concreta en las normas de funcionamiento y de gestión administrativa</w:t>
      </w:r>
      <w:r w:rsidRPr="00EC6FCF">
        <w:rPr>
          <w:rFonts w:ascii="Verdana" w:hAnsi="Verdana" w:cs="Arial"/>
          <w:i/>
          <w:iCs/>
          <w:kern w:val="0"/>
          <w:sz w:val="20"/>
          <w:szCs w:val="20"/>
          <w:highlight w:val="white"/>
        </w:rPr>
        <w:t>, en el sistema de elaboración y aprobación de su presupuesto, la administración de sus bienes, la selección y formación de sus docentes” (subrayado y negrillas fuera de texto)</w:t>
      </w:r>
      <w:r w:rsidRPr="00EC6FCF">
        <w:rPr>
          <w:rFonts w:ascii="Verdana" w:hAnsi="Verdana" w:cs="Arial"/>
          <w:kern w:val="0"/>
          <w:sz w:val="20"/>
          <w:szCs w:val="20"/>
        </w:rPr>
        <w:t> </w:t>
      </w:r>
    </w:p>
    <w:p w14:paraId="2972B12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Es así, que al contrastar la interpretación constitucional con las normas en cita se puede establecer que los temas contemplados dentro del manejo de la autonomía universitaria en las instituciones de educación superior son de amplio alcance, es decir, estos abarcan temas académicos, ideológicos, política administrativa y de manejo de recursos. Al respecto, la Corte Constitucional establece en la sentencia citada la capacidad de acción de los entes educativos de educación superior de la siguiente manera: </w:t>
      </w:r>
    </w:p>
    <w:p w14:paraId="3001DB50"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highlight w:val="white"/>
        </w:rPr>
        <w:t>“Por tanto, conforme a la Constitución y la Ley, la capacidad de acción de las universidades se resume en las facultades de: (i) darse y modificar sus estatutos, (ii) establecer los mecanismos que faciliten la elección, designación y períodos de sus directivos y administradores, (iii) desarrollar sus planes de estudio y sus programas académicos, formativos, docentes, científicos y culturales, (iii) seleccionar a sus profesores y admitir a sus alumnos, (iv) asumir la elaboración y aprobación de sus presupuestos y (v) administrar sus propios bienes y recursos</w:t>
      </w:r>
      <w:r w:rsidRPr="00EC6FCF">
        <w:rPr>
          <w:rFonts w:ascii="Verdana" w:hAnsi="Verdana" w:cs="Arial"/>
          <w:i/>
          <w:iCs/>
          <w:kern w:val="0"/>
          <w:sz w:val="20"/>
          <w:szCs w:val="20"/>
        </w:rPr>
        <w:t>”</w:t>
      </w:r>
      <w:r w:rsidRPr="00EC6FCF">
        <w:rPr>
          <w:rFonts w:ascii="Verdana" w:hAnsi="Verdana" w:cs="Arial"/>
          <w:kern w:val="0"/>
          <w:sz w:val="20"/>
          <w:szCs w:val="20"/>
        </w:rPr>
        <w:t> </w:t>
      </w:r>
    </w:p>
    <w:p w14:paraId="524758D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Si bien es cierto que, la autonomía universitaria tiene un amplio margen de configuración, no lo es menos que esta tiene límites fijados en la constitución y en la ley, que han sido definidos por la Corte Constitucional en diferentes providencias entre ellas la sentencia C-704 de 2010, que expone: </w:t>
      </w:r>
    </w:p>
    <w:p w14:paraId="1628F718"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highlight w:val="white"/>
        </w:rPr>
        <w:t>“La jurisprudencia de esta Corporación ha puesto de manifiesto que diversos preceptos constitucionales </w:t>
      </w:r>
      <w:r w:rsidRPr="00EC6FCF">
        <w:rPr>
          <w:rFonts w:ascii="Verdana" w:hAnsi="Verdana" w:cs="Arial"/>
          <w:b/>
          <w:bCs/>
          <w:i/>
          <w:iCs/>
          <w:kern w:val="0"/>
          <w:sz w:val="20"/>
          <w:szCs w:val="20"/>
          <w:highlight w:val="white"/>
        </w:rPr>
        <w:t>fijan límites</w:t>
      </w:r>
      <w:r w:rsidRPr="00EC6FCF">
        <w:rPr>
          <w:rFonts w:ascii="Verdana" w:hAnsi="Verdana" w:cs="Arial"/>
          <w:i/>
          <w:iCs/>
          <w:kern w:val="0"/>
          <w:sz w:val="20"/>
          <w:szCs w:val="20"/>
          <w:highlight w:val="white"/>
        </w:rPr>
        <w:t> a la autonomía universitaria, como por ejemplo: (i) la facultad reconocida al Estado para regular y ejercer la suprema </w:t>
      </w:r>
      <w:r w:rsidRPr="00EC6FCF">
        <w:rPr>
          <w:rFonts w:ascii="Verdana" w:hAnsi="Verdana" w:cs="Arial"/>
          <w:b/>
          <w:bCs/>
          <w:i/>
          <w:iCs/>
          <w:kern w:val="0"/>
          <w:sz w:val="20"/>
          <w:szCs w:val="20"/>
          <w:highlight w:val="white"/>
        </w:rPr>
        <w:t>inspección y vigilancia de la educación</w:t>
      </w:r>
      <w:r w:rsidRPr="00EC6FCF">
        <w:rPr>
          <w:rFonts w:ascii="Verdana" w:hAnsi="Verdana" w:cs="Arial"/>
          <w:i/>
          <w:iCs/>
          <w:kern w:val="0"/>
          <w:sz w:val="20"/>
          <w:szCs w:val="20"/>
          <w:highlight w:val="white"/>
        </w:rPr>
        <w:t> (art. 67 CP); (ii) </w:t>
      </w:r>
      <w:r w:rsidRPr="00EC6FCF">
        <w:rPr>
          <w:rFonts w:ascii="Verdana" w:hAnsi="Verdana" w:cs="Arial"/>
          <w:b/>
          <w:bCs/>
          <w:i/>
          <w:iCs/>
          <w:kern w:val="0"/>
          <w:sz w:val="20"/>
          <w:szCs w:val="20"/>
          <w:highlight w:val="white"/>
        </w:rPr>
        <w:t>la competencia atribuida al legislador para expedir las disposiciones generales</w:t>
      </w:r>
      <w:r w:rsidRPr="00EC6FCF">
        <w:rPr>
          <w:rFonts w:ascii="Verdana" w:hAnsi="Verdana" w:cs="Arial"/>
          <w:i/>
          <w:iCs/>
          <w:kern w:val="0"/>
          <w:sz w:val="20"/>
          <w:szCs w:val="20"/>
          <w:highlight w:val="white"/>
        </w:rPr>
        <w:t> con arreglo a las cuales las universidades pueden darse sus directivas y regirse por sus propios estatutos (art. 69 CP); (iii) la </w:t>
      </w:r>
      <w:r w:rsidRPr="00EC6FCF">
        <w:rPr>
          <w:rFonts w:ascii="Verdana" w:hAnsi="Verdana" w:cs="Arial"/>
          <w:b/>
          <w:bCs/>
          <w:i/>
          <w:iCs/>
          <w:kern w:val="0"/>
          <w:sz w:val="20"/>
          <w:szCs w:val="20"/>
          <w:highlight w:val="white"/>
        </w:rPr>
        <w:t>facultad de configuración legislativa para expedir las leyes que regirán la prestación efectiva de los servicios públicos</w:t>
      </w:r>
      <w:r w:rsidRPr="00EC6FCF">
        <w:rPr>
          <w:rFonts w:ascii="Verdana" w:hAnsi="Verdana" w:cs="Arial"/>
          <w:i/>
          <w:iCs/>
          <w:kern w:val="0"/>
          <w:sz w:val="20"/>
          <w:szCs w:val="20"/>
          <w:highlight w:val="white"/>
        </w:rPr>
        <w:t> (art. 150-23 CP); y (iv) </w:t>
      </w:r>
      <w:r w:rsidRPr="00EC6FCF">
        <w:rPr>
          <w:rFonts w:ascii="Verdana" w:hAnsi="Verdana" w:cs="Arial"/>
          <w:b/>
          <w:bCs/>
          <w:i/>
          <w:iCs/>
          <w:kern w:val="0"/>
          <w:sz w:val="20"/>
          <w:szCs w:val="20"/>
          <w:highlight w:val="white"/>
        </w:rPr>
        <w:t>el respeto por el ejercicio legítimo de los derechos fundamentales</w:t>
      </w:r>
      <w:r w:rsidRPr="00EC6FCF">
        <w:rPr>
          <w:rFonts w:ascii="Verdana" w:hAnsi="Verdana" w:cs="Arial"/>
          <w:i/>
          <w:iCs/>
          <w:kern w:val="0"/>
          <w:sz w:val="20"/>
          <w:szCs w:val="20"/>
          <w:highlight w:val="white"/>
        </w:rPr>
        <w:t> (Título II, Capítulo II de la Constitución)” </w:t>
      </w:r>
      <w:r w:rsidRPr="00EC6FCF">
        <w:rPr>
          <w:rFonts w:ascii="Verdana" w:hAnsi="Verdana" w:cs="Arial"/>
          <w:kern w:val="0"/>
          <w:sz w:val="20"/>
          <w:szCs w:val="20"/>
          <w:highlight w:val="white"/>
        </w:rPr>
        <w:t>(subrayado fuera de texto)</w:t>
      </w:r>
      <w:r w:rsidRPr="00EC6FCF">
        <w:rPr>
          <w:rFonts w:ascii="Verdana" w:hAnsi="Verdana" w:cs="Arial"/>
          <w:kern w:val="0"/>
          <w:sz w:val="20"/>
          <w:szCs w:val="20"/>
        </w:rPr>
        <w:t> </w:t>
      </w:r>
    </w:p>
    <w:p w14:paraId="3C9C2145"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Ahora bien, debido a que uno de los límites fijados a la autonomía universitaria es la facultad del Estado de ejercer la inspección y vigilancia de la educación, se procederá a explicar en qué consiste la misma. </w:t>
      </w:r>
    </w:p>
    <w:p w14:paraId="4CB52DD4"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rPr>
        <w:t> </w:t>
      </w:r>
    </w:p>
    <w:p w14:paraId="5DAC0F15" w14:textId="77777777" w:rsidR="00C84FDE" w:rsidRPr="00EC6FCF" w:rsidRDefault="00C84FDE">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Arial"/>
          <w:b/>
          <w:bCs/>
          <w:kern w:val="0"/>
        </w:rPr>
        <w:t>De la función de inspección y vigilancia del Ministerio de Educación Nacional</w:t>
      </w:r>
      <w:r w:rsidRPr="00EC6FCF">
        <w:rPr>
          <w:rFonts w:ascii="Verdana" w:hAnsi="Verdana" w:cs="Arial"/>
          <w:kern w:val="0"/>
        </w:rPr>
        <w:t> </w:t>
      </w:r>
    </w:p>
    <w:p w14:paraId="2CCB7624"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Ahora, si bien es cierto que la misma Constitución Política le asigna al Estado la suprema inspección y vigilancia de la Educación Superior en sus artículos 67, 189 - numerales 21, 22 y 26, así como en su artículo 365, esa inspección y vigilancia tiene dos grandes características :1) No anula ni coarta la autonomía universitaria, y 2) No es ilimitada, sino que solamente puede ser ejercida dentro de las reglas que fije el Congreso de la República mediante Ley. </w:t>
      </w:r>
    </w:p>
    <w:p w14:paraId="148010E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En relación con la primera característica, debemos señalar que mediante la ley 1740 de 2014, por la cual se desarrolla parcialmente el artículo 67 y los numerales 21, 22 y 26 del artículo 189 de la constitución política, se regula la inspección y vigilancia de la educación superior, se modifica parcialmente la ley 30 de 1992 y se dictan otras disposiciones y dispuso al respecto en sus artículos 1 y 2 lo siguiente: </w:t>
      </w:r>
    </w:p>
    <w:p w14:paraId="101649B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sz w:val="20"/>
          <w:szCs w:val="20"/>
        </w:rPr>
        <w:t> </w:t>
      </w:r>
    </w:p>
    <w:p w14:paraId="421791E1" w14:textId="77777777" w:rsidR="00C84FDE" w:rsidRPr="00EC6FCF" w:rsidRDefault="00C84FDE" w:rsidP="00C84FDE">
      <w:pPr>
        <w:autoSpaceDE w:val="0"/>
        <w:autoSpaceDN w:val="0"/>
        <w:adjustRightInd w:val="0"/>
        <w:spacing w:after="0" w:line="240" w:lineRule="auto"/>
        <w:ind w:left="420" w:right="330"/>
        <w:jc w:val="both"/>
        <w:rPr>
          <w:rFonts w:ascii="Verdana" w:hAnsi="Verdana" w:cs="Segoe UI"/>
          <w:kern w:val="0"/>
          <w:sz w:val="18"/>
          <w:szCs w:val="18"/>
        </w:rPr>
      </w:pPr>
      <w:r w:rsidRPr="00EC6FCF">
        <w:rPr>
          <w:rFonts w:ascii="Verdana" w:hAnsi="Verdana" w:cs="Arial"/>
          <w:i/>
          <w:iCs/>
          <w:kern w:val="0"/>
          <w:sz w:val="20"/>
          <w:szCs w:val="20"/>
        </w:rPr>
        <w:t>“ARTÍCULO 1°: FINALIDAD.  La finalidad de la presente ley es establecer las </w:t>
      </w:r>
      <w:r w:rsidRPr="00EC6FCF">
        <w:rPr>
          <w:rFonts w:ascii="Verdana" w:hAnsi="Verdana" w:cs="Arial"/>
          <w:b/>
          <w:bCs/>
          <w:i/>
          <w:iCs/>
          <w:kern w:val="0"/>
          <w:sz w:val="20"/>
          <w:szCs w:val="20"/>
        </w:rPr>
        <w:t>normas de la inspección y vigilancia </w:t>
      </w:r>
      <w:r w:rsidRPr="00EC6FCF">
        <w:rPr>
          <w:rFonts w:ascii="Verdana" w:hAnsi="Verdana" w:cs="Arial"/>
          <w:i/>
          <w:iCs/>
          <w:kern w:val="0"/>
          <w:sz w:val="20"/>
          <w:szCs w:val="20"/>
        </w:rPr>
        <w:t xml:space="preserve">de la educación superior en </w:t>
      </w:r>
      <w:r w:rsidRPr="00EC6FCF">
        <w:rPr>
          <w:rFonts w:ascii="Verdana" w:hAnsi="Verdana" w:cs="Arial"/>
          <w:i/>
          <w:iCs/>
          <w:kern w:val="0"/>
          <w:sz w:val="20"/>
          <w:szCs w:val="20"/>
        </w:rPr>
        <w:lastRenderedPageBreak/>
        <w:t>Colombia, con el fin de velar por la calidad de este servicio público, su continuidad, la mejor formación moral, intelectual y física de los educandos, el cumplimiento de sus objetivos, el adecuado cubrimiento del servicio y porque en las instituciones de educación superior sus rentas se conserven y se apliquen debidamente, </w:t>
      </w:r>
      <w:r w:rsidRPr="00EC6FCF">
        <w:rPr>
          <w:rFonts w:ascii="Verdana" w:hAnsi="Verdana" w:cs="Arial"/>
          <w:b/>
          <w:bCs/>
          <w:i/>
          <w:iCs/>
          <w:kern w:val="0"/>
          <w:sz w:val="20"/>
          <w:szCs w:val="20"/>
        </w:rPr>
        <w:t>garantizando siempre la autonomía universitaria constitucionalmente establecida.</w:t>
      </w:r>
      <w:r w:rsidRPr="00EC6FCF">
        <w:rPr>
          <w:rFonts w:ascii="Verdana" w:hAnsi="Verdana" w:cs="Arial"/>
          <w:i/>
          <w:iCs/>
          <w:kern w:val="0"/>
          <w:sz w:val="20"/>
          <w:szCs w:val="20"/>
        </w:rPr>
        <w:t>”</w:t>
      </w:r>
      <w:r w:rsidRPr="00EC6FCF">
        <w:rPr>
          <w:rFonts w:ascii="Verdana" w:hAnsi="Verdana" w:cs="Arial"/>
          <w:kern w:val="0"/>
          <w:sz w:val="20"/>
          <w:szCs w:val="20"/>
        </w:rPr>
        <w:t> </w:t>
      </w:r>
    </w:p>
    <w:p w14:paraId="1D4443C0" w14:textId="77777777" w:rsidR="00C84FDE" w:rsidRPr="00EC6FCF" w:rsidRDefault="00C84FDE" w:rsidP="00C84FDE">
      <w:pPr>
        <w:autoSpaceDE w:val="0"/>
        <w:autoSpaceDN w:val="0"/>
        <w:adjustRightInd w:val="0"/>
        <w:spacing w:after="0" w:line="240" w:lineRule="auto"/>
        <w:ind w:left="420" w:right="33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“ARTICULO 2: PREVENCION. El Ministerio de Educación Nacional propenderá por el desarrollo de un proceso de evaluación que apoye, fomente y dignifique la Educación Superior, velando por la prevención, como uno de los elementos de la inspección y vigilancia, en los siguientes aspectos: </w:t>
      </w:r>
      <w:r w:rsidRPr="00EC6FCF">
        <w:rPr>
          <w:rFonts w:ascii="Verdana" w:hAnsi="Verdana" w:cs="Arial"/>
          <w:kern w:val="0"/>
          <w:sz w:val="20"/>
          <w:szCs w:val="20"/>
        </w:rPr>
        <w:t> </w:t>
      </w:r>
    </w:p>
    <w:p w14:paraId="5EE7DC83" w14:textId="77777777" w:rsidR="00C84FDE" w:rsidRPr="00EC6FCF" w:rsidRDefault="00C84FDE" w:rsidP="00C84FDE">
      <w:pPr>
        <w:autoSpaceDE w:val="0"/>
        <w:autoSpaceDN w:val="0"/>
        <w:adjustRightInd w:val="0"/>
        <w:spacing w:after="0" w:line="240" w:lineRule="auto"/>
        <w:ind w:left="420" w:right="33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b/>
          <w:bCs/>
          <w:i/>
          <w:iCs/>
          <w:kern w:val="0"/>
          <w:sz w:val="20"/>
          <w:szCs w:val="20"/>
        </w:rPr>
        <w:t>La calidad de la Educación Superior dentro del respeto a la autonomía universitaria y a las libertades de enseñanza, aprendizaje, investigación y cátedra” </w:t>
      </w:r>
      <w:r w:rsidRPr="00EC6FCF">
        <w:rPr>
          <w:rFonts w:ascii="Verdana" w:hAnsi="Verdana" w:cs="Arial"/>
          <w:kern w:val="0"/>
          <w:sz w:val="20"/>
          <w:szCs w:val="20"/>
        </w:rPr>
        <w:t>(subrayado y negrilla fuera de texto) </w:t>
      </w:r>
    </w:p>
    <w:p w14:paraId="00037D89" w14:textId="77777777" w:rsidR="00C84FDE" w:rsidRPr="00EC6FCF" w:rsidRDefault="00C84FDE" w:rsidP="00C84FDE">
      <w:pPr>
        <w:autoSpaceDE w:val="0"/>
        <w:autoSpaceDN w:val="0"/>
        <w:adjustRightInd w:val="0"/>
        <w:spacing w:after="0" w:line="240" w:lineRule="auto"/>
        <w:ind w:right="45" w:firstLine="420"/>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Las normas transcritas son claras en señalar que el </w:t>
      </w:r>
      <w:r w:rsidRPr="00EC6FCF">
        <w:rPr>
          <w:rFonts w:ascii="Verdana" w:hAnsi="Verdana" w:cs="Arial"/>
          <w:b/>
          <w:bCs/>
          <w:kern w:val="0"/>
        </w:rPr>
        <w:t>ejercicio de las funciones de inspección y vigilancia no pueden afectar ni vulnerar el respeto a la autonomía universitaria</w:t>
      </w:r>
      <w:r w:rsidRPr="00EC6FCF">
        <w:rPr>
          <w:rFonts w:ascii="Verdana" w:hAnsi="Verdana" w:cs="Arial"/>
          <w:kern w:val="0"/>
        </w:rPr>
        <w:t> que la constitución le otorga a las Instituciones de Educación Superior para autorregularse y para crear, ofrecer, desarrollar y titular sus programas académicos. </w:t>
      </w:r>
    </w:p>
    <w:p w14:paraId="20F3B27C"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Por ende, cuando el Ministerio de Educación Nacional ejerce las funciones de inspección y vigilancia de la educación superior que le delegó el presidente de la república mediante el Decreto 698 de 1993, sólo le está permitido hacer lo que señalan expresamente las normas legales y sin vulnerar la autonomía universitaria que la Constitución le garantiza a las instituciones de educación superior. </w:t>
      </w:r>
    </w:p>
    <w:p w14:paraId="4012FDF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De manera particular, el Decreto 1075 de 2015 “Por medio del cual se expide el Decreto Único Reglamentario del Sector Educación”, dispone:  </w:t>
      </w:r>
    </w:p>
    <w:p w14:paraId="33A6AA64"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kern w:val="0"/>
          <w:sz w:val="20"/>
          <w:szCs w:val="20"/>
        </w:rPr>
        <w:t> </w:t>
      </w:r>
      <w:r w:rsidRPr="00EC6FCF">
        <w:rPr>
          <w:rFonts w:ascii="Verdana" w:hAnsi="Verdana" w:cs="Arial"/>
          <w:i/>
          <w:iCs/>
          <w:kern w:val="0"/>
          <w:sz w:val="20"/>
          <w:szCs w:val="20"/>
        </w:rPr>
        <w:t>“ARTÍCULO 2.5.3.2.10.6. DEL EJERCICIO DE LA FUNCIÓN DE INSPECCIÓN Y VIGILANCIA. El Ministerio de Educación Nacional podrá adelantar en cualquier momento la verificación de las condiciones de calidad bajo las cuales se ofrece y desarrolla un programa académico de educación superior.”</w:t>
      </w:r>
      <w:r w:rsidRPr="00EC6FCF">
        <w:rPr>
          <w:rFonts w:ascii="Verdana" w:hAnsi="Verdana" w:cs="Arial"/>
          <w:kern w:val="0"/>
          <w:sz w:val="20"/>
          <w:szCs w:val="20"/>
        </w:rPr>
        <w:t> </w:t>
      </w:r>
    </w:p>
    <w:p w14:paraId="1BE38776" w14:textId="77777777" w:rsidR="00C84FDE" w:rsidRPr="00EC6FCF" w:rsidRDefault="00C84FDE" w:rsidP="00C84FDE">
      <w:pPr>
        <w:autoSpaceDE w:val="0"/>
        <w:autoSpaceDN w:val="0"/>
        <w:adjustRightInd w:val="0"/>
        <w:spacing w:after="0" w:line="240" w:lineRule="auto"/>
        <w:ind w:right="45"/>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Ahora bien, en virtud de las facultades de Vigilancia de las instituciones de educación superior, de conformidad con el artículo 9º de la Ley 1740 de 2014 </w:t>
      </w:r>
      <w:r w:rsidRPr="00EC6FCF">
        <w:rPr>
          <w:rFonts w:ascii="Verdana" w:hAnsi="Verdana" w:cs="Arial"/>
          <w:i/>
          <w:iCs/>
          <w:kern w:val="0"/>
        </w:rPr>
        <w:t>"Por la cual se desarrolla parcialmente el Artículo 67 y los numerales 21, 22 Y 26 del Artículo 189 de la Constitución Política, se regula la Inspección y Vigilancia de la Educación Superior, se modifica parcialmente la Ley 30 de 1992 y se dictan otras disposiciones"</w:t>
      </w:r>
      <w:r w:rsidRPr="00EC6FCF">
        <w:rPr>
          <w:rFonts w:ascii="Verdana" w:hAnsi="Verdana" w:cs="Arial"/>
          <w:kern w:val="0"/>
        </w:rPr>
        <w:t>, el </w:t>
      </w:r>
      <w:r w:rsidRPr="00EC6FCF">
        <w:rPr>
          <w:rFonts w:ascii="Verdana" w:hAnsi="Verdana" w:cs="Arial"/>
          <w:b/>
          <w:bCs/>
          <w:kern w:val="0"/>
        </w:rPr>
        <w:t>Ministerio está dotado de instrumentos para intervenir a la institución de educación superior</w:t>
      </w:r>
      <w:r w:rsidRPr="00EC6FCF">
        <w:rPr>
          <w:rFonts w:ascii="Verdana" w:hAnsi="Verdana" w:cs="Arial"/>
          <w:kern w:val="0"/>
        </w:rPr>
        <w:t> en aras de llegar a </w:t>
      </w:r>
      <w:r w:rsidRPr="00EC6FCF">
        <w:rPr>
          <w:rFonts w:ascii="Verdana" w:hAnsi="Verdana" w:cs="Arial"/>
          <w:b/>
          <w:bCs/>
          <w:kern w:val="0"/>
        </w:rPr>
        <w:t>la corrección de situaciones que afecten la prestación efectiva del servicio educativo</w:t>
      </w:r>
      <w:r w:rsidRPr="00EC6FCF">
        <w:rPr>
          <w:rFonts w:ascii="Verdana" w:hAnsi="Verdana" w:cs="Arial"/>
          <w:kern w:val="0"/>
        </w:rPr>
        <w:t>, así: </w:t>
      </w:r>
    </w:p>
    <w:p w14:paraId="02D07823"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“ARTÍCULO 9°: FUNCIONES DE VIGILANCIA. En ejercicio de la facultad de vigilancia de las instituciones de educación superior, el Ministerio de Educación Nacional, podrá: </w:t>
      </w:r>
      <w:r w:rsidRPr="00EC6FCF">
        <w:rPr>
          <w:rFonts w:ascii="Verdana" w:hAnsi="Verdana" w:cs="Arial"/>
          <w:kern w:val="0"/>
          <w:sz w:val="20"/>
          <w:szCs w:val="20"/>
        </w:rPr>
        <w:t> </w:t>
      </w:r>
    </w:p>
    <w:p w14:paraId="129D880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 1. Hacer seguimiento a las actividades que desarrollan las instituciones de educación superior, con el objeto de velar por la prestación del servicio educativo en condiciones de calidad y continuidad. </w:t>
      </w:r>
      <w:r w:rsidRPr="00EC6FCF">
        <w:rPr>
          <w:rFonts w:ascii="Verdana" w:hAnsi="Verdana" w:cs="Arial"/>
          <w:kern w:val="0"/>
          <w:sz w:val="20"/>
          <w:szCs w:val="20"/>
        </w:rPr>
        <w:t> </w:t>
      </w:r>
    </w:p>
    <w:p w14:paraId="4077EF3A"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2. Practicar visitas generales o específicas y adoptar las medidas a que haya lugar para que se subsanen las irregularidades que se detecten.</w:t>
      </w:r>
      <w:r w:rsidRPr="00EC6FCF">
        <w:rPr>
          <w:rFonts w:ascii="Verdana" w:hAnsi="Verdana" w:cs="Arial"/>
          <w:kern w:val="0"/>
          <w:sz w:val="20"/>
          <w:szCs w:val="20"/>
        </w:rPr>
        <w:t> </w:t>
      </w:r>
    </w:p>
    <w:p w14:paraId="5421528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3. Realizar auditorías sobre los procedimientos financieros y contables cuando sea necesario para el cabal cumplimiento de los objetivos y funciones.</w:t>
      </w:r>
      <w:r w:rsidRPr="00EC6FCF">
        <w:rPr>
          <w:rFonts w:ascii="Verdana" w:hAnsi="Verdana" w:cs="Arial"/>
          <w:kern w:val="0"/>
          <w:sz w:val="20"/>
          <w:szCs w:val="20"/>
        </w:rPr>
        <w:t> </w:t>
      </w:r>
    </w:p>
    <w:p w14:paraId="1D6798FA"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 xml:space="preserve">4. Dar trámite a las reclamaciones o quejas que se presenten contra las instituciones vigiladas, por parte de quienes acrediten un interés jurídico, llevando a cabo las investigaciones que sean necesarias, con el fin de establecer las </w:t>
      </w:r>
      <w:r w:rsidRPr="00EC6FCF">
        <w:rPr>
          <w:rFonts w:ascii="Verdana" w:hAnsi="Verdana" w:cs="Arial"/>
          <w:i/>
          <w:iCs/>
          <w:kern w:val="0"/>
          <w:sz w:val="20"/>
          <w:szCs w:val="20"/>
        </w:rPr>
        <w:lastRenderedPageBreak/>
        <w:t>responsabilidades administrativas o académicas del caso o adoptar las medidas que resulten pertinentes. Cuando se trate de asuntos contenciosos, dará traslado de las mismas a las autoridades competentes, si a ello hubiere lugar. </w:t>
      </w:r>
      <w:r w:rsidRPr="00EC6FCF">
        <w:rPr>
          <w:rFonts w:ascii="Verdana" w:hAnsi="Verdana" w:cs="Arial"/>
          <w:kern w:val="0"/>
          <w:sz w:val="20"/>
          <w:szCs w:val="20"/>
        </w:rPr>
        <w:t> </w:t>
      </w:r>
    </w:p>
    <w:p w14:paraId="2A646E70"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5. Verificar que las actividades se desarrollen dentro de la ley, los reglamentos y los estatutos de la institución de educación superior y solicitar la cesación de las actuaciones contrarias al ordenamiento jurídico o a los estatutos.</w:t>
      </w:r>
      <w:r w:rsidRPr="00EC6FCF">
        <w:rPr>
          <w:rFonts w:ascii="Verdana" w:hAnsi="Verdana" w:cs="Arial"/>
          <w:kern w:val="0"/>
          <w:sz w:val="20"/>
          <w:szCs w:val="20"/>
        </w:rPr>
        <w:t> </w:t>
      </w:r>
    </w:p>
    <w:p w14:paraId="69ED7A54"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6. Solicitar la rendición detallada de informes respecto de las decisiones adoptadas en temas relativos a su situación jurídica, contable, financiera y administrativa, o en aspectos relacionados con las condiciones de calidad establecidas en la normatividad vigente.</w:t>
      </w:r>
      <w:r w:rsidRPr="00EC6FCF">
        <w:rPr>
          <w:rFonts w:ascii="Verdana" w:hAnsi="Verdana" w:cs="Arial"/>
          <w:kern w:val="0"/>
          <w:sz w:val="20"/>
          <w:szCs w:val="20"/>
        </w:rPr>
        <w:t> </w:t>
      </w:r>
    </w:p>
    <w:p w14:paraId="567AD8D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7. Hacer acompañamiento a la institución de educación superior, para la implementación de medidas encaminadas al restablecimiento de la continuidad del servicio o el mejoramiento de su calidad.  </w:t>
      </w:r>
      <w:r w:rsidRPr="00EC6FCF">
        <w:rPr>
          <w:rFonts w:ascii="Verdana" w:hAnsi="Verdana" w:cs="Arial"/>
          <w:kern w:val="0"/>
          <w:sz w:val="20"/>
          <w:szCs w:val="20"/>
        </w:rPr>
        <w:t> </w:t>
      </w:r>
    </w:p>
    <w:p w14:paraId="41DD47EF"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8. Conminar bajo el apremio de multas sucesivas hasta de cien (100) salarios mínimos mensuales legales vigentes a representantes legales, rectores o a los miembros de los órganos de dirección para que se abstengan de realizar actos contrarios a la Constitución, la ley, los reglamentos y los estatutos, o de invertir y destinar recursos por fuera de la misión y de los fines de la institución de educación superior.”</w:t>
      </w:r>
      <w:r w:rsidRPr="00EC6FCF">
        <w:rPr>
          <w:rFonts w:ascii="Verdana" w:hAnsi="Verdana" w:cs="Arial"/>
          <w:kern w:val="0"/>
          <w:sz w:val="20"/>
          <w:szCs w:val="20"/>
        </w:rPr>
        <w:t> </w:t>
      </w:r>
    </w:p>
    <w:p w14:paraId="611D6C8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rial"/>
          <w:kern w:val="0"/>
        </w:rPr>
        <w:t> </w:t>
      </w:r>
    </w:p>
    <w:p w14:paraId="40D91C35" w14:textId="77777777" w:rsidR="00C84FDE" w:rsidRPr="00EC6FCF" w:rsidRDefault="00C84FDE" w:rsidP="00C84FDE">
      <w:pPr>
        <w:autoSpaceDE w:val="0"/>
        <w:autoSpaceDN w:val="0"/>
        <w:adjustRightInd w:val="0"/>
        <w:spacing w:after="0" w:line="240" w:lineRule="auto"/>
        <w:ind w:right="45"/>
        <w:jc w:val="both"/>
        <w:rPr>
          <w:rFonts w:ascii="Verdana" w:hAnsi="Verdana" w:cs="Segoe UI"/>
          <w:kern w:val="0"/>
          <w:sz w:val="18"/>
          <w:szCs w:val="18"/>
        </w:rPr>
      </w:pPr>
      <w:r w:rsidRPr="00EC6FCF">
        <w:rPr>
          <w:rFonts w:ascii="Verdana" w:hAnsi="Verdana" w:cs="Arial"/>
          <w:kern w:val="0"/>
        </w:rPr>
        <w:t>Al respecto la Corte Constitucional en sentencia C-491 de 2016, estableció los casos en que es procedente la </w:t>
      </w:r>
      <w:r w:rsidRPr="00EC6FCF">
        <w:rPr>
          <w:rFonts w:ascii="Verdana" w:hAnsi="Verdana" w:cs="Arial"/>
          <w:b/>
          <w:bCs/>
          <w:kern w:val="0"/>
          <w:u w:val="single"/>
        </w:rPr>
        <w:t>adopción de las medidas preventivas de vigilancia</w:t>
      </w:r>
      <w:r w:rsidRPr="00EC6FCF">
        <w:rPr>
          <w:rFonts w:ascii="Verdana" w:hAnsi="Verdana" w:cs="Arial"/>
          <w:kern w:val="0"/>
        </w:rPr>
        <w:t> por parte del Ministerio de Educación, medida que debe ser ejercida bajo el marco de un proceso administrativo y que es procedente cuando: </w:t>
      </w:r>
    </w:p>
    <w:p w14:paraId="641BFAB0" w14:textId="77777777" w:rsidR="00C84FDE" w:rsidRPr="00EC6FCF" w:rsidRDefault="00C84FDE" w:rsidP="00C84FDE">
      <w:pPr>
        <w:autoSpaceDE w:val="0"/>
        <w:autoSpaceDN w:val="0"/>
        <w:adjustRightInd w:val="0"/>
        <w:spacing w:after="0" w:line="240" w:lineRule="auto"/>
        <w:ind w:right="330"/>
        <w:jc w:val="both"/>
        <w:rPr>
          <w:rFonts w:ascii="Verdana" w:hAnsi="Verdana" w:cs="Segoe UI"/>
          <w:kern w:val="0"/>
          <w:sz w:val="18"/>
          <w:szCs w:val="18"/>
        </w:rPr>
      </w:pPr>
      <w:r w:rsidRPr="00EC6FCF">
        <w:rPr>
          <w:rFonts w:ascii="Verdana" w:hAnsi="Verdana" w:cs="Arial"/>
          <w:kern w:val="0"/>
        </w:rPr>
        <w:t> </w:t>
      </w:r>
    </w:p>
    <w:p w14:paraId="206D1F2F" w14:textId="77777777" w:rsidR="00C84FDE" w:rsidRPr="00EC6FCF" w:rsidRDefault="00C84FDE" w:rsidP="00C84FDE">
      <w:pPr>
        <w:autoSpaceDE w:val="0"/>
        <w:autoSpaceDN w:val="0"/>
        <w:adjustRightInd w:val="0"/>
        <w:spacing w:after="0" w:line="240" w:lineRule="auto"/>
        <w:ind w:left="270" w:right="330"/>
        <w:jc w:val="both"/>
        <w:rPr>
          <w:rFonts w:ascii="Verdana" w:hAnsi="Verdana" w:cs="Segoe UI"/>
          <w:kern w:val="0"/>
          <w:sz w:val="18"/>
          <w:szCs w:val="18"/>
        </w:rPr>
      </w:pPr>
      <w:r w:rsidRPr="00EC6FCF">
        <w:rPr>
          <w:rFonts w:ascii="Verdana" w:hAnsi="Verdana" w:cs="Arial"/>
          <w:i/>
          <w:iCs/>
          <w:color w:val="000000"/>
          <w:kern w:val="0"/>
          <w:sz w:val="20"/>
          <w:szCs w:val="20"/>
          <w:highlight w:val="white"/>
        </w:rPr>
        <w:t>“En punto a la medida preventiva de </w:t>
      </w:r>
      <w:r w:rsidRPr="00EC6FCF">
        <w:rPr>
          <w:rFonts w:ascii="Verdana" w:hAnsi="Verdana" w:cs="Arial"/>
          <w:b/>
          <w:bCs/>
          <w:i/>
          <w:iCs/>
          <w:color w:val="000000"/>
          <w:kern w:val="0"/>
          <w:sz w:val="20"/>
          <w:szCs w:val="20"/>
          <w:highlight w:val="white"/>
        </w:rPr>
        <w:t>vigilancia especial</w:t>
      </w:r>
      <w:r w:rsidRPr="00EC6FCF">
        <w:rPr>
          <w:rFonts w:ascii="Verdana" w:hAnsi="Verdana" w:cs="Arial"/>
          <w:i/>
          <w:iCs/>
          <w:color w:val="000000"/>
          <w:kern w:val="0"/>
          <w:sz w:val="20"/>
          <w:szCs w:val="20"/>
          <w:highlight w:val="white"/>
        </w:rPr>
        <w:t>, la ley establece cinco causales para que la misma sea adoptada, cuando en una o varias de ellas incurre una institución de educación superior (art. 11). Ellas son: (a) La </w:t>
      </w:r>
      <w:r w:rsidRPr="00EC6FCF">
        <w:rPr>
          <w:rFonts w:ascii="Verdana" w:hAnsi="Verdana" w:cs="Arial"/>
          <w:b/>
          <w:bCs/>
          <w:i/>
          <w:iCs/>
          <w:color w:val="000000"/>
          <w:kern w:val="0"/>
          <w:sz w:val="20"/>
          <w:szCs w:val="20"/>
          <w:highlight w:val="white"/>
        </w:rPr>
        <w:t>interrupción anormal</w:t>
      </w:r>
      <w:r w:rsidRPr="00EC6FCF">
        <w:rPr>
          <w:rFonts w:ascii="Verdana" w:hAnsi="Verdana" w:cs="Arial"/>
          <w:i/>
          <w:iCs/>
          <w:color w:val="000000"/>
          <w:kern w:val="0"/>
          <w:sz w:val="20"/>
          <w:szCs w:val="20"/>
          <w:highlight w:val="white"/>
        </w:rPr>
        <w:t> grave en la prestación </w:t>
      </w:r>
      <w:r w:rsidRPr="00EC6FCF">
        <w:rPr>
          <w:rFonts w:ascii="Verdana" w:hAnsi="Verdana" w:cs="Arial"/>
          <w:b/>
          <w:bCs/>
          <w:i/>
          <w:iCs/>
          <w:color w:val="000000"/>
          <w:kern w:val="0"/>
          <w:sz w:val="20"/>
          <w:szCs w:val="20"/>
          <w:highlight w:val="white"/>
        </w:rPr>
        <w:t>del servicio de educación</w:t>
      </w:r>
      <w:r w:rsidRPr="00EC6FCF">
        <w:rPr>
          <w:rFonts w:ascii="Verdana" w:hAnsi="Verdana" w:cs="Arial"/>
          <w:i/>
          <w:iCs/>
          <w:color w:val="000000"/>
          <w:kern w:val="0"/>
          <w:sz w:val="20"/>
          <w:szCs w:val="20"/>
          <w:highlight w:val="white"/>
        </w:rPr>
        <w:t> a menos que dicha interrupción obedezca a fuerza mayor o protestas de agentes de la comunidad educativa; (b) La </w:t>
      </w:r>
      <w:r w:rsidRPr="00EC6FCF">
        <w:rPr>
          <w:rFonts w:ascii="Verdana" w:hAnsi="Verdana" w:cs="Arial"/>
          <w:b/>
          <w:bCs/>
          <w:i/>
          <w:iCs/>
          <w:color w:val="000000"/>
          <w:kern w:val="0"/>
          <w:sz w:val="20"/>
          <w:szCs w:val="20"/>
          <w:highlight w:val="white"/>
        </w:rPr>
        <w:t>afectación grave</w:t>
      </w:r>
      <w:r w:rsidRPr="00EC6FCF">
        <w:rPr>
          <w:rFonts w:ascii="Verdana" w:hAnsi="Verdana" w:cs="Arial"/>
          <w:i/>
          <w:iCs/>
          <w:color w:val="000000"/>
          <w:kern w:val="0"/>
          <w:sz w:val="20"/>
          <w:szCs w:val="20"/>
          <w:highlight w:val="white"/>
        </w:rPr>
        <w:t> de las condiciones de </w:t>
      </w:r>
      <w:r w:rsidRPr="00EC6FCF">
        <w:rPr>
          <w:rFonts w:ascii="Verdana" w:hAnsi="Verdana" w:cs="Arial"/>
          <w:b/>
          <w:bCs/>
          <w:i/>
          <w:iCs/>
          <w:color w:val="000000"/>
          <w:kern w:val="0"/>
          <w:sz w:val="20"/>
          <w:szCs w:val="20"/>
          <w:highlight w:val="white"/>
        </w:rPr>
        <w:t>calidad del servicio</w:t>
      </w:r>
      <w:r w:rsidRPr="00EC6FCF">
        <w:rPr>
          <w:rFonts w:ascii="Verdana" w:hAnsi="Verdana" w:cs="Arial"/>
          <w:i/>
          <w:iCs/>
          <w:color w:val="000000"/>
          <w:kern w:val="0"/>
          <w:sz w:val="20"/>
          <w:szCs w:val="20"/>
          <w:highlight w:val="white"/>
        </w:rPr>
        <w:t>; (c) </w:t>
      </w:r>
      <w:r w:rsidRPr="00EC6FCF">
        <w:rPr>
          <w:rFonts w:ascii="Verdana" w:hAnsi="Verdana" w:cs="Arial"/>
          <w:b/>
          <w:bCs/>
          <w:i/>
          <w:iCs/>
          <w:color w:val="000000"/>
          <w:kern w:val="0"/>
          <w:sz w:val="20"/>
          <w:szCs w:val="20"/>
          <w:highlight w:val="white"/>
        </w:rPr>
        <w:t>Que los recursos o rentas</w:t>
      </w:r>
      <w:r w:rsidRPr="00EC6FCF">
        <w:rPr>
          <w:rFonts w:ascii="Verdana" w:hAnsi="Verdana" w:cs="Arial"/>
          <w:i/>
          <w:iCs/>
          <w:color w:val="000000"/>
          <w:kern w:val="0"/>
          <w:sz w:val="20"/>
          <w:szCs w:val="20"/>
          <w:highlight w:val="white"/>
        </w:rPr>
        <w:t> de la institución están siendo conservados, invertidos, </w:t>
      </w:r>
      <w:r w:rsidRPr="00EC6FCF">
        <w:rPr>
          <w:rFonts w:ascii="Verdana" w:hAnsi="Verdana" w:cs="Arial"/>
          <w:b/>
          <w:bCs/>
          <w:i/>
          <w:iCs/>
          <w:color w:val="000000"/>
          <w:kern w:val="0"/>
          <w:sz w:val="20"/>
          <w:szCs w:val="20"/>
          <w:highlight w:val="white"/>
        </w:rPr>
        <w:t>aplicados o arbitrados indebidamente, con fines diferentes al cumplimiento de su misión y función instituciona</w:t>
      </w:r>
      <w:r w:rsidRPr="00EC6FCF">
        <w:rPr>
          <w:rFonts w:ascii="Verdana" w:hAnsi="Verdana" w:cs="Arial"/>
          <w:i/>
          <w:iCs/>
          <w:color w:val="000000"/>
          <w:kern w:val="0"/>
          <w:sz w:val="20"/>
          <w:szCs w:val="20"/>
          <w:highlight w:val="white"/>
        </w:rPr>
        <w:t>l, o en actividades diferentes a las propias y exclusivas de la institución, teniendo en cuenta lo que dispone la Constitución, la ley y sus estatutos; (d) Que habiendo sido sancionada, persista en la conducta, o (e) Que incumpla la orden de </w:t>
      </w:r>
      <w:r w:rsidRPr="00EC6FCF">
        <w:rPr>
          <w:rFonts w:ascii="Verdana" w:hAnsi="Verdana" w:cs="Arial"/>
          <w:b/>
          <w:bCs/>
          <w:i/>
          <w:iCs/>
          <w:color w:val="000000"/>
          <w:kern w:val="0"/>
          <w:sz w:val="20"/>
          <w:szCs w:val="20"/>
          <w:highlight w:val="white"/>
        </w:rPr>
        <w:t>no ofrecer</w:t>
      </w:r>
      <w:r w:rsidRPr="00EC6FCF">
        <w:rPr>
          <w:rFonts w:ascii="Verdana" w:hAnsi="Verdana" w:cs="Arial"/>
          <w:i/>
          <w:iCs/>
          <w:color w:val="000000"/>
          <w:kern w:val="0"/>
          <w:sz w:val="20"/>
          <w:szCs w:val="20"/>
          <w:highlight w:val="white"/>
        </w:rPr>
        <w:t> o </w:t>
      </w:r>
      <w:r w:rsidRPr="00EC6FCF">
        <w:rPr>
          <w:rFonts w:ascii="Verdana" w:hAnsi="Verdana" w:cs="Arial"/>
          <w:b/>
          <w:bCs/>
          <w:i/>
          <w:iCs/>
          <w:color w:val="000000"/>
          <w:kern w:val="0"/>
          <w:sz w:val="20"/>
          <w:szCs w:val="20"/>
          <w:highlight w:val="white"/>
        </w:rPr>
        <w:t>desarrollar programas académicos sin registro calificado</w:t>
      </w:r>
      <w:r w:rsidRPr="00EC6FCF">
        <w:rPr>
          <w:rFonts w:ascii="Verdana" w:hAnsi="Verdana" w:cs="Arial"/>
          <w:i/>
          <w:iCs/>
          <w:color w:val="000000"/>
          <w:kern w:val="0"/>
          <w:sz w:val="20"/>
          <w:szCs w:val="20"/>
          <w:highlight w:val="white"/>
        </w:rPr>
        <w:t>” </w:t>
      </w:r>
      <w:r w:rsidRPr="00EC6FCF">
        <w:rPr>
          <w:rFonts w:ascii="Verdana" w:hAnsi="Verdana" w:cs="Arial"/>
          <w:color w:val="000000"/>
          <w:kern w:val="0"/>
          <w:sz w:val="20"/>
          <w:szCs w:val="20"/>
          <w:highlight w:val="white"/>
        </w:rPr>
        <w:t>(Resaltado fuera de texto)</w:t>
      </w:r>
      <w:r w:rsidRPr="00EC6FCF">
        <w:rPr>
          <w:rFonts w:ascii="Verdana" w:hAnsi="Verdana" w:cs="Arial"/>
          <w:color w:val="000000"/>
          <w:kern w:val="0"/>
          <w:sz w:val="20"/>
          <w:szCs w:val="20"/>
        </w:rPr>
        <w:t> </w:t>
      </w:r>
    </w:p>
    <w:p w14:paraId="15522179"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rPr>
        <w:t> </w:t>
      </w:r>
    </w:p>
    <w:p w14:paraId="0ADAD8C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lang w:val="es-ES"/>
        </w:rPr>
        <w:t>Así mismo, es preciso mencionar que </w:t>
      </w:r>
      <w:r w:rsidRPr="00EC6FCF">
        <w:rPr>
          <w:rFonts w:ascii="Verdana" w:hAnsi="Verdana" w:cs="Arial"/>
          <w:kern w:val="0"/>
        </w:rPr>
        <w:t>las funciones asignadas al Ministerio de Educación Nacional están contempladas en el Artículo 5° del Decreto 2269 de 2023 ‘’</w:t>
      </w:r>
      <w:r w:rsidRPr="00EC6FCF">
        <w:rPr>
          <w:rFonts w:ascii="Verdana" w:hAnsi="Verdana" w:cs="Arial"/>
          <w:i/>
          <w:iCs/>
          <w:kern w:val="0"/>
        </w:rPr>
        <w:t>Por el cual se modifica la estructura del Ministerio de Educación Nacional, y se determinan las funciones de sus dependencias”</w:t>
      </w:r>
      <w:r w:rsidRPr="00EC6FCF">
        <w:rPr>
          <w:rFonts w:ascii="Verdana" w:hAnsi="Verdana" w:cs="Arial"/>
          <w:kern w:val="0"/>
        </w:rPr>
        <w:t>, las cuales establecen: </w:t>
      </w:r>
    </w:p>
    <w:p w14:paraId="08BC1302"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rPr>
        <w:t>   </w:t>
      </w:r>
    </w:p>
    <w:p w14:paraId="3231E1BC"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b/>
          <w:bCs/>
          <w:i/>
          <w:iCs/>
          <w:kern w:val="0"/>
          <w:sz w:val="20"/>
          <w:szCs w:val="20"/>
        </w:rPr>
        <w:t>ARTÍCULO 5°. Funciones del Despacho del Ministro(a) de Educación Nacional. </w:t>
      </w:r>
      <w:r w:rsidRPr="00EC6FCF">
        <w:rPr>
          <w:rFonts w:ascii="Verdana" w:hAnsi="Verdana" w:cs="Arial"/>
          <w:i/>
          <w:iCs/>
          <w:kern w:val="0"/>
          <w:sz w:val="20"/>
          <w:szCs w:val="20"/>
        </w:rPr>
        <w:t>Son funciones del Despacho del Ministro(a) de Educación Nacional, además de las señaladas por la Constitución Política y la ley, las siguientes:</w:t>
      </w:r>
      <w:r w:rsidRPr="00EC6FCF">
        <w:rPr>
          <w:rFonts w:ascii="Verdana" w:hAnsi="Verdana" w:cs="Arial"/>
          <w:kern w:val="0"/>
          <w:sz w:val="20"/>
          <w:szCs w:val="20"/>
        </w:rPr>
        <w:t> </w:t>
      </w:r>
    </w:p>
    <w:p w14:paraId="3EADB101"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i/>
          <w:iCs/>
          <w:kern w:val="0"/>
          <w:sz w:val="20"/>
          <w:szCs w:val="20"/>
        </w:rPr>
        <w:t> </w:t>
      </w:r>
      <w:r w:rsidRPr="00EC6FCF">
        <w:rPr>
          <w:rFonts w:ascii="Verdana" w:hAnsi="Verdana" w:cs="Arial"/>
          <w:kern w:val="0"/>
          <w:sz w:val="20"/>
          <w:szCs w:val="20"/>
        </w:rPr>
        <w:t> </w:t>
      </w:r>
    </w:p>
    <w:p w14:paraId="286C46AF"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Formular y promover las políticas, planes, programas y proyectos del sector administrativo y ejercer las funciones de dirección, coordinación y control en las materias de su competencia.</w:t>
      </w:r>
      <w:r w:rsidRPr="00EC6FCF">
        <w:rPr>
          <w:rFonts w:ascii="Verdana" w:hAnsi="Verdana" w:cs="Arial"/>
          <w:kern w:val="0"/>
          <w:sz w:val="20"/>
          <w:szCs w:val="20"/>
        </w:rPr>
        <w:t> </w:t>
      </w:r>
    </w:p>
    <w:p w14:paraId="5CE080D0"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Ejercer la representación legal del Ministerio de Educación Nacional.</w:t>
      </w:r>
      <w:r w:rsidRPr="00EC6FCF">
        <w:rPr>
          <w:rFonts w:ascii="Verdana" w:hAnsi="Verdana" w:cs="Arial"/>
          <w:kern w:val="0"/>
          <w:sz w:val="20"/>
          <w:szCs w:val="20"/>
        </w:rPr>
        <w:t> </w:t>
      </w:r>
    </w:p>
    <w:p w14:paraId="2BBA9237"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Presentar ante el Congreso de la República, de acuerdo con la agenda legislativa del Gobierno Nacional, los proyectos de ley relacionados con las competencias del Sector.</w:t>
      </w:r>
      <w:r w:rsidRPr="00EC6FCF">
        <w:rPr>
          <w:rFonts w:ascii="Verdana" w:hAnsi="Verdana" w:cs="Arial"/>
          <w:kern w:val="0"/>
          <w:sz w:val="20"/>
          <w:szCs w:val="20"/>
        </w:rPr>
        <w:t> </w:t>
      </w:r>
    </w:p>
    <w:p w14:paraId="2F881BFA"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Dirigir el diseño, formulación y articulación del Plan Decenal de Educación, el aporte del sector al Plan Nacional de Desarrollo, el Plan Sectorial y los planes estratégicos, tácticos y operativos.</w:t>
      </w:r>
      <w:r w:rsidRPr="00EC6FCF">
        <w:rPr>
          <w:rFonts w:ascii="Verdana" w:hAnsi="Verdana" w:cs="Arial"/>
          <w:kern w:val="0"/>
          <w:sz w:val="20"/>
          <w:szCs w:val="20"/>
        </w:rPr>
        <w:t> </w:t>
      </w:r>
    </w:p>
    <w:p w14:paraId="13A6110D"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Dirigir las funciones de administración de personal conforme a las normas sobre la materia y nombrar y remover el personal de acuerdo con las disposiciones legales vigentes.</w:t>
      </w:r>
      <w:r w:rsidRPr="00EC6FCF">
        <w:rPr>
          <w:rFonts w:ascii="Verdana" w:hAnsi="Verdana" w:cs="Arial"/>
          <w:kern w:val="0"/>
          <w:sz w:val="20"/>
          <w:szCs w:val="20"/>
        </w:rPr>
        <w:t> </w:t>
      </w:r>
    </w:p>
    <w:p w14:paraId="64E8E148"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Dirigir y orientar la función de planeación del sector administrativo.</w:t>
      </w:r>
      <w:r w:rsidRPr="00EC6FCF">
        <w:rPr>
          <w:rFonts w:ascii="Verdana" w:hAnsi="Verdana" w:cs="Arial"/>
          <w:kern w:val="0"/>
          <w:sz w:val="20"/>
          <w:szCs w:val="20"/>
        </w:rPr>
        <w:t> </w:t>
      </w:r>
    </w:p>
    <w:p w14:paraId="551784E3"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lastRenderedPageBreak/>
        <w:t>Liderar y articular las relaciones intersectoriales y sectoriales para la planeación, normatización, vigilancia y control que correspondan al Ministerio, en el desarrollo del sistema educativo y sus trayectorias completas.</w:t>
      </w:r>
      <w:r w:rsidRPr="00EC6FCF">
        <w:rPr>
          <w:rFonts w:ascii="Verdana" w:hAnsi="Verdana" w:cs="Arial"/>
          <w:kern w:val="0"/>
          <w:sz w:val="20"/>
          <w:szCs w:val="20"/>
        </w:rPr>
        <w:t> </w:t>
      </w:r>
    </w:p>
    <w:p w14:paraId="0251CA5E"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Decidir sobre las acciones de inspección y vigilancia de la educación superior y las actuaciones que en particular le correspondan, en el marco de las normas que regulan la educación superior.</w:t>
      </w:r>
      <w:r w:rsidRPr="00EC6FCF">
        <w:rPr>
          <w:rFonts w:ascii="Verdana" w:hAnsi="Verdana" w:cs="Arial"/>
          <w:kern w:val="0"/>
          <w:sz w:val="20"/>
          <w:szCs w:val="20"/>
        </w:rPr>
        <w:t> </w:t>
      </w:r>
    </w:p>
    <w:p w14:paraId="16CD19B8"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Ejercer, por designación o elección, las secretarías permanentes ante aliados nacionales, organismos internacionales, públicos y privados.</w:t>
      </w:r>
      <w:r w:rsidRPr="00EC6FCF">
        <w:rPr>
          <w:rFonts w:ascii="Verdana" w:hAnsi="Verdana" w:cs="Arial"/>
          <w:kern w:val="0"/>
          <w:sz w:val="20"/>
          <w:szCs w:val="20"/>
        </w:rPr>
        <w:t> </w:t>
      </w:r>
    </w:p>
    <w:p w14:paraId="556069B5"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Establecer los mecanismos y criterios técnicos para la asignación de los recursos del Sector, así como los programas y proyectos que generen una mayor eficiencia en su distribución y uso, de conformidad con la ley.</w:t>
      </w:r>
      <w:r w:rsidRPr="00EC6FCF">
        <w:rPr>
          <w:rFonts w:ascii="Verdana" w:hAnsi="Verdana" w:cs="Arial"/>
          <w:kern w:val="0"/>
          <w:sz w:val="20"/>
          <w:szCs w:val="20"/>
        </w:rPr>
        <w:t> </w:t>
      </w:r>
    </w:p>
    <w:p w14:paraId="6EC428A1"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Crear, conformar y asignar funciones a los órganos de asesoría y coordinación, así como crear y organizar, con carácter permanente o transitorio los grupos internos de trabajo necesarios para el cumplimiento de los objetivos y funciones del Ministerio de Educación Nacional.</w:t>
      </w:r>
      <w:r w:rsidRPr="00EC6FCF">
        <w:rPr>
          <w:rFonts w:ascii="Verdana" w:hAnsi="Verdana" w:cs="Arial"/>
          <w:kern w:val="0"/>
          <w:sz w:val="20"/>
          <w:szCs w:val="20"/>
        </w:rPr>
        <w:t> </w:t>
      </w:r>
    </w:p>
    <w:p w14:paraId="7657AD8F"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Orientar y establecer las directrices para la planificación y desarrollo de los ejercicios de fortalecimiento institucional y de capacidades del Ministerio de Educación Nacional y del Sector.</w:t>
      </w:r>
      <w:r w:rsidRPr="00EC6FCF">
        <w:rPr>
          <w:rFonts w:ascii="Verdana" w:hAnsi="Verdana" w:cs="Arial"/>
          <w:kern w:val="0"/>
          <w:sz w:val="20"/>
          <w:szCs w:val="20"/>
        </w:rPr>
        <w:t> </w:t>
      </w:r>
    </w:p>
    <w:p w14:paraId="1CAA3792"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Asignar los recursos necesarios para el funcionamiento de políticas, planes, programas y proyectos del Ministerio, en cumplimiento de la misión institucional.</w:t>
      </w:r>
      <w:r w:rsidRPr="00EC6FCF">
        <w:rPr>
          <w:rFonts w:ascii="Verdana" w:hAnsi="Verdana" w:cs="Arial"/>
          <w:kern w:val="0"/>
          <w:sz w:val="20"/>
          <w:szCs w:val="20"/>
        </w:rPr>
        <w:t> </w:t>
      </w:r>
    </w:p>
    <w:p w14:paraId="49228FD0"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Coordinar con el Ministerio de Relaciones Exteriores la participación y representación del país en los asuntos internacionales relacionados con el Sector, y promover la cooperación internacional en los temas de su competencia.</w:t>
      </w:r>
      <w:r w:rsidRPr="00EC6FCF">
        <w:rPr>
          <w:rFonts w:ascii="Verdana" w:hAnsi="Verdana" w:cs="Arial"/>
          <w:kern w:val="0"/>
          <w:sz w:val="20"/>
          <w:szCs w:val="20"/>
        </w:rPr>
        <w:t> </w:t>
      </w:r>
    </w:p>
    <w:p w14:paraId="4DF40C1B"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Distribuir los cargos de la planta global de personal, de acuerdo con la organización interna, las necesidades de la entidad y los planes y programas trazados por el Ministerio.</w:t>
      </w:r>
      <w:r w:rsidRPr="00EC6FCF">
        <w:rPr>
          <w:rFonts w:ascii="Verdana" w:hAnsi="Verdana" w:cs="Arial"/>
          <w:kern w:val="0"/>
          <w:sz w:val="20"/>
          <w:szCs w:val="20"/>
        </w:rPr>
        <w:t> </w:t>
      </w:r>
    </w:p>
    <w:p w14:paraId="26815714"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Establecer y mantener el Modelo Operacional y el sistema de Control Interno en la entidad y hacer el seguimiento a nivel sectorial.</w:t>
      </w:r>
      <w:r w:rsidRPr="00EC6FCF">
        <w:rPr>
          <w:rFonts w:ascii="Verdana" w:hAnsi="Verdana" w:cs="Arial"/>
          <w:kern w:val="0"/>
          <w:sz w:val="20"/>
          <w:szCs w:val="20"/>
        </w:rPr>
        <w:t> </w:t>
      </w:r>
    </w:p>
    <w:p w14:paraId="4AF669FD"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Decidir en segunda instancia los procesos disciplinarios que se adelanten en contra de los servidores y ex servidores del Ministerio.</w:t>
      </w:r>
      <w:r w:rsidRPr="00EC6FCF">
        <w:rPr>
          <w:rFonts w:ascii="Verdana" w:hAnsi="Verdana" w:cs="Arial"/>
          <w:kern w:val="0"/>
          <w:sz w:val="20"/>
          <w:szCs w:val="20"/>
        </w:rPr>
        <w:t> </w:t>
      </w:r>
    </w:p>
    <w:p w14:paraId="6A4CF2F0"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Las demás funciones que le sean asignadas o delegadas por el Presidente de la República o que le atribuya la ley.</w:t>
      </w:r>
      <w:r w:rsidRPr="00EC6FCF">
        <w:rPr>
          <w:rFonts w:ascii="Verdana" w:hAnsi="Verdana" w:cs="Arial"/>
          <w:kern w:val="0"/>
          <w:sz w:val="20"/>
          <w:szCs w:val="20"/>
        </w:rPr>
        <w:t> </w:t>
      </w:r>
    </w:p>
    <w:p w14:paraId="2510CDD6"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En mérito de lo expuesto, se puede concluir que, atendiendo a las funciones asignadas a esta cartera Ministerial, en caso de conocer cualquier irregularidad en la prestación del servicio educativo por instituciones de educación superior, lo</w:t>
      </w:r>
      <w:r w:rsidRPr="00EC6FCF">
        <w:rPr>
          <w:rFonts w:ascii="Verdana" w:hAnsi="Verdana" w:cs="Arial"/>
          <w:b/>
          <w:bCs/>
          <w:kern w:val="0"/>
        </w:rPr>
        <w:t> pertinente es elevar la correspondiente reclamación ante la Dirección de Inspección y Vigilancia del Ministerio de Educación Nacional,</w:t>
      </w:r>
      <w:r w:rsidRPr="00EC6FCF">
        <w:rPr>
          <w:rFonts w:ascii="Verdana" w:hAnsi="Verdana" w:cs="Arial"/>
          <w:kern w:val="0"/>
        </w:rPr>
        <w:t> acreditando la legitimación jurídica, así como los demás elementos fácticos que se pretendan hacer valer. </w:t>
      </w:r>
    </w:p>
    <w:p w14:paraId="10B54CC2"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rPr>
        <w:t> </w:t>
      </w:r>
    </w:p>
    <w:p w14:paraId="164E62E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rPr>
        <w:t>Así las cosas, el Ministerio de Educación Nacional no ha vulnerado los derechos fundamentales invocados por </w:t>
      </w:r>
      <w:r w:rsidRPr="00EC6FCF">
        <w:rPr>
          <w:rFonts w:ascii="Verdana" w:hAnsi="Verdana" w:cs="Arial"/>
          <w:b/>
          <w:bCs/>
          <w:kern w:val="0"/>
        </w:rPr>
        <w:t>el</w:t>
      </w:r>
      <w:r w:rsidRPr="00EC6FCF">
        <w:rPr>
          <w:rFonts w:ascii="Verdana" w:hAnsi="Verdana" w:cs="Arial"/>
          <w:kern w:val="0"/>
        </w:rPr>
        <w:t> accionante, siendo ajeno a la discusión fáctica presentada en la acción.    </w:t>
      </w:r>
    </w:p>
    <w:p w14:paraId="5835FDA1"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rPr>
        <w:t> </w:t>
      </w:r>
    </w:p>
    <w:p w14:paraId="2A4FFA08" w14:textId="77777777" w:rsidR="00C84FDE" w:rsidRPr="00EC6FCF" w:rsidRDefault="00C84FDE">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Arial"/>
          <w:b/>
          <w:bCs/>
          <w:kern w:val="0"/>
        </w:rPr>
        <w:t>Improcedencia de la acción de tutela por carecer de legitimación en la causa por pasiva</w:t>
      </w:r>
      <w:r w:rsidRPr="00EC6FCF">
        <w:rPr>
          <w:rFonts w:ascii="Verdana" w:hAnsi="Verdana" w:cs="Arial"/>
          <w:kern w:val="0"/>
        </w:rPr>
        <w:t> </w:t>
      </w:r>
    </w:p>
    <w:p w14:paraId="5937D800"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De acuerdo con el artículo 5° del Decreto 2591 de 1991 la acción de tutela procede: </w:t>
      </w:r>
      <w:r w:rsidRPr="00EC6FCF">
        <w:rPr>
          <w:rFonts w:ascii="Verdana" w:hAnsi="Verdana" w:cs="Arial"/>
          <w:kern w:val="0"/>
        </w:rPr>
        <w:br/>
      </w: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 contra toda acción u omisión de las autoridades públicas, que haya violado, viole o amenace violar cualquiera de los derechos de que trata el artículo 2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 (…)” </w:t>
      </w:r>
      <w:r w:rsidRPr="00EC6FCF">
        <w:rPr>
          <w:rFonts w:ascii="Verdana" w:hAnsi="Verdana" w:cs="Arial"/>
          <w:kern w:val="0"/>
        </w:rPr>
        <w:br/>
      </w: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Como se puede concluir del texto citado, la tutela está condicionada en su procedencia a que la autoridad pública haya vulnerado efectivamente un derecho, o amenace con violarlo, o por una omisión que produzca alguna de estas consecuencias. En el presente caso no se ha dado ninguno de estos presupuestos. </w:t>
      </w:r>
      <w:r w:rsidRPr="00EC6FCF">
        <w:rPr>
          <w:rFonts w:ascii="Verdana" w:hAnsi="Verdana" w:cs="Arial"/>
          <w:kern w:val="0"/>
        </w:rPr>
        <w:br/>
      </w: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lastRenderedPageBreak/>
        <w:t>No hay una violación de derecho fundamental alguno, pues el Ministerio de Educación Nacional no ha ejecutado ninguna acción que produzca este resultado en contra del accionante. </w:t>
      </w:r>
      <w:r w:rsidRPr="00EC6FCF">
        <w:rPr>
          <w:rFonts w:ascii="Verdana" w:hAnsi="Verdana" w:cs="Arial"/>
          <w:kern w:val="0"/>
        </w:rPr>
        <w:br/>
      </w: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No puede decirse entonces que, en términos positivos, esta entidad haya incurrido en una violación o amenaza efectiva de algún derecho fundamental y una orden en dicho sentido sería de imposible cumplimiento para la misma. </w:t>
      </w:r>
      <w:r w:rsidRPr="00EC6FCF">
        <w:rPr>
          <w:rFonts w:ascii="Verdana" w:hAnsi="Verdana" w:cs="Arial"/>
          <w:kern w:val="0"/>
        </w:rPr>
        <w:br/>
      </w: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De igual manera, se aprecia de los antecedentes anotados, que, por parte del Ministerio de Educación Nacional, no ha existido actuación que atente contra los derechos fundamentales invocados por el accionante. </w:t>
      </w:r>
      <w:r w:rsidRPr="00EC6FCF">
        <w:rPr>
          <w:rFonts w:ascii="Verdana" w:hAnsi="Verdana" w:cs="Arial"/>
          <w:kern w:val="0"/>
        </w:rPr>
        <w:br/>
      </w: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En consecuencia, la presente vinculación a la acción de tutela no está llamada a prosperar. </w:t>
      </w:r>
    </w:p>
    <w:p w14:paraId="4E6662B3"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48E539AE" w14:textId="77777777" w:rsidR="00C84FDE" w:rsidRPr="00EC6FCF" w:rsidRDefault="00C84FDE" w:rsidP="00C84FDE">
      <w:pPr>
        <w:autoSpaceDE w:val="0"/>
        <w:autoSpaceDN w:val="0"/>
        <w:adjustRightInd w:val="0"/>
        <w:spacing w:after="0" w:line="240" w:lineRule="auto"/>
        <w:ind w:left="1080" w:hanging="720"/>
        <w:jc w:val="both"/>
        <w:rPr>
          <w:rFonts w:ascii="Verdana" w:hAnsi="Verdana" w:cs="Arial"/>
          <w:kern w:val="0"/>
        </w:rPr>
      </w:pPr>
      <w:r w:rsidRPr="00EC6FCF">
        <w:rPr>
          <w:rFonts w:ascii="Verdana" w:hAnsi="Verdana" w:cs="Arial"/>
          <w:b/>
          <w:bCs/>
          <w:kern w:val="0"/>
        </w:rPr>
        <w:t>V.</w:t>
      </w:r>
      <w:r w:rsidRPr="00EC6FCF">
        <w:rPr>
          <w:rFonts w:ascii="Verdana" w:hAnsi="Verdana" w:cs="Arial"/>
          <w:b/>
          <w:bCs/>
          <w:kern w:val="0"/>
        </w:rPr>
        <w:tab/>
        <w:t>SOLICITUD </w:t>
      </w:r>
      <w:r w:rsidRPr="00EC6FCF">
        <w:rPr>
          <w:rFonts w:ascii="Verdana" w:hAnsi="Verdana" w:cs="Arial"/>
          <w:kern w:val="0"/>
        </w:rPr>
        <w:t> </w:t>
      </w:r>
    </w:p>
    <w:p w14:paraId="1CE29B16"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3C644A6C"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Acorde con los argumentos expuestos, solicitó respetuosamente su Señoría, </w:t>
      </w:r>
      <w:r w:rsidRPr="00EC6FCF">
        <w:rPr>
          <w:rFonts w:ascii="Verdana" w:hAnsi="Verdana" w:cs="Arial"/>
          <w:b/>
          <w:bCs/>
          <w:kern w:val="0"/>
        </w:rPr>
        <w:t>DESVINCULAR </w:t>
      </w:r>
      <w:r w:rsidRPr="00EC6FCF">
        <w:rPr>
          <w:rFonts w:ascii="Verdana" w:hAnsi="Verdana" w:cs="Arial"/>
          <w:kern w:val="0"/>
        </w:rPr>
        <w:t>de la acción de tutela de la referencia al Ministerio de Educación Nacional, puesto que esta entidad no ha sido la responsable de la presunta transgresión de los derechos fundamentales solicitados por la accionante. En virtud de lo cual, frente a esta entidad, se </w:t>
      </w:r>
      <w:r w:rsidRPr="00EC6FCF">
        <w:rPr>
          <w:rFonts w:ascii="Verdana" w:hAnsi="Verdana" w:cs="Arial"/>
          <w:b/>
          <w:bCs/>
          <w:kern w:val="0"/>
        </w:rPr>
        <w:t>predica la falta de legitimación por pasiva</w:t>
      </w:r>
      <w:r w:rsidRPr="00EC6FCF">
        <w:rPr>
          <w:rFonts w:ascii="Verdana" w:hAnsi="Verdana" w:cs="Arial"/>
          <w:kern w:val="0"/>
        </w:rPr>
        <w:t>. </w:t>
      </w:r>
    </w:p>
    <w:p w14:paraId="6E87EA3F"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F326AFF" w14:textId="77777777" w:rsidR="00C84FDE" w:rsidRPr="00EC6FCF" w:rsidRDefault="00C84FDE" w:rsidP="00C84FDE">
      <w:pPr>
        <w:autoSpaceDE w:val="0"/>
        <w:autoSpaceDN w:val="0"/>
        <w:adjustRightInd w:val="0"/>
        <w:spacing w:after="0" w:line="240" w:lineRule="auto"/>
        <w:ind w:left="1080" w:hanging="720"/>
        <w:jc w:val="both"/>
        <w:rPr>
          <w:rFonts w:ascii="Verdana" w:hAnsi="Verdana" w:cs="Arial"/>
          <w:kern w:val="0"/>
        </w:rPr>
      </w:pPr>
      <w:r w:rsidRPr="00EC6FCF">
        <w:rPr>
          <w:rFonts w:ascii="Verdana" w:hAnsi="Verdana" w:cs="Arial"/>
          <w:b/>
          <w:bCs/>
          <w:kern w:val="0"/>
        </w:rPr>
        <w:t>VI.</w:t>
      </w:r>
      <w:r w:rsidRPr="00EC6FCF">
        <w:rPr>
          <w:rFonts w:ascii="Verdana" w:hAnsi="Verdana" w:cs="Arial"/>
          <w:b/>
          <w:bCs/>
          <w:kern w:val="0"/>
        </w:rPr>
        <w:tab/>
        <w:t>ANEXOS</w:t>
      </w:r>
      <w:r w:rsidRPr="00EC6FCF">
        <w:rPr>
          <w:rFonts w:ascii="Verdana" w:hAnsi="Verdana" w:cs="Arial"/>
          <w:kern w:val="0"/>
        </w:rPr>
        <w:t> </w:t>
      </w:r>
    </w:p>
    <w:p w14:paraId="7C3F9911"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4950A542" w14:textId="7CD94C22" w:rsidR="00C33007" w:rsidRPr="00EC6FCF" w:rsidRDefault="00C84FDE">
      <w:pPr>
        <w:pStyle w:val="Prrafodelista"/>
        <w:numPr>
          <w:ilvl w:val="0"/>
          <w:numId w:val="2"/>
        </w:numPr>
        <w:shd w:val="clear" w:color="auto" w:fill="FFFFFF"/>
        <w:autoSpaceDE w:val="0"/>
        <w:autoSpaceDN w:val="0"/>
        <w:adjustRightInd w:val="0"/>
        <w:spacing w:after="0" w:line="276" w:lineRule="auto"/>
        <w:jc w:val="both"/>
        <w:rPr>
          <w:rFonts w:ascii="Verdana" w:hAnsi="Verdana" w:cs="Arial"/>
          <w:sz w:val="22"/>
          <w:szCs w:val="22"/>
        </w:rPr>
      </w:pPr>
      <w:r w:rsidRPr="00EC6FCF">
        <w:rPr>
          <w:rFonts w:ascii="Verdana" w:hAnsi="Verdana" w:cs="Arial"/>
          <w:sz w:val="22"/>
          <w:szCs w:val="22"/>
          <w:lang w:val="es-ES"/>
        </w:rPr>
        <w:t xml:space="preserve">Acreditaciones Ministerio de Educación Nacional. </w:t>
      </w:r>
    </w:p>
    <w:p w14:paraId="25CD4339" w14:textId="1F66EC01" w:rsidR="00383D9C" w:rsidRPr="00AA0892" w:rsidRDefault="00383D9C" w:rsidP="005C26B8">
      <w:pPr>
        <w:pStyle w:val="Prrafodelista"/>
        <w:shd w:val="clear" w:color="auto" w:fill="FFFFFF"/>
        <w:autoSpaceDE w:val="0"/>
        <w:autoSpaceDN w:val="0"/>
        <w:adjustRightInd w:val="0"/>
        <w:spacing w:after="0" w:line="276" w:lineRule="auto"/>
        <w:jc w:val="both"/>
        <w:rPr>
          <w:rFonts w:ascii="Arial" w:hAnsi="Arial" w:cs="Arial"/>
          <w:sz w:val="22"/>
          <w:szCs w:val="22"/>
        </w:rPr>
      </w:pPr>
    </w:p>
    <w:p w14:paraId="55423F8D" w14:textId="079B3FC8" w:rsidR="00884E84" w:rsidRPr="00884E84" w:rsidRDefault="00884E84" w:rsidP="001D10EB">
      <w:pPr>
        <w:pStyle w:val="Prrafodelista"/>
        <w:jc w:val="both"/>
        <w:rPr>
          <w:rFonts w:ascii="Arial" w:eastAsia="Arial" w:hAnsi="Arial" w:cs="Arial"/>
          <w:sz w:val="22"/>
          <w:szCs w:val="22"/>
        </w:rPr>
      </w:pPr>
    </w:p>
    <w:sectPr w:rsidR="00884E84" w:rsidRPr="00884E84" w:rsidSect="00B17472">
      <w:headerReference w:type="default" r:id="rId10"/>
      <w:footerReference w:type="default" r:id="rId11"/>
      <w:type w:val="continuous"/>
      <w:pgSz w:w="12240" w:h="20160"/>
      <w:pgMar w:top="2065" w:right="1701" w:bottom="1757" w:left="1701" w:header="708" w:footer="9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3C7EB" w14:textId="77777777" w:rsidR="00820E24" w:rsidRDefault="00820E24" w:rsidP="006E6A57">
      <w:pPr>
        <w:spacing w:after="0" w:line="240" w:lineRule="auto"/>
      </w:pPr>
      <w:r>
        <w:separator/>
      </w:r>
    </w:p>
  </w:endnote>
  <w:endnote w:type="continuationSeparator" w:id="0">
    <w:p w14:paraId="4DEEF5E1" w14:textId="77777777" w:rsidR="00820E24" w:rsidRDefault="00820E24" w:rsidP="006E6A57">
      <w:pPr>
        <w:spacing w:after="0" w:line="240" w:lineRule="auto"/>
      </w:pPr>
      <w:r>
        <w:continuationSeparator/>
      </w:r>
    </w:p>
  </w:endnote>
  <w:endnote w:type="continuationNotice" w:id="1">
    <w:p w14:paraId="4B69458F" w14:textId="77777777" w:rsidR="00820E24" w:rsidRDefault="00820E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Bright">
    <w:panose1 w:val="0204060205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F352" w14:textId="77777777" w:rsidR="006E6A57" w:rsidRDefault="006E6A57">
    <w:pPr>
      <w:pStyle w:val="Piedepgina"/>
    </w:pPr>
    <w:r>
      <w:rPr>
        <w:noProof/>
        <w:lang w:eastAsia="es-CO"/>
      </w:rPr>
      <mc:AlternateContent>
        <mc:Choice Requires="wps">
          <w:drawing>
            <wp:anchor distT="0" distB="0" distL="114300" distR="114300" simplePos="0" relativeHeight="251658240" behindDoc="0" locked="0" layoutInCell="1" allowOverlap="1" wp14:anchorId="0DA93FDC" wp14:editId="31039DFC">
              <wp:simplePos x="0" y="0"/>
              <wp:positionH relativeFrom="margin">
                <wp:posOffset>0</wp:posOffset>
              </wp:positionH>
              <wp:positionV relativeFrom="paragraph">
                <wp:posOffset>-416560</wp:posOffset>
              </wp:positionV>
              <wp:extent cx="6029325" cy="1229995"/>
              <wp:effectExtent l="0" t="0" r="0" b="0"/>
              <wp:wrapNone/>
              <wp:docPr id="1223101586" name="Cuadro de texto 1"/>
              <wp:cNvGraphicFramePr/>
              <a:graphic xmlns:a="http://schemas.openxmlformats.org/drawingml/2006/main">
                <a:graphicData uri="http://schemas.microsoft.com/office/word/2010/wordprocessingShape">
                  <wps:wsp>
                    <wps:cNvSpPr txBox="1"/>
                    <wps:spPr>
                      <a:xfrm>
                        <a:off x="0" y="0"/>
                        <a:ext cx="6029325" cy="1229995"/>
                      </a:xfrm>
                      <a:prstGeom prst="rect">
                        <a:avLst/>
                      </a:prstGeom>
                      <a:noFill/>
                      <a:ln w="6350">
                        <a:noFill/>
                      </a:ln>
                    </wps:spPr>
                    <wps:txbx>
                      <w:txbxContent>
                        <w:p w14:paraId="72D095D3" w14:textId="77777777" w:rsidR="00FC2D03" w:rsidRPr="00256928" w:rsidRDefault="006E6A57" w:rsidP="00FC2D03">
                          <w:pPr>
                            <w:spacing w:after="0" w:line="276" w:lineRule="auto"/>
                            <w:jc w:val="both"/>
                            <w:rPr>
                              <w:rFonts w:ascii="Helvetica" w:hAnsi="Helvetica"/>
                              <w:sz w:val="20"/>
                              <w:szCs w:val="20"/>
                            </w:rPr>
                          </w:pPr>
                          <w:r w:rsidRPr="00256928">
                            <w:rPr>
                              <w:rFonts w:ascii="Helvetica" w:hAnsi="Helvetica"/>
                              <w:sz w:val="20"/>
                              <w:szCs w:val="20"/>
                            </w:rPr>
                            <w:t>________________________________________________________________________</w:t>
                          </w:r>
                        </w:p>
                        <w:p w14:paraId="4710B238" w14:textId="77777777" w:rsidR="00FC2D03" w:rsidRPr="00B71B7C" w:rsidRDefault="00FC2D03" w:rsidP="00FC2D03">
                          <w:pPr>
                            <w:spacing w:after="0" w:line="276" w:lineRule="auto"/>
                            <w:jc w:val="both"/>
                            <w:rPr>
                              <w:rFonts w:ascii="Verdana" w:hAnsi="Verdana"/>
                              <w:b/>
                              <w:bCs/>
                              <w:sz w:val="20"/>
                              <w:szCs w:val="20"/>
                            </w:rPr>
                          </w:pPr>
                          <w:r>
                            <w:rPr>
                              <w:rFonts w:ascii="Verdana" w:hAnsi="Verdana"/>
                              <w:b/>
                              <w:bCs/>
                              <w:sz w:val="20"/>
                              <w:szCs w:val="20"/>
                            </w:rPr>
                            <w:t xml:space="preserve">Ministerio de Educación Nacional </w:t>
                          </w:r>
                        </w:p>
                        <w:p w14:paraId="6691DDD7" w14:textId="77777777" w:rsidR="00FC2D03" w:rsidRPr="009C5553" w:rsidRDefault="00FC2D03" w:rsidP="00FC2D03">
                          <w:pPr>
                            <w:spacing w:after="0" w:line="276" w:lineRule="auto"/>
                            <w:jc w:val="both"/>
                            <w:rPr>
                              <w:rFonts w:ascii="Verdana" w:hAnsi="Verdana"/>
                              <w:sz w:val="20"/>
                              <w:szCs w:val="20"/>
                            </w:rPr>
                          </w:pPr>
                          <w:r w:rsidRPr="009C5553">
                            <w:rPr>
                              <w:rFonts w:ascii="Verdana" w:hAnsi="Verdana"/>
                              <w:sz w:val="20"/>
                              <w:szCs w:val="20"/>
                            </w:rPr>
                            <w:t>Dirección: Calle 43 No. 57 - 14. CAN. Bogotá, Colombia</w:t>
                          </w:r>
                        </w:p>
                        <w:p w14:paraId="04F87699" w14:textId="77777777" w:rsidR="00FC2D03" w:rsidRPr="001E1CAF" w:rsidRDefault="00FC2D03" w:rsidP="00FC2D03">
                          <w:pPr>
                            <w:spacing w:after="0" w:line="276" w:lineRule="auto"/>
                            <w:jc w:val="both"/>
                            <w:rPr>
                              <w:rFonts w:ascii="Verdana" w:hAnsi="Verdana"/>
                              <w:sz w:val="20"/>
                              <w:szCs w:val="20"/>
                            </w:rPr>
                          </w:pPr>
                          <w:r w:rsidRPr="00B71B7C">
                            <w:rPr>
                              <w:rFonts w:ascii="Verdana" w:hAnsi="Verdana"/>
                              <w:sz w:val="20"/>
                              <w:szCs w:val="20"/>
                            </w:rPr>
                            <w:t>Conmutador:</w:t>
                          </w:r>
                          <w:r>
                            <w:rPr>
                              <w:rFonts w:ascii="Verdana" w:hAnsi="Verdana"/>
                              <w:sz w:val="20"/>
                              <w:szCs w:val="20"/>
                            </w:rPr>
                            <w:t xml:space="preserve"> </w:t>
                          </w:r>
                          <w:r w:rsidRPr="001E1CAF">
                            <w:rPr>
                              <w:rFonts w:ascii="Verdana" w:hAnsi="Verdana"/>
                              <w:sz w:val="20"/>
                              <w:szCs w:val="20"/>
                            </w:rPr>
                            <w:t xml:space="preserve">(601) 22 22800 </w:t>
                          </w:r>
                        </w:p>
                        <w:p w14:paraId="4AEA77DD" w14:textId="77777777" w:rsidR="00FC2D03" w:rsidRPr="00B71B7C" w:rsidRDefault="00FC2D03" w:rsidP="00FC2D03">
                          <w:pPr>
                            <w:spacing w:after="0" w:line="276" w:lineRule="auto"/>
                            <w:jc w:val="both"/>
                            <w:rPr>
                              <w:rFonts w:ascii="Verdana" w:hAnsi="Verdana"/>
                              <w:sz w:val="20"/>
                              <w:szCs w:val="20"/>
                            </w:rPr>
                          </w:pPr>
                          <w:r w:rsidRPr="005632BA">
                            <w:rPr>
                              <w:rFonts w:ascii="Verdana" w:hAnsi="Verdana"/>
                              <w:sz w:val="20"/>
                              <w:szCs w:val="20"/>
                            </w:rPr>
                            <w:t>Línea gratuita fuera de Bogotá: 018000 - 910122</w:t>
                          </w:r>
                        </w:p>
                        <w:p w14:paraId="2005408A" w14:textId="77777777" w:rsidR="006E6A57" w:rsidRPr="00284759" w:rsidRDefault="006E6A57" w:rsidP="00FC2D03">
                          <w:pPr>
                            <w:spacing w:after="0" w:line="276" w:lineRule="auto"/>
                            <w:jc w:val="both"/>
                            <w:rPr>
                              <w:rFonts w:ascii="Verdana" w:hAnsi="Verdana"/>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A93FDC" id="_x0000_t202" coordsize="21600,21600" o:spt="202" path="m,l,21600r21600,l21600,xe">
              <v:stroke joinstyle="miter"/>
              <v:path gradientshapeok="t" o:connecttype="rect"/>
            </v:shapetype>
            <v:shape id="Cuadro de texto 1" o:spid="_x0000_s1026" type="#_x0000_t202" style="position:absolute;margin-left:0;margin-top:-32.8pt;width:474.75pt;height:96.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" filled="f" stroked="f" strokeweight=".5pt">
              <v:textbox>
                <w:txbxContent>
                  <w:p w14:paraId="72D095D3" w14:textId="77777777" w:rsidR="00FC2D03" w:rsidRPr="00256928" w:rsidRDefault="006E6A57" w:rsidP="00FC2D03">
                    <w:pPr>
                      <w:spacing w:after="0" w:line="276" w:lineRule="auto"/>
                      <w:jc w:val="both"/>
                      <w:rPr>
                        <w:rFonts w:ascii="Helvetica" w:hAnsi="Helvetica"/>
                        <w:sz w:val="20"/>
                        <w:szCs w:val="20"/>
                      </w:rPr>
                    </w:pPr>
                    <w:r w:rsidRPr="00256928">
                      <w:rPr>
                        <w:rFonts w:ascii="Helvetica" w:hAnsi="Helvetica"/>
                        <w:sz w:val="20"/>
                        <w:szCs w:val="20"/>
                      </w:rPr>
                      <w:t>________________________________________________________________________</w:t>
                    </w:r>
                  </w:p>
                  <w:p w14:paraId="4710B238" w14:textId="77777777" w:rsidR="00FC2D03" w:rsidRPr="00B71B7C" w:rsidRDefault="00FC2D03" w:rsidP="00FC2D03">
                    <w:pPr>
                      <w:spacing w:after="0" w:line="276" w:lineRule="auto"/>
                      <w:jc w:val="both"/>
                      <w:rPr>
                        <w:rFonts w:ascii="Verdana" w:hAnsi="Verdana"/>
                        <w:b/>
                        <w:bCs/>
                        <w:sz w:val="20"/>
                        <w:szCs w:val="20"/>
                      </w:rPr>
                    </w:pPr>
                    <w:r>
                      <w:rPr>
                        <w:rFonts w:ascii="Verdana" w:hAnsi="Verdana"/>
                        <w:b/>
                        <w:bCs/>
                        <w:sz w:val="20"/>
                        <w:szCs w:val="20"/>
                      </w:rPr>
                      <w:t xml:space="preserve">Ministerio de Educación Nacional </w:t>
                    </w:r>
                  </w:p>
                  <w:p w14:paraId="6691DDD7" w14:textId="77777777" w:rsidR="00FC2D03" w:rsidRPr="009C5553" w:rsidRDefault="00FC2D03" w:rsidP="00FC2D03">
                    <w:pPr>
                      <w:spacing w:after="0" w:line="276" w:lineRule="auto"/>
                      <w:jc w:val="both"/>
                      <w:rPr>
                        <w:rFonts w:ascii="Verdana" w:hAnsi="Verdana"/>
                        <w:sz w:val="20"/>
                        <w:szCs w:val="20"/>
                      </w:rPr>
                    </w:pPr>
                    <w:r w:rsidRPr="009C5553">
                      <w:rPr>
                        <w:rFonts w:ascii="Verdana" w:hAnsi="Verdana"/>
                        <w:sz w:val="20"/>
                        <w:szCs w:val="20"/>
                      </w:rPr>
                      <w:t>Dirección: Calle 43 No. 57 - 14. CAN. Bogotá, Colombia</w:t>
                    </w:r>
                  </w:p>
                  <w:p w14:paraId="04F87699" w14:textId="77777777" w:rsidR="00FC2D03" w:rsidRPr="001E1CAF" w:rsidRDefault="00FC2D03" w:rsidP="00FC2D03">
                    <w:pPr>
                      <w:spacing w:after="0" w:line="276" w:lineRule="auto"/>
                      <w:jc w:val="both"/>
                      <w:rPr>
                        <w:rFonts w:ascii="Verdana" w:hAnsi="Verdana"/>
                        <w:sz w:val="20"/>
                        <w:szCs w:val="20"/>
                      </w:rPr>
                    </w:pPr>
                    <w:r w:rsidRPr="00B71B7C">
                      <w:rPr>
                        <w:rFonts w:ascii="Verdana" w:hAnsi="Verdana"/>
                        <w:sz w:val="20"/>
                        <w:szCs w:val="20"/>
                      </w:rPr>
                      <w:t>Conmutador:</w:t>
                    </w:r>
                    <w:r>
                      <w:rPr>
                        <w:rFonts w:ascii="Verdana" w:hAnsi="Verdana"/>
                        <w:sz w:val="20"/>
                        <w:szCs w:val="20"/>
                      </w:rPr>
                      <w:t xml:space="preserve"> </w:t>
                    </w:r>
                    <w:r w:rsidRPr="001E1CAF">
                      <w:rPr>
                        <w:rFonts w:ascii="Verdana" w:hAnsi="Verdana"/>
                        <w:sz w:val="20"/>
                        <w:szCs w:val="20"/>
                      </w:rPr>
                      <w:t xml:space="preserve">(601) 22 22800 </w:t>
                    </w:r>
                  </w:p>
                  <w:p w14:paraId="4AEA77DD" w14:textId="77777777" w:rsidR="00FC2D03" w:rsidRPr="00B71B7C" w:rsidRDefault="00FC2D03" w:rsidP="00FC2D03">
                    <w:pPr>
                      <w:spacing w:after="0" w:line="276" w:lineRule="auto"/>
                      <w:jc w:val="both"/>
                      <w:rPr>
                        <w:rFonts w:ascii="Verdana" w:hAnsi="Verdana"/>
                        <w:sz w:val="20"/>
                        <w:szCs w:val="20"/>
                      </w:rPr>
                    </w:pPr>
                    <w:r w:rsidRPr="005632BA">
                      <w:rPr>
                        <w:rFonts w:ascii="Verdana" w:hAnsi="Verdana"/>
                        <w:sz w:val="20"/>
                        <w:szCs w:val="20"/>
                      </w:rPr>
                      <w:t>Línea gratuita fuera de Bogotá: 018000 - 910122</w:t>
                    </w:r>
                  </w:p>
                  <w:p w14:paraId="2005408A" w14:textId="77777777" w:rsidR="006E6A57" w:rsidRPr="00284759" w:rsidRDefault="006E6A57" w:rsidP="00FC2D03">
                    <w:pPr>
                      <w:spacing w:after="0" w:line="276" w:lineRule="auto"/>
                      <w:jc w:val="both"/>
                      <w:rPr>
                        <w:rFonts w:ascii="Verdana" w:hAnsi="Verdana"/>
                        <w:sz w:val="20"/>
                        <w:szCs w:val="20"/>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85273" w14:textId="77777777" w:rsidR="00820E24" w:rsidRDefault="00820E24" w:rsidP="006E6A57">
      <w:pPr>
        <w:spacing w:after="0" w:line="240" w:lineRule="auto"/>
      </w:pPr>
      <w:r>
        <w:separator/>
      </w:r>
    </w:p>
  </w:footnote>
  <w:footnote w:type="continuationSeparator" w:id="0">
    <w:p w14:paraId="6845F946" w14:textId="77777777" w:rsidR="00820E24" w:rsidRDefault="00820E24" w:rsidP="006E6A57">
      <w:pPr>
        <w:spacing w:after="0" w:line="240" w:lineRule="auto"/>
      </w:pPr>
      <w:r>
        <w:continuationSeparator/>
      </w:r>
    </w:p>
  </w:footnote>
  <w:footnote w:type="continuationNotice" w:id="1">
    <w:p w14:paraId="3C2F577A" w14:textId="77777777" w:rsidR="00820E24" w:rsidRDefault="00820E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1A69" w14:textId="77777777" w:rsidR="006E6A57" w:rsidRDefault="006E6A57">
    <w:pPr>
      <w:pStyle w:val="Encabezado"/>
    </w:pPr>
    <w:r>
      <w:rPr>
        <w:noProof/>
      </w:rPr>
      <w:drawing>
        <wp:anchor distT="0" distB="0" distL="114300" distR="114300" simplePos="0" relativeHeight="251658241" behindDoc="1" locked="0" layoutInCell="1" allowOverlap="1" wp14:anchorId="582F934A" wp14:editId="34326DC0">
          <wp:simplePos x="0" y="0"/>
          <wp:positionH relativeFrom="column">
            <wp:posOffset>-1104861</wp:posOffset>
          </wp:positionH>
          <wp:positionV relativeFrom="paragraph">
            <wp:posOffset>-423454</wp:posOffset>
          </wp:positionV>
          <wp:extent cx="7805784" cy="12805568"/>
          <wp:effectExtent l="0" t="0" r="0" b="0"/>
          <wp:wrapNone/>
          <wp:docPr id="347244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4443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805784" cy="1280556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44F56"/>
    <w:multiLevelType w:val="multilevel"/>
    <w:tmpl w:val="CF6E6EBE"/>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2FA054C3"/>
    <w:multiLevelType w:val="hybridMultilevel"/>
    <w:tmpl w:val="2D8A8B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A4E124B"/>
    <w:multiLevelType w:val="multilevel"/>
    <w:tmpl w:val="12B031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46FA39B7"/>
    <w:multiLevelType w:val="multilevel"/>
    <w:tmpl w:val="A2FACA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4B460334"/>
    <w:multiLevelType w:val="multilevel"/>
    <w:tmpl w:val="36EA2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39586C"/>
    <w:multiLevelType w:val="hybridMultilevel"/>
    <w:tmpl w:val="A63A97D6"/>
    <w:lvl w:ilvl="0" w:tplc="56C8BA2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B2C6291"/>
    <w:multiLevelType w:val="multilevel"/>
    <w:tmpl w:val="603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0B38AA"/>
    <w:multiLevelType w:val="multilevel"/>
    <w:tmpl w:val="F3268B60"/>
    <w:lvl w:ilvl="0">
      <w:start w:val="3"/>
      <w:numFmt w:val="upperRoman"/>
      <w:lvlText w:val="%1."/>
      <w:lvlJc w:val="right"/>
      <w:pPr>
        <w:tabs>
          <w:tab w:val="num" w:pos="720"/>
        </w:tabs>
        <w:ind w:left="720" w:hanging="360"/>
      </w:pPr>
      <w:rPr>
        <w:b/>
        <w:bCs/>
        <w:sz w:val="22"/>
        <w:szCs w:val="22"/>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15:restartNumberingAfterBreak="0">
    <w:nsid w:val="617B695F"/>
    <w:multiLevelType w:val="multilevel"/>
    <w:tmpl w:val="4F562E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61E84645"/>
    <w:multiLevelType w:val="multilevel"/>
    <w:tmpl w:val="3258A4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74A10D17"/>
    <w:multiLevelType w:val="hybridMultilevel"/>
    <w:tmpl w:val="8C52B384"/>
    <w:lvl w:ilvl="0" w:tplc="206AE4B4">
      <w:start w:val="4"/>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83956488">
    <w:abstractNumId w:val="0"/>
  </w:num>
  <w:num w:numId="2" w16cid:durableId="112292174">
    <w:abstractNumId w:val="6"/>
  </w:num>
  <w:num w:numId="3" w16cid:durableId="1497720058">
    <w:abstractNumId w:val="10"/>
  </w:num>
  <w:num w:numId="4" w16cid:durableId="1643464235">
    <w:abstractNumId w:val="1"/>
  </w:num>
  <w:num w:numId="5" w16cid:durableId="460224305">
    <w:abstractNumId w:val="2"/>
  </w:num>
  <w:num w:numId="6" w16cid:durableId="233123564">
    <w:abstractNumId w:val="9"/>
  </w:num>
  <w:num w:numId="7" w16cid:durableId="268660905">
    <w:abstractNumId w:val="3"/>
  </w:num>
  <w:num w:numId="8" w16cid:durableId="272439434">
    <w:abstractNumId w:val="8"/>
  </w:num>
  <w:num w:numId="9" w16cid:durableId="733896258">
    <w:abstractNumId w:val="5"/>
  </w:num>
  <w:num w:numId="10" w16cid:durableId="639656059">
    <w:abstractNumId w:val="7"/>
  </w:num>
  <w:num w:numId="11" w16cid:durableId="42808758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A57"/>
    <w:rsid w:val="00000FDB"/>
    <w:rsid w:val="0001283F"/>
    <w:rsid w:val="00013DD9"/>
    <w:rsid w:val="00016F22"/>
    <w:rsid w:val="00016FB5"/>
    <w:rsid w:val="00020FE8"/>
    <w:rsid w:val="00021092"/>
    <w:rsid w:val="000266F2"/>
    <w:rsid w:val="00026900"/>
    <w:rsid w:val="0002757A"/>
    <w:rsid w:val="000306CB"/>
    <w:rsid w:val="000338E3"/>
    <w:rsid w:val="00045747"/>
    <w:rsid w:val="00051F53"/>
    <w:rsid w:val="00055325"/>
    <w:rsid w:val="00056013"/>
    <w:rsid w:val="0005746C"/>
    <w:rsid w:val="00060159"/>
    <w:rsid w:val="000625F7"/>
    <w:rsid w:val="000643B3"/>
    <w:rsid w:val="00065A44"/>
    <w:rsid w:val="00065C34"/>
    <w:rsid w:val="000671F7"/>
    <w:rsid w:val="00072CC0"/>
    <w:rsid w:val="00074AAB"/>
    <w:rsid w:val="000766A8"/>
    <w:rsid w:val="000772F1"/>
    <w:rsid w:val="000809F4"/>
    <w:rsid w:val="000826B4"/>
    <w:rsid w:val="000831F2"/>
    <w:rsid w:val="00086098"/>
    <w:rsid w:val="00086644"/>
    <w:rsid w:val="00090602"/>
    <w:rsid w:val="00090B2C"/>
    <w:rsid w:val="000932CA"/>
    <w:rsid w:val="00095470"/>
    <w:rsid w:val="000979B5"/>
    <w:rsid w:val="000A03EE"/>
    <w:rsid w:val="000A25A0"/>
    <w:rsid w:val="000A3688"/>
    <w:rsid w:val="000A3864"/>
    <w:rsid w:val="000A4AB2"/>
    <w:rsid w:val="000A4BA7"/>
    <w:rsid w:val="000A740B"/>
    <w:rsid w:val="000A7809"/>
    <w:rsid w:val="000A7982"/>
    <w:rsid w:val="000B2CC4"/>
    <w:rsid w:val="000B483F"/>
    <w:rsid w:val="000B6FDE"/>
    <w:rsid w:val="000C0291"/>
    <w:rsid w:val="000C1E06"/>
    <w:rsid w:val="000C1E2C"/>
    <w:rsid w:val="000C26BC"/>
    <w:rsid w:val="000C4F21"/>
    <w:rsid w:val="000C51B3"/>
    <w:rsid w:val="000C6215"/>
    <w:rsid w:val="000D2C52"/>
    <w:rsid w:val="000D62E4"/>
    <w:rsid w:val="000E045C"/>
    <w:rsid w:val="000E0A9F"/>
    <w:rsid w:val="000E278A"/>
    <w:rsid w:val="000E3AB0"/>
    <w:rsid w:val="000E52DC"/>
    <w:rsid w:val="000E65A5"/>
    <w:rsid w:val="000F0B97"/>
    <w:rsid w:val="000F187B"/>
    <w:rsid w:val="000F2D24"/>
    <w:rsid w:val="000F2F41"/>
    <w:rsid w:val="000F417F"/>
    <w:rsid w:val="000F4B47"/>
    <w:rsid w:val="000F5A75"/>
    <w:rsid w:val="000F5D82"/>
    <w:rsid w:val="000F60C4"/>
    <w:rsid w:val="000F6B8B"/>
    <w:rsid w:val="000F7048"/>
    <w:rsid w:val="001008B3"/>
    <w:rsid w:val="001056BC"/>
    <w:rsid w:val="00105E27"/>
    <w:rsid w:val="00114E75"/>
    <w:rsid w:val="00117485"/>
    <w:rsid w:val="001213A6"/>
    <w:rsid w:val="00134BE7"/>
    <w:rsid w:val="00134DA9"/>
    <w:rsid w:val="0013771F"/>
    <w:rsid w:val="00144AB9"/>
    <w:rsid w:val="00152799"/>
    <w:rsid w:val="00153221"/>
    <w:rsid w:val="001541CC"/>
    <w:rsid w:val="00154FD1"/>
    <w:rsid w:val="00155FD1"/>
    <w:rsid w:val="0015703D"/>
    <w:rsid w:val="00157308"/>
    <w:rsid w:val="00160CCA"/>
    <w:rsid w:val="00164D02"/>
    <w:rsid w:val="00164D17"/>
    <w:rsid w:val="0016519D"/>
    <w:rsid w:val="0016539F"/>
    <w:rsid w:val="0016649A"/>
    <w:rsid w:val="0016769B"/>
    <w:rsid w:val="00167D4E"/>
    <w:rsid w:val="00172A79"/>
    <w:rsid w:val="00172FAD"/>
    <w:rsid w:val="0017317A"/>
    <w:rsid w:val="00176E57"/>
    <w:rsid w:val="001853E4"/>
    <w:rsid w:val="00186EF8"/>
    <w:rsid w:val="0018792D"/>
    <w:rsid w:val="00192704"/>
    <w:rsid w:val="0019312F"/>
    <w:rsid w:val="00193867"/>
    <w:rsid w:val="0019749D"/>
    <w:rsid w:val="001A019A"/>
    <w:rsid w:val="001B0F66"/>
    <w:rsid w:val="001B1D58"/>
    <w:rsid w:val="001B37F7"/>
    <w:rsid w:val="001C1A60"/>
    <w:rsid w:val="001C4FEC"/>
    <w:rsid w:val="001C5AE1"/>
    <w:rsid w:val="001D0161"/>
    <w:rsid w:val="001D10EB"/>
    <w:rsid w:val="001D3F21"/>
    <w:rsid w:val="001E0576"/>
    <w:rsid w:val="001E2B8C"/>
    <w:rsid w:val="001E3BD6"/>
    <w:rsid w:val="001E4219"/>
    <w:rsid w:val="001E525E"/>
    <w:rsid w:val="001E6655"/>
    <w:rsid w:val="001F1559"/>
    <w:rsid w:val="001F50BA"/>
    <w:rsid w:val="001F57F9"/>
    <w:rsid w:val="001F5D5A"/>
    <w:rsid w:val="002018CB"/>
    <w:rsid w:val="00206BA3"/>
    <w:rsid w:val="00210F2A"/>
    <w:rsid w:val="00216832"/>
    <w:rsid w:val="0021759A"/>
    <w:rsid w:val="0022267D"/>
    <w:rsid w:val="0022372C"/>
    <w:rsid w:val="002242C0"/>
    <w:rsid w:val="00227C83"/>
    <w:rsid w:val="0023157C"/>
    <w:rsid w:val="00231B5A"/>
    <w:rsid w:val="00232CA5"/>
    <w:rsid w:val="0023675F"/>
    <w:rsid w:val="00240E3D"/>
    <w:rsid w:val="002411DD"/>
    <w:rsid w:val="002423A5"/>
    <w:rsid w:val="002439C0"/>
    <w:rsid w:val="0024550D"/>
    <w:rsid w:val="00246643"/>
    <w:rsid w:val="00253189"/>
    <w:rsid w:val="0025632B"/>
    <w:rsid w:val="00260BFD"/>
    <w:rsid w:val="00270FB8"/>
    <w:rsid w:val="00272768"/>
    <w:rsid w:val="00274010"/>
    <w:rsid w:val="002746A2"/>
    <w:rsid w:val="002772A4"/>
    <w:rsid w:val="00280459"/>
    <w:rsid w:val="002812F6"/>
    <w:rsid w:val="00281635"/>
    <w:rsid w:val="002834F8"/>
    <w:rsid w:val="00283B9A"/>
    <w:rsid w:val="00287343"/>
    <w:rsid w:val="00290CD4"/>
    <w:rsid w:val="00291FEC"/>
    <w:rsid w:val="00291FF8"/>
    <w:rsid w:val="00294330"/>
    <w:rsid w:val="00294448"/>
    <w:rsid w:val="00295425"/>
    <w:rsid w:val="002957EF"/>
    <w:rsid w:val="00296E03"/>
    <w:rsid w:val="002A1178"/>
    <w:rsid w:val="002A66DE"/>
    <w:rsid w:val="002A74C5"/>
    <w:rsid w:val="002B00E6"/>
    <w:rsid w:val="002B0128"/>
    <w:rsid w:val="002B0A8C"/>
    <w:rsid w:val="002B3D74"/>
    <w:rsid w:val="002B522E"/>
    <w:rsid w:val="002C2ACF"/>
    <w:rsid w:val="002C7B6A"/>
    <w:rsid w:val="002D1C04"/>
    <w:rsid w:val="002D3EA4"/>
    <w:rsid w:val="002D435B"/>
    <w:rsid w:val="002D521C"/>
    <w:rsid w:val="002D5E2F"/>
    <w:rsid w:val="002E10F9"/>
    <w:rsid w:val="002E1154"/>
    <w:rsid w:val="002E2E5B"/>
    <w:rsid w:val="002E3C0B"/>
    <w:rsid w:val="002E527B"/>
    <w:rsid w:val="002E5CE4"/>
    <w:rsid w:val="002E6672"/>
    <w:rsid w:val="002F1D95"/>
    <w:rsid w:val="002F3C4C"/>
    <w:rsid w:val="002F5E25"/>
    <w:rsid w:val="003001CB"/>
    <w:rsid w:val="003078F4"/>
    <w:rsid w:val="00311ECB"/>
    <w:rsid w:val="0031249E"/>
    <w:rsid w:val="0031624D"/>
    <w:rsid w:val="0031763A"/>
    <w:rsid w:val="003215DC"/>
    <w:rsid w:val="00321C9C"/>
    <w:rsid w:val="003229DC"/>
    <w:rsid w:val="003246F0"/>
    <w:rsid w:val="00325828"/>
    <w:rsid w:val="0033178D"/>
    <w:rsid w:val="00335956"/>
    <w:rsid w:val="00336A40"/>
    <w:rsid w:val="00341D37"/>
    <w:rsid w:val="003439EE"/>
    <w:rsid w:val="00346ED1"/>
    <w:rsid w:val="003522F0"/>
    <w:rsid w:val="0035360F"/>
    <w:rsid w:val="003537BC"/>
    <w:rsid w:val="00355663"/>
    <w:rsid w:val="00356CF5"/>
    <w:rsid w:val="00357A85"/>
    <w:rsid w:val="00361309"/>
    <w:rsid w:val="00362914"/>
    <w:rsid w:val="00362AAC"/>
    <w:rsid w:val="00365634"/>
    <w:rsid w:val="00371616"/>
    <w:rsid w:val="00372AB0"/>
    <w:rsid w:val="00372AD4"/>
    <w:rsid w:val="00372CD4"/>
    <w:rsid w:val="00380306"/>
    <w:rsid w:val="00383D9C"/>
    <w:rsid w:val="00386CD4"/>
    <w:rsid w:val="00387B32"/>
    <w:rsid w:val="0039169C"/>
    <w:rsid w:val="00397FCE"/>
    <w:rsid w:val="003A3B5B"/>
    <w:rsid w:val="003A4BAE"/>
    <w:rsid w:val="003A4C15"/>
    <w:rsid w:val="003B1951"/>
    <w:rsid w:val="003B511E"/>
    <w:rsid w:val="003B7826"/>
    <w:rsid w:val="003C02B9"/>
    <w:rsid w:val="003C711E"/>
    <w:rsid w:val="003C7D86"/>
    <w:rsid w:val="003D1845"/>
    <w:rsid w:val="003D5D34"/>
    <w:rsid w:val="003D6A78"/>
    <w:rsid w:val="003D7785"/>
    <w:rsid w:val="003D7C4A"/>
    <w:rsid w:val="003E04F5"/>
    <w:rsid w:val="003E1A31"/>
    <w:rsid w:val="003E2D6A"/>
    <w:rsid w:val="003E5D66"/>
    <w:rsid w:val="003F3349"/>
    <w:rsid w:val="003F3D68"/>
    <w:rsid w:val="003F42CB"/>
    <w:rsid w:val="004024C3"/>
    <w:rsid w:val="00402770"/>
    <w:rsid w:val="004052F6"/>
    <w:rsid w:val="004074AC"/>
    <w:rsid w:val="00412E09"/>
    <w:rsid w:val="004215C4"/>
    <w:rsid w:val="00423147"/>
    <w:rsid w:val="00424B89"/>
    <w:rsid w:val="00430334"/>
    <w:rsid w:val="00430CEC"/>
    <w:rsid w:val="0043559B"/>
    <w:rsid w:val="00435915"/>
    <w:rsid w:val="00436C85"/>
    <w:rsid w:val="00437574"/>
    <w:rsid w:val="00445216"/>
    <w:rsid w:val="004468DE"/>
    <w:rsid w:val="00446F59"/>
    <w:rsid w:val="004472DF"/>
    <w:rsid w:val="004536BA"/>
    <w:rsid w:val="004540B4"/>
    <w:rsid w:val="00456042"/>
    <w:rsid w:val="00456790"/>
    <w:rsid w:val="00456CCC"/>
    <w:rsid w:val="00460421"/>
    <w:rsid w:val="00460860"/>
    <w:rsid w:val="00465D52"/>
    <w:rsid w:val="00466000"/>
    <w:rsid w:val="004665F9"/>
    <w:rsid w:val="00467295"/>
    <w:rsid w:val="00476FBF"/>
    <w:rsid w:val="0047763D"/>
    <w:rsid w:val="00483E65"/>
    <w:rsid w:val="00483FAF"/>
    <w:rsid w:val="00484AD0"/>
    <w:rsid w:val="00487F83"/>
    <w:rsid w:val="00494998"/>
    <w:rsid w:val="004A098F"/>
    <w:rsid w:val="004A0B49"/>
    <w:rsid w:val="004A0EB2"/>
    <w:rsid w:val="004A741A"/>
    <w:rsid w:val="004B2271"/>
    <w:rsid w:val="004B2624"/>
    <w:rsid w:val="004C5613"/>
    <w:rsid w:val="004D05BC"/>
    <w:rsid w:val="004D2262"/>
    <w:rsid w:val="004E0B65"/>
    <w:rsid w:val="004E6D32"/>
    <w:rsid w:val="004F43E2"/>
    <w:rsid w:val="004F491E"/>
    <w:rsid w:val="004F57BE"/>
    <w:rsid w:val="00500754"/>
    <w:rsid w:val="005026C6"/>
    <w:rsid w:val="005029A2"/>
    <w:rsid w:val="00507126"/>
    <w:rsid w:val="00507731"/>
    <w:rsid w:val="0051082B"/>
    <w:rsid w:val="00510B4C"/>
    <w:rsid w:val="00512DAA"/>
    <w:rsid w:val="005145DA"/>
    <w:rsid w:val="00514E52"/>
    <w:rsid w:val="00516BBE"/>
    <w:rsid w:val="005215C4"/>
    <w:rsid w:val="005232EA"/>
    <w:rsid w:val="005259E1"/>
    <w:rsid w:val="0052689C"/>
    <w:rsid w:val="005276CA"/>
    <w:rsid w:val="00527AA9"/>
    <w:rsid w:val="00533CCC"/>
    <w:rsid w:val="00550160"/>
    <w:rsid w:val="00550B7B"/>
    <w:rsid w:val="00553D4E"/>
    <w:rsid w:val="005572A4"/>
    <w:rsid w:val="005572CF"/>
    <w:rsid w:val="00563D4D"/>
    <w:rsid w:val="005659CE"/>
    <w:rsid w:val="00570814"/>
    <w:rsid w:val="00570A73"/>
    <w:rsid w:val="005715E5"/>
    <w:rsid w:val="0057292A"/>
    <w:rsid w:val="00574E50"/>
    <w:rsid w:val="00576780"/>
    <w:rsid w:val="00585944"/>
    <w:rsid w:val="00586326"/>
    <w:rsid w:val="005A169B"/>
    <w:rsid w:val="005A47D0"/>
    <w:rsid w:val="005A6863"/>
    <w:rsid w:val="005A6A3B"/>
    <w:rsid w:val="005A7613"/>
    <w:rsid w:val="005B1281"/>
    <w:rsid w:val="005B1FBE"/>
    <w:rsid w:val="005B3212"/>
    <w:rsid w:val="005B4076"/>
    <w:rsid w:val="005C00A3"/>
    <w:rsid w:val="005C0618"/>
    <w:rsid w:val="005C26B8"/>
    <w:rsid w:val="005C31B8"/>
    <w:rsid w:val="005C3222"/>
    <w:rsid w:val="005C641F"/>
    <w:rsid w:val="005C6B28"/>
    <w:rsid w:val="005D79E5"/>
    <w:rsid w:val="005E1B5B"/>
    <w:rsid w:val="005E2B66"/>
    <w:rsid w:val="005E32C2"/>
    <w:rsid w:val="005E5B3D"/>
    <w:rsid w:val="005E5F28"/>
    <w:rsid w:val="005E7401"/>
    <w:rsid w:val="005E753A"/>
    <w:rsid w:val="005F07EB"/>
    <w:rsid w:val="005F097F"/>
    <w:rsid w:val="005F1A55"/>
    <w:rsid w:val="005F2D61"/>
    <w:rsid w:val="005F50E1"/>
    <w:rsid w:val="005F7805"/>
    <w:rsid w:val="00601079"/>
    <w:rsid w:val="00601ADF"/>
    <w:rsid w:val="00601C41"/>
    <w:rsid w:val="00610181"/>
    <w:rsid w:val="006102F0"/>
    <w:rsid w:val="006106C8"/>
    <w:rsid w:val="00612180"/>
    <w:rsid w:val="00614EFB"/>
    <w:rsid w:val="006166BF"/>
    <w:rsid w:val="00616A56"/>
    <w:rsid w:val="00616BCB"/>
    <w:rsid w:val="00625834"/>
    <w:rsid w:val="0062657B"/>
    <w:rsid w:val="006303D7"/>
    <w:rsid w:val="00630B0B"/>
    <w:rsid w:val="006334BC"/>
    <w:rsid w:val="00637256"/>
    <w:rsid w:val="006406C5"/>
    <w:rsid w:val="0064575A"/>
    <w:rsid w:val="00647A8F"/>
    <w:rsid w:val="006541D3"/>
    <w:rsid w:val="00660492"/>
    <w:rsid w:val="00662EC9"/>
    <w:rsid w:val="006631C7"/>
    <w:rsid w:val="0066651C"/>
    <w:rsid w:val="00671CED"/>
    <w:rsid w:val="00673B72"/>
    <w:rsid w:val="00674857"/>
    <w:rsid w:val="0067586C"/>
    <w:rsid w:val="00677A21"/>
    <w:rsid w:val="00677CA9"/>
    <w:rsid w:val="00682532"/>
    <w:rsid w:val="00686AD4"/>
    <w:rsid w:val="00693CB9"/>
    <w:rsid w:val="00696A45"/>
    <w:rsid w:val="006A374B"/>
    <w:rsid w:val="006A5993"/>
    <w:rsid w:val="006A6C0B"/>
    <w:rsid w:val="006B25DC"/>
    <w:rsid w:val="006B4838"/>
    <w:rsid w:val="006C6872"/>
    <w:rsid w:val="006D3C36"/>
    <w:rsid w:val="006D3E5C"/>
    <w:rsid w:val="006D4D81"/>
    <w:rsid w:val="006D7A88"/>
    <w:rsid w:val="006E2008"/>
    <w:rsid w:val="006E3171"/>
    <w:rsid w:val="006E34FE"/>
    <w:rsid w:val="006E38B3"/>
    <w:rsid w:val="006E3F26"/>
    <w:rsid w:val="006E4F65"/>
    <w:rsid w:val="006E5411"/>
    <w:rsid w:val="006E586A"/>
    <w:rsid w:val="006E5A1B"/>
    <w:rsid w:val="006E6A57"/>
    <w:rsid w:val="006E778B"/>
    <w:rsid w:val="006E7BA4"/>
    <w:rsid w:val="006F1631"/>
    <w:rsid w:val="006F2679"/>
    <w:rsid w:val="006F3A7B"/>
    <w:rsid w:val="006F5700"/>
    <w:rsid w:val="0070163E"/>
    <w:rsid w:val="00702C1E"/>
    <w:rsid w:val="00711DDA"/>
    <w:rsid w:val="007121DE"/>
    <w:rsid w:val="00725926"/>
    <w:rsid w:val="00726FC1"/>
    <w:rsid w:val="0072725C"/>
    <w:rsid w:val="00727DC0"/>
    <w:rsid w:val="007300BD"/>
    <w:rsid w:val="007319E2"/>
    <w:rsid w:val="00731D17"/>
    <w:rsid w:val="0073462D"/>
    <w:rsid w:val="00736248"/>
    <w:rsid w:val="00736746"/>
    <w:rsid w:val="007374A7"/>
    <w:rsid w:val="00737A8B"/>
    <w:rsid w:val="00750C49"/>
    <w:rsid w:val="00751FBA"/>
    <w:rsid w:val="00753704"/>
    <w:rsid w:val="00753CD5"/>
    <w:rsid w:val="00753E02"/>
    <w:rsid w:val="00754A1B"/>
    <w:rsid w:val="00754B05"/>
    <w:rsid w:val="00766683"/>
    <w:rsid w:val="00766B33"/>
    <w:rsid w:val="007707C5"/>
    <w:rsid w:val="00772630"/>
    <w:rsid w:val="0077269F"/>
    <w:rsid w:val="00772C8C"/>
    <w:rsid w:val="0077454D"/>
    <w:rsid w:val="00780928"/>
    <w:rsid w:val="0078247C"/>
    <w:rsid w:val="00782963"/>
    <w:rsid w:val="00783893"/>
    <w:rsid w:val="00783933"/>
    <w:rsid w:val="00785BDA"/>
    <w:rsid w:val="007940E5"/>
    <w:rsid w:val="00796713"/>
    <w:rsid w:val="00797507"/>
    <w:rsid w:val="007A24C5"/>
    <w:rsid w:val="007A2F15"/>
    <w:rsid w:val="007A5141"/>
    <w:rsid w:val="007B5BFA"/>
    <w:rsid w:val="007B6EE7"/>
    <w:rsid w:val="007C0463"/>
    <w:rsid w:val="007C1457"/>
    <w:rsid w:val="007C295A"/>
    <w:rsid w:val="007C4344"/>
    <w:rsid w:val="007C56A4"/>
    <w:rsid w:val="007C6069"/>
    <w:rsid w:val="007D37E6"/>
    <w:rsid w:val="007E1F7D"/>
    <w:rsid w:val="007E2FE9"/>
    <w:rsid w:val="007E33AA"/>
    <w:rsid w:val="007E43D5"/>
    <w:rsid w:val="007E4CA5"/>
    <w:rsid w:val="007E5468"/>
    <w:rsid w:val="007E6474"/>
    <w:rsid w:val="007E73B0"/>
    <w:rsid w:val="007F0CBF"/>
    <w:rsid w:val="007F6FE2"/>
    <w:rsid w:val="007F719E"/>
    <w:rsid w:val="007F7D9C"/>
    <w:rsid w:val="00803250"/>
    <w:rsid w:val="0080509D"/>
    <w:rsid w:val="00805224"/>
    <w:rsid w:val="008153F5"/>
    <w:rsid w:val="00816D55"/>
    <w:rsid w:val="00820E24"/>
    <w:rsid w:val="00821208"/>
    <w:rsid w:val="00824A43"/>
    <w:rsid w:val="00824F61"/>
    <w:rsid w:val="0082718F"/>
    <w:rsid w:val="008273F2"/>
    <w:rsid w:val="00827480"/>
    <w:rsid w:val="008303CE"/>
    <w:rsid w:val="00830E24"/>
    <w:rsid w:val="0083302B"/>
    <w:rsid w:val="00834CC2"/>
    <w:rsid w:val="008356D6"/>
    <w:rsid w:val="00836853"/>
    <w:rsid w:val="00836D41"/>
    <w:rsid w:val="008416D4"/>
    <w:rsid w:val="0084281F"/>
    <w:rsid w:val="00843A69"/>
    <w:rsid w:val="00847853"/>
    <w:rsid w:val="008522A1"/>
    <w:rsid w:val="00852B76"/>
    <w:rsid w:val="00853083"/>
    <w:rsid w:val="00870B9E"/>
    <w:rsid w:val="00871320"/>
    <w:rsid w:val="008731AB"/>
    <w:rsid w:val="00873BE4"/>
    <w:rsid w:val="008777E0"/>
    <w:rsid w:val="00880995"/>
    <w:rsid w:val="00882B5F"/>
    <w:rsid w:val="00884E84"/>
    <w:rsid w:val="008858E0"/>
    <w:rsid w:val="00887219"/>
    <w:rsid w:val="00887BDA"/>
    <w:rsid w:val="00892905"/>
    <w:rsid w:val="008929BA"/>
    <w:rsid w:val="00894D35"/>
    <w:rsid w:val="008979D0"/>
    <w:rsid w:val="008A1D54"/>
    <w:rsid w:val="008A7498"/>
    <w:rsid w:val="008B0D73"/>
    <w:rsid w:val="008B56E8"/>
    <w:rsid w:val="008B5C89"/>
    <w:rsid w:val="008B634C"/>
    <w:rsid w:val="008B6C71"/>
    <w:rsid w:val="008B75A8"/>
    <w:rsid w:val="008B75FF"/>
    <w:rsid w:val="008C2426"/>
    <w:rsid w:val="008C5038"/>
    <w:rsid w:val="008C5C1A"/>
    <w:rsid w:val="008C78DC"/>
    <w:rsid w:val="008D11DB"/>
    <w:rsid w:val="008D300F"/>
    <w:rsid w:val="008D7481"/>
    <w:rsid w:val="008E21C2"/>
    <w:rsid w:val="008E354F"/>
    <w:rsid w:val="008E3ADF"/>
    <w:rsid w:val="008E5EDB"/>
    <w:rsid w:val="008E6112"/>
    <w:rsid w:val="008E78B1"/>
    <w:rsid w:val="008E7B55"/>
    <w:rsid w:val="009009F5"/>
    <w:rsid w:val="00901C0E"/>
    <w:rsid w:val="009037FE"/>
    <w:rsid w:val="0090658E"/>
    <w:rsid w:val="0090697A"/>
    <w:rsid w:val="00906DCF"/>
    <w:rsid w:val="009106A7"/>
    <w:rsid w:val="00920BE1"/>
    <w:rsid w:val="00921599"/>
    <w:rsid w:val="00921E19"/>
    <w:rsid w:val="0092258D"/>
    <w:rsid w:val="009229AC"/>
    <w:rsid w:val="00922C64"/>
    <w:rsid w:val="009245EF"/>
    <w:rsid w:val="009302D1"/>
    <w:rsid w:val="00933309"/>
    <w:rsid w:val="00934F85"/>
    <w:rsid w:val="009355E3"/>
    <w:rsid w:val="00936B24"/>
    <w:rsid w:val="00936BB0"/>
    <w:rsid w:val="0094097E"/>
    <w:rsid w:val="00941426"/>
    <w:rsid w:val="009424B4"/>
    <w:rsid w:val="00944F51"/>
    <w:rsid w:val="0094644D"/>
    <w:rsid w:val="00946AB1"/>
    <w:rsid w:val="0095120E"/>
    <w:rsid w:val="00952ED7"/>
    <w:rsid w:val="00954A02"/>
    <w:rsid w:val="00956F07"/>
    <w:rsid w:val="009611A7"/>
    <w:rsid w:val="0096530D"/>
    <w:rsid w:val="00966889"/>
    <w:rsid w:val="0097144E"/>
    <w:rsid w:val="00974A04"/>
    <w:rsid w:val="00983FC0"/>
    <w:rsid w:val="00984FCB"/>
    <w:rsid w:val="00987D72"/>
    <w:rsid w:val="00987E64"/>
    <w:rsid w:val="0099045B"/>
    <w:rsid w:val="0099731E"/>
    <w:rsid w:val="009A045F"/>
    <w:rsid w:val="009B1DB0"/>
    <w:rsid w:val="009B4980"/>
    <w:rsid w:val="009C165B"/>
    <w:rsid w:val="009D01AC"/>
    <w:rsid w:val="009D0870"/>
    <w:rsid w:val="009D3542"/>
    <w:rsid w:val="009D407B"/>
    <w:rsid w:val="009D6BF3"/>
    <w:rsid w:val="009D72F8"/>
    <w:rsid w:val="009E28A5"/>
    <w:rsid w:val="009E5E69"/>
    <w:rsid w:val="009E739B"/>
    <w:rsid w:val="009E76D2"/>
    <w:rsid w:val="009F2A9E"/>
    <w:rsid w:val="009F3388"/>
    <w:rsid w:val="009F51FA"/>
    <w:rsid w:val="009F6CBC"/>
    <w:rsid w:val="009F74CF"/>
    <w:rsid w:val="009F75A5"/>
    <w:rsid w:val="00A00879"/>
    <w:rsid w:val="00A03BED"/>
    <w:rsid w:val="00A074FE"/>
    <w:rsid w:val="00A12090"/>
    <w:rsid w:val="00A129EF"/>
    <w:rsid w:val="00A1493F"/>
    <w:rsid w:val="00A16150"/>
    <w:rsid w:val="00A1626C"/>
    <w:rsid w:val="00A16C3A"/>
    <w:rsid w:val="00A17D6A"/>
    <w:rsid w:val="00A237A1"/>
    <w:rsid w:val="00A26EF0"/>
    <w:rsid w:val="00A30EB6"/>
    <w:rsid w:val="00A3406D"/>
    <w:rsid w:val="00A401FE"/>
    <w:rsid w:val="00A42550"/>
    <w:rsid w:val="00A47225"/>
    <w:rsid w:val="00A473A1"/>
    <w:rsid w:val="00A53208"/>
    <w:rsid w:val="00A547A6"/>
    <w:rsid w:val="00A54F6D"/>
    <w:rsid w:val="00A5631A"/>
    <w:rsid w:val="00A64D4B"/>
    <w:rsid w:val="00A71788"/>
    <w:rsid w:val="00A76ED8"/>
    <w:rsid w:val="00A77AA3"/>
    <w:rsid w:val="00A81C9A"/>
    <w:rsid w:val="00A84925"/>
    <w:rsid w:val="00A84BC3"/>
    <w:rsid w:val="00A86520"/>
    <w:rsid w:val="00A9047D"/>
    <w:rsid w:val="00A932B8"/>
    <w:rsid w:val="00A9361C"/>
    <w:rsid w:val="00A953E0"/>
    <w:rsid w:val="00A9700C"/>
    <w:rsid w:val="00A973F6"/>
    <w:rsid w:val="00A97C07"/>
    <w:rsid w:val="00AA0892"/>
    <w:rsid w:val="00AA31B1"/>
    <w:rsid w:val="00AA69A6"/>
    <w:rsid w:val="00AA7419"/>
    <w:rsid w:val="00AA7930"/>
    <w:rsid w:val="00AB29B5"/>
    <w:rsid w:val="00AB3557"/>
    <w:rsid w:val="00AB4988"/>
    <w:rsid w:val="00AC0BF1"/>
    <w:rsid w:val="00AC17F9"/>
    <w:rsid w:val="00AC5AAB"/>
    <w:rsid w:val="00AD245D"/>
    <w:rsid w:val="00AD4B16"/>
    <w:rsid w:val="00AD76A5"/>
    <w:rsid w:val="00AE32DC"/>
    <w:rsid w:val="00AE3661"/>
    <w:rsid w:val="00AE5D88"/>
    <w:rsid w:val="00AE600F"/>
    <w:rsid w:val="00AE6CA5"/>
    <w:rsid w:val="00AF564A"/>
    <w:rsid w:val="00B025DD"/>
    <w:rsid w:val="00B02C70"/>
    <w:rsid w:val="00B030EA"/>
    <w:rsid w:val="00B0351A"/>
    <w:rsid w:val="00B050D7"/>
    <w:rsid w:val="00B10186"/>
    <w:rsid w:val="00B14DA6"/>
    <w:rsid w:val="00B17472"/>
    <w:rsid w:val="00B21961"/>
    <w:rsid w:val="00B2271D"/>
    <w:rsid w:val="00B22E22"/>
    <w:rsid w:val="00B31874"/>
    <w:rsid w:val="00B3205D"/>
    <w:rsid w:val="00B4244D"/>
    <w:rsid w:val="00B43564"/>
    <w:rsid w:val="00B437DE"/>
    <w:rsid w:val="00B47D3A"/>
    <w:rsid w:val="00B5244F"/>
    <w:rsid w:val="00B535FC"/>
    <w:rsid w:val="00B54E00"/>
    <w:rsid w:val="00B56E5B"/>
    <w:rsid w:val="00B60835"/>
    <w:rsid w:val="00B63A28"/>
    <w:rsid w:val="00B64C17"/>
    <w:rsid w:val="00B67EE6"/>
    <w:rsid w:val="00B7218A"/>
    <w:rsid w:val="00B76445"/>
    <w:rsid w:val="00B7699B"/>
    <w:rsid w:val="00B81370"/>
    <w:rsid w:val="00B900AF"/>
    <w:rsid w:val="00B91972"/>
    <w:rsid w:val="00B94252"/>
    <w:rsid w:val="00B954BB"/>
    <w:rsid w:val="00B968FA"/>
    <w:rsid w:val="00BA3090"/>
    <w:rsid w:val="00BA41F7"/>
    <w:rsid w:val="00BA6F33"/>
    <w:rsid w:val="00BB1CAD"/>
    <w:rsid w:val="00BB269E"/>
    <w:rsid w:val="00BB3484"/>
    <w:rsid w:val="00BC5691"/>
    <w:rsid w:val="00BC793E"/>
    <w:rsid w:val="00BD23B7"/>
    <w:rsid w:val="00BD27F4"/>
    <w:rsid w:val="00BD3673"/>
    <w:rsid w:val="00BD4069"/>
    <w:rsid w:val="00BD57CB"/>
    <w:rsid w:val="00BE12C9"/>
    <w:rsid w:val="00BE16DA"/>
    <w:rsid w:val="00BE1ADD"/>
    <w:rsid w:val="00BE4853"/>
    <w:rsid w:val="00BE6815"/>
    <w:rsid w:val="00BF47C3"/>
    <w:rsid w:val="00BF6A5D"/>
    <w:rsid w:val="00C00753"/>
    <w:rsid w:val="00C0312C"/>
    <w:rsid w:val="00C03F82"/>
    <w:rsid w:val="00C10F0B"/>
    <w:rsid w:val="00C14B4D"/>
    <w:rsid w:val="00C211B9"/>
    <w:rsid w:val="00C30EDA"/>
    <w:rsid w:val="00C325BF"/>
    <w:rsid w:val="00C33007"/>
    <w:rsid w:val="00C35285"/>
    <w:rsid w:val="00C3691D"/>
    <w:rsid w:val="00C37628"/>
    <w:rsid w:val="00C413F0"/>
    <w:rsid w:val="00C41BCE"/>
    <w:rsid w:val="00C4261A"/>
    <w:rsid w:val="00C44A97"/>
    <w:rsid w:val="00C46E49"/>
    <w:rsid w:val="00C552DE"/>
    <w:rsid w:val="00C60CB1"/>
    <w:rsid w:val="00C65C1B"/>
    <w:rsid w:val="00C71EAB"/>
    <w:rsid w:val="00C75C62"/>
    <w:rsid w:val="00C76035"/>
    <w:rsid w:val="00C77F1E"/>
    <w:rsid w:val="00C83BA5"/>
    <w:rsid w:val="00C84FDE"/>
    <w:rsid w:val="00C86498"/>
    <w:rsid w:val="00C86B15"/>
    <w:rsid w:val="00C963A9"/>
    <w:rsid w:val="00CA02BA"/>
    <w:rsid w:val="00CA0E77"/>
    <w:rsid w:val="00CA1575"/>
    <w:rsid w:val="00CA732E"/>
    <w:rsid w:val="00CB534C"/>
    <w:rsid w:val="00CC07C3"/>
    <w:rsid w:val="00CC1D38"/>
    <w:rsid w:val="00CC4394"/>
    <w:rsid w:val="00CC4DD2"/>
    <w:rsid w:val="00CD0779"/>
    <w:rsid w:val="00CD4CF9"/>
    <w:rsid w:val="00CD5A86"/>
    <w:rsid w:val="00CD5E28"/>
    <w:rsid w:val="00CD79AB"/>
    <w:rsid w:val="00CE4420"/>
    <w:rsid w:val="00CE56EE"/>
    <w:rsid w:val="00CE5AC4"/>
    <w:rsid w:val="00CE6706"/>
    <w:rsid w:val="00CE67A5"/>
    <w:rsid w:val="00CF1030"/>
    <w:rsid w:val="00CF213F"/>
    <w:rsid w:val="00CF348A"/>
    <w:rsid w:val="00CF46B2"/>
    <w:rsid w:val="00CF619B"/>
    <w:rsid w:val="00D015C2"/>
    <w:rsid w:val="00D05614"/>
    <w:rsid w:val="00D057A3"/>
    <w:rsid w:val="00D061BA"/>
    <w:rsid w:val="00D075DE"/>
    <w:rsid w:val="00D106A0"/>
    <w:rsid w:val="00D11609"/>
    <w:rsid w:val="00D1773A"/>
    <w:rsid w:val="00D214EF"/>
    <w:rsid w:val="00D21D0A"/>
    <w:rsid w:val="00D23156"/>
    <w:rsid w:val="00D25913"/>
    <w:rsid w:val="00D25EDC"/>
    <w:rsid w:val="00D30B7A"/>
    <w:rsid w:val="00D324F2"/>
    <w:rsid w:val="00D32BA7"/>
    <w:rsid w:val="00D3571C"/>
    <w:rsid w:val="00D366BC"/>
    <w:rsid w:val="00D37BD7"/>
    <w:rsid w:val="00D40426"/>
    <w:rsid w:val="00D42405"/>
    <w:rsid w:val="00D453AE"/>
    <w:rsid w:val="00D465B8"/>
    <w:rsid w:val="00D509B4"/>
    <w:rsid w:val="00D552BD"/>
    <w:rsid w:val="00D568D2"/>
    <w:rsid w:val="00D56EB6"/>
    <w:rsid w:val="00D572C3"/>
    <w:rsid w:val="00D604B4"/>
    <w:rsid w:val="00D61951"/>
    <w:rsid w:val="00D6272D"/>
    <w:rsid w:val="00D642F2"/>
    <w:rsid w:val="00D67132"/>
    <w:rsid w:val="00D67F1C"/>
    <w:rsid w:val="00D776C6"/>
    <w:rsid w:val="00D77C8B"/>
    <w:rsid w:val="00D85B68"/>
    <w:rsid w:val="00D907CA"/>
    <w:rsid w:val="00D94DC4"/>
    <w:rsid w:val="00D96F7C"/>
    <w:rsid w:val="00DA36B7"/>
    <w:rsid w:val="00DA56DC"/>
    <w:rsid w:val="00DA5DC5"/>
    <w:rsid w:val="00DA7A18"/>
    <w:rsid w:val="00DB03F2"/>
    <w:rsid w:val="00DB0FB2"/>
    <w:rsid w:val="00DB1CB3"/>
    <w:rsid w:val="00DB60F3"/>
    <w:rsid w:val="00DC2FA6"/>
    <w:rsid w:val="00DC31C4"/>
    <w:rsid w:val="00DC52EC"/>
    <w:rsid w:val="00DC6A65"/>
    <w:rsid w:val="00DD0EEC"/>
    <w:rsid w:val="00DD619B"/>
    <w:rsid w:val="00DE185E"/>
    <w:rsid w:val="00DE2F0D"/>
    <w:rsid w:val="00DE35EE"/>
    <w:rsid w:val="00DE611D"/>
    <w:rsid w:val="00DF0E7B"/>
    <w:rsid w:val="00DF1442"/>
    <w:rsid w:val="00DF15D2"/>
    <w:rsid w:val="00DF283F"/>
    <w:rsid w:val="00DF42E2"/>
    <w:rsid w:val="00DF7FFB"/>
    <w:rsid w:val="00E01519"/>
    <w:rsid w:val="00E04400"/>
    <w:rsid w:val="00E05D17"/>
    <w:rsid w:val="00E07F98"/>
    <w:rsid w:val="00E14D75"/>
    <w:rsid w:val="00E157C3"/>
    <w:rsid w:val="00E15861"/>
    <w:rsid w:val="00E21BCA"/>
    <w:rsid w:val="00E23B23"/>
    <w:rsid w:val="00E23F03"/>
    <w:rsid w:val="00E24634"/>
    <w:rsid w:val="00E26FE0"/>
    <w:rsid w:val="00E27254"/>
    <w:rsid w:val="00E277AB"/>
    <w:rsid w:val="00E309F2"/>
    <w:rsid w:val="00E32EA3"/>
    <w:rsid w:val="00E33214"/>
    <w:rsid w:val="00E34E31"/>
    <w:rsid w:val="00E355B4"/>
    <w:rsid w:val="00E35B65"/>
    <w:rsid w:val="00E36C9D"/>
    <w:rsid w:val="00E40AE1"/>
    <w:rsid w:val="00E42A25"/>
    <w:rsid w:val="00E45BE0"/>
    <w:rsid w:val="00E520D1"/>
    <w:rsid w:val="00E5221C"/>
    <w:rsid w:val="00E55233"/>
    <w:rsid w:val="00E55D7D"/>
    <w:rsid w:val="00E56F6F"/>
    <w:rsid w:val="00E65290"/>
    <w:rsid w:val="00E70FC3"/>
    <w:rsid w:val="00E71441"/>
    <w:rsid w:val="00E73C38"/>
    <w:rsid w:val="00E7797F"/>
    <w:rsid w:val="00E83707"/>
    <w:rsid w:val="00E83E7D"/>
    <w:rsid w:val="00E857D7"/>
    <w:rsid w:val="00E91DC0"/>
    <w:rsid w:val="00E94171"/>
    <w:rsid w:val="00E944DB"/>
    <w:rsid w:val="00E96481"/>
    <w:rsid w:val="00E96C10"/>
    <w:rsid w:val="00EA0F5D"/>
    <w:rsid w:val="00EA11E4"/>
    <w:rsid w:val="00EA7671"/>
    <w:rsid w:val="00EA76BE"/>
    <w:rsid w:val="00EB390F"/>
    <w:rsid w:val="00EB5D39"/>
    <w:rsid w:val="00EB5F17"/>
    <w:rsid w:val="00EB782D"/>
    <w:rsid w:val="00EC6FCF"/>
    <w:rsid w:val="00ED23E3"/>
    <w:rsid w:val="00ED73E8"/>
    <w:rsid w:val="00EE1C2D"/>
    <w:rsid w:val="00EE1F6B"/>
    <w:rsid w:val="00EE50AC"/>
    <w:rsid w:val="00EE57EF"/>
    <w:rsid w:val="00EE6469"/>
    <w:rsid w:val="00EE7C4F"/>
    <w:rsid w:val="00EF5956"/>
    <w:rsid w:val="00EF5AE3"/>
    <w:rsid w:val="00F02B4A"/>
    <w:rsid w:val="00F02E0D"/>
    <w:rsid w:val="00F04AD3"/>
    <w:rsid w:val="00F0531C"/>
    <w:rsid w:val="00F06D78"/>
    <w:rsid w:val="00F11951"/>
    <w:rsid w:val="00F16583"/>
    <w:rsid w:val="00F16ED8"/>
    <w:rsid w:val="00F24536"/>
    <w:rsid w:val="00F2569D"/>
    <w:rsid w:val="00F26294"/>
    <w:rsid w:val="00F26386"/>
    <w:rsid w:val="00F3047D"/>
    <w:rsid w:val="00F306E5"/>
    <w:rsid w:val="00F37157"/>
    <w:rsid w:val="00F4209C"/>
    <w:rsid w:val="00F51727"/>
    <w:rsid w:val="00F5354C"/>
    <w:rsid w:val="00F54A96"/>
    <w:rsid w:val="00F55247"/>
    <w:rsid w:val="00F56D5E"/>
    <w:rsid w:val="00F57BE8"/>
    <w:rsid w:val="00F625F9"/>
    <w:rsid w:val="00F6393C"/>
    <w:rsid w:val="00F67C25"/>
    <w:rsid w:val="00F70D6C"/>
    <w:rsid w:val="00F74649"/>
    <w:rsid w:val="00F74B2E"/>
    <w:rsid w:val="00F77FC0"/>
    <w:rsid w:val="00F81AAD"/>
    <w:rsid w:val="00FA146E"/>
    <w:rsid w:val="00FA27D4"/>
    <w:rsid w:val="00FA4102"/>
    <w:rsid w:val="00FA4EE8"/>
    <w:rsid w:val="00FA6791"/>
    <w:rsid w:val="00FA6FCF"/>
    <w:rsid w:val="00FB2C0F"/>
    <w:rsid w:val="00FB4EB5"/>
    <w:rsid w:val="00FB5A96"/>
    <w:rsid w:val="00FB74B8"/>
    <w:rsid w:val="00FC00EF"/>
    <w:rsid w:val="00FC143D"/>
    <w:rsid w:val="00FC257E"/>
    <w:rsid w:val="00FC2D03"/>
    <w:rsid w:val="00FC6D89"/>
    <w:rsid w:val="00FC78C5"/>
    <w:rsid w:val="00FC7FD9"/>
    <w:rsid w:val="00FD3769"/>
    <w:rsid w:val="00FD5A70"/>
    <w:rsid w:val="00FE1A31"/>
    <w:rsid w:val="00FE2EC6"/>
    <w:rsid w:val="00FE59AE"/>
    <w:rsid w:val="00FE61BE"/>
    <w:rsid w:val="00FE632D"/>
    <w:rsid w:val="00FE6CAC"/>
    <w:rsid w:val="00FF080B"/>
    <w:rsid w:val="00FF20CB"/>
    <w:rsid w:val="00FF21AB"/>
    <w:rsid w:val="00FF314D"/>
    <w:rsid w:val="00FF341F"/>
    <w:rsid w:val="00FF5BE4"/>
    <w:rsid w:val="00FF5C4F"/>
    <w:rsid w:val="0ECE7BD9"/>
    <w:rsid w:val="11884506"/>
    <w:rsid w:val="19B4AC6D"/>
    <w:rsid w:val="19EF18B4"/>
    <w:rsid w:val="2D1C3C2D"/>
    <w:rsid w:val="550FC1B9"/>
    <w:rsid w:val="5790DFA6"/>
    <w:rsid w:val="6EC16B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A4800"/>
  <w15:chartTrackingRefBased/>
  <w15:docId w15:val="{A3A871F6-31EA-4728-A976-74267AE6B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A57"/>
    <w:pPr>
      <w:spacing w:line="259" w:lineRule="auto"/>
    </w:pPr>
    <w:rPr>
      <w:sz w:val="22"/>
      <w:szCs w:val="22"/>
    </w:rPr>
  </w:style>
  <w:style w:type="paragraph" w:styleId="Ttulo1">
    <w:name w:val="heading 1"/>
    <w:basedOn w:val="Normal"/>
    <w:next w:val="Normal"/>
    <w:link w:val="Ttulo1Car"/>
    <w:uiPriority w:val="9"/>
    <w:qFormat/>
    <w:rsid w:val="006E6A5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6A5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6A57"/>
    <w:pPr>
      <w:keepNext/>
      <w:keepLines/>
      <w:spacing w:before="160" w:after="80" w:line="278"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6A57"/>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Ttulo5">
    <w:name w:val="heading 5"/>
    <w:basedOn w:val="Normal"/>
    <w:next w:val="Normal"/>
    <w:link w:val="Ttulo5Car"/>
    <w:uiPriority w:val="9"/>
    <w:semiHidden/>
    <w:unhideWhenUsed/>
    <w:qFormat/>
    <w:rsid w:val="006E6A57"/>
    <w:pPr>
      <w:keepNext/>
      <w:keepLines/>
      <w:spacing w:before="80" w:after="40" w:line="278" w:lineRule="auto"/>
      <w:outlineLvl w:val="4"/>
    </w:pPr>
    <w:rPr>
      <w:rFonts w:eastAsiaTheme="majorEastAsia" w:cstheme="majorBidi"/>
      <w:color w:val="0F4761" w:themeColor="accent1" w:themeShade="BF"/>
      <w:sz w:val="24"/>
      <w:szCs w:val="24"/>
    </w:rPr>
  </w:style>
  <w:style w:type="paragraph" w:styleId="Ttulo6">
    <w:name w:val="heading 6"/>
    <w:basedOn w:val="Normal"/>
    <w:next w:val="Normal"/>
    <w:link w:val="Ttulo6Car"/>
    <w:uiPriority w:val="9"/>
    <w:semiHidden/>
    <w:unhideWhenUsed/>
    <w:qFormat/>
    <w:rsid w:val="006E6A57"/>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Ttulo7">
    <w:name w:val="heading 7"/>
    <w:basedOn w:val="Normal"/>
    <w:next w:val="Normal"/>
    <w:link w:val="Ttulo7Car"/>
    <w:uiPriority w:val="9"/>
    <w:semiHidden/>
    <w:unhideWhenUsed/>
    <w:qFormat/>
    <w:rsid w:val="006E6A57"/>
    <w:pPr>
      <w:keepNext/>
      <w:keepLines/>
      <w:spacing w:before="40" w:after="0" w:line="278" w:lineRule="auto"/>
      <w:outlineLvl w:val="6"/>
    </w:pPr>
    <w:rPr>
      <w:rFonts w:eastAsiaTheme="majorEastAsia"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6E6A57"/>
    <w:pPr>
      <w:keepNext/>
      <w:keepLines/>
      <w:spacing w:after="0" w:line="278" w:lineRule="auto"/>
      <w:outlineLvl w:val="7"/>
    </w:pPr>
    <w:rPr>
      <w:rFonts w:eastAsiaTheme="majorEastAsia" w:cstheme="majorBidi"/>
      <w:i/>
      <w:iCs/>
      <w:color w:val="272727" w:themeColor="text1" w:themeTint="D8"/>
      <w:sz w:val="24"/>
      <w:szCs w:val="24"/>
    </w:rPr>
  </w:style>
  <w:style w:type="paragraph" w:styleId="Ttulo9">
    <w:name w:val="heading 9"/>
    <w:basedOn w:val="Normal"/>
    <w:next w:val="Normal"/>
    <w:link w:val="Ttulo9Car"/>
    <w:uiPriority w:val="9"/>
    <w:semiHidden/>
    <w:unhideWhenUsed/>
    <w:qFormat/>
    <w:rsid w:val="006E6A57"/>
    <w:pPr>
      <w:keepNext/>
      <w:keepLines/>
      <w:spacing w:after="0" w:line="278" w:lineRule="auto"/>
      <w:outlineLvl w:val="8"/>
    </w:pPr>
    <w:rPr>
      <w:rFonts w:eastAsiaTheme="majorEastAsia" w:cstheme="majorBidi"/>
      <w:color w:val="272727" w:themeColor="text1" w:themeTint="D8"/>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6A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6A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6A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6A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6A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6A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6A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6A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6A57"/>
    <w:rPr>
      <w:rFonts w:eastAsiaTheme="majorEastAsia" w:cstheme="majorBidi"/>
      <w:color w:val="272727" w:themeColor="text1" w:themeTint="D8"/>
    </w:rPr>
  </w:style>
  <w:style w:type="paragraph" w:styleId="Ttulo">
    <w:name w:val="Title"/>
    <w:basedOn w:val="Normal"/>
    <w:next w:val="Normal"/>
    <w:link w:val="TtuloCar"/>
    <w:uiPriority w:val="10"/>
    <w:qFormat/>
    <w:rsid w:val="006E6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6A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6A57"/>
    <w:pPr>
      <w:numPr>
        <w:ilvl w:val="1"/>
      </w:numPr>
      <w:spacing w:line="278"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6A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6A57"/>
    <w:pPr>
      <w:spacing w:before="160" w:line="278" w:lineRule="auto"/>
      <w:jc w:val="center"/>
    </w:pPr>
    <w:rPr>
      <w:i/>
      <w:iCs/>
      <w:color w:val="404040" w:themeColor="text1" w:themeTint="BF"/>
      <w:sz w:val="24"/>
      <w:szCs w:val="24"/>
    </w:rPr>
  </w:style>
  <w:style w:type="character" w:customStyle="1" w:styleId="CitaCar">
    <w:name w:val="Cita Car"/>
    <w:basedOn w:val="Fuentedeprrafopredeter"/>
    <w:link w:val="Cita"/>
    <w:uiPriority w:val="29"/>
    <w:rsid w:val="006E6A57"/>
    <w:rPr>
      <w:i/>
      <w:iCs/>
      <w:color w:val="404040" w:themeColor="text1" w:themeTint="BF"/>
    </w:rPr>
  </w:style>
  <w:style w:type="paragraph" w:styleId="Prrafodelista">
    <w:name w:val="List Paragraph"/>
    <w:aliases w:val="titulo 3,Título sin Numeración,TIT 2 IND,Titulo parrafo,Dot pt,No Spacing1,List Paragraph Char Char Char,Indicator Text,Numbered Para 1,Colorful List - Accent 11,Bullet 1,F5 List Paragraph,Bullet Points,Normal. Viñetas,Párrafo de lista1"/>
    <w:basedOn w:val="Normal"/>
    <w:link w:val="PrrafodelistaCar"/>
    <w:uiPriority w:val="34"/>
    <w:qFormat/>
    <w:rsid w:val="006E6A57"/>
    <w:pPr>
      <w:spacing w:line="278" w:lineRule="auto"/>
      <w:ind w:left="720"/>
      <w:contextualSpacing/>
    </w:pPr>
    <w:rPr>
      <w:sz w:val="24"/>
      <w:szCs w:val="24"/>
    </w:rPr>
  </w:style>
  <w:style w:type="character" w:styleId="nfasisintenso">
    <w:name w:val="Intense Emphasis"/>
    <w:basedOn w:val="Fuentedeprrafopredeter"/>
    <w:uiPriority w:val="21"/>
    <w:qFormat/>
    <w:rsid w:val="006E6A57"/>
    <w:rPr>
      <w:i/>
      <w:iCs/>
      <w:color w:val="0F4761" w:themeColor="accent1" w:themeShade="BF"/>
    </w:rPr>
  </w:style>
  <w:style w:type="paragraph" w:styleId="Citadestacada">
    <w:name w:val="Intense Quote"/>
    <w:basedOn w:val="Normal"/>
    <w:next w:val="Normal"/>
    <w:link w:val="CitadestacadaCar"/>
    <w:uiPriority w:val="30"/>
    <w:qFormat/>
    <w:rsid w:val="006E6A5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CitadestacadaCar">
    <w:name w:val="Cita destacada Car"/>
    <w:basedOn w:val="Fuentedeprrafopredeter"/>
    <w:link w:val="Citadestacada"/>
    <w:uiPriority w:val="30"/>
    <w:rsid w:val="006E6A57"/>
    <w:rPr>
      <w:i/>
      <w:iCs/>
      <w:color w:val="0F4761" w:themeColor="accent1" w:themeShade="BF"/>
    </w:rPr>
  </w:style>
  <w:style w:type="character" w:styleId="Referenciaintensa">
    <w:name w:val="Intense Reference"/>
    <w:basedOn w:val="Fuentedeprrafopredeter"/>
    <w:uiPriority w:val="32"/>
    <w:qFormat/>
    <w:rsid w:val="006E6A57"/>
    <w:rPr>
      <w:b/>
      <w:bCs/>
      <w:smallCaps/>
      <w:color w:val="0F4761" w:themeColor="accent1" w:themeShade="BF"/>
      <w:spacing w:val="5"/>
    </w:rPr>
  </w:style>
  <w:style w:type="table" w:styleId="Tablaconcuadrcula">
    <w:name w:val="Table Grid"/>
    <w:basedOn w:val="Tablanormal"/>
    <w:uiPriority w:val="39"/>
    <w:rsid w:val="006E6A57"/>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E6A5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E6A57"/>
    <w:rPr>
      <w:sz w:val="22"/>
      <w:szCs w:val="22"/>
    </w:rPr>
  </w:style>
  <w:style w:type="paragraph" w:styleId="Piedepgina">
    <w:name w:val="footer"/>
    <w:basedOn w:val="Normal"/>
    <w:link w:val="PiedepginaCar"/>
    <w:uiPriority w:val="99"/>
    <w:unhideWhenUsed/>
    <w:rsid w:val="006E6A5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E6A57"/>
    <w:rPr>
      <w:sz w:val="22"/>
      <w:szCs w:val="22"/>
    </w:rPr>
  </w:style>
  <w:style w:type="character" w:styleId="Hipervnculo">
    <w:name w:val="Hyperlink"/>
    <w:basedOn w:val="Fuentedeprrafopredeter"/>
    <w:uiPriority w:val="99"/>
    <w:unhideWhenUsed/>
    <w:rsid w:val="00C30EDA"/>
    <w:rPr>
      <w:color w:val="467886" w:themeColor="hyperlink"/>
      <w:u w:val="single"/>
    </w:rPr>
  </w:style>
  <w:style w:type="paragraph" w:customStyle="1" w:styleId="Default">
    <w:name w:val="Default"/>
    <w:rsid w:val="00C30EDA"/>
    <w:pPr>
      <w:autoSpaceDE w:val="0"/>
      <w:autoSpaceDN w:val="0"/>
      <w:adjustRightInd w:val="0"/>
      <w:spacing w:after="0" w:line="240" w:lineRule="auto"/>
    </w:pPr>
    <w:rPr>
      <w:rFonts w:ascii="Lucida Bright" w:eastAsia="Calibri" w:hAnsi="Lucida Bright" w:cs="Lucida Bright"/>
      <w:color w:val="000000"/>
      <w:kern w:val="0"/>
      <w:lang w:eastAsia="es-CO"/>
      <w14:ligatures w14:val="none"/>
    </w:rPr>
  </w:style>
  <w:style w:type="character" w:styleId="nfasis">
    <w:name w:val="Emphasis"/>
    <w:basedOn w:val="Fuentedeprrafopredeter"/>
    <w:uiPriority w:val="20"/>
    <w:qFormat/>
    <w:rsid w:val="00291FEC"/>
    <w:rPr>
      <w:i/>
      <w:iCs/>
    </w:rPr>
  </w:style>
  <w:style w:type="paragraph" w:styleId="NormalWeb">
    <w:name w:val="Normal (Web)"/>
    <w:basedOn w:val="Normal"/>
    <w:uiPriority w:val="99"/>
    <w:unhideWhenUsed/>
    <w:rsid w:val="00291FEC"/>
    <w:pPr>
      <w:spacing w:before="100" w:beforeAutospacing="1" w:after="100" w:afterAutospacing="1" w:line="240" w:lineRule="auto"/>
    </w:pPr>
    <w:rPr>
      <w:rFonts w:ascii="Times New Roman" w:eastAsiaTheme="minorEastAsia" w:hAnsi="Times New Roman" w:cs="Times New Roman"/>
      <w:kern w:val="0"/>
      <w:sz w:val="24"/>
      <w:szCs w:val="24"/>
      <w:lang w:eastAsia="es-CO"/>
      <w14:ligatures w14:val="none"/>
    </w:rPr>
  </w:style>
  <w:style w:type="paragraph" w:styleId="Sinespaciado">
    <w:name w:val="No Spacing"/>
    <w:aliases w:val="Nota de pie de página,Tablas e ilustraciones"/>
    <w:link w:val="SinespaciadoCar"/>
    <w:uiPriority w:val="1"/>
    <w:qFormat/>
    <w:rsid w:val="00291FEC"/>
    <w:pPr>
      <w:spacing w:after="0" w:line="240" w:lineRule="auto"/>
    </w:pPr>
    <w:rPr>
      <w:rFonts w:ascii="PMingLiU" w:eastAsiaTheme="minorEastAsia" w:hAnsi="PMingLiU"/>
      <w:kern w:val="0"/>
      <w:sz w:val="22"/>
      <w:szCs w:val="22"/>
      <w:lang w:val="es-ES_tradnl" w:eastAsia="es-ES"/>
      <w14:ligatures w14:val="none"/>
    </w:rPr>
  </w:style>
  <w:style w:type="character" w:customStyle="1" w:styleId="SinespaciadoCar">
    <w:name w:val="Sin espaciado Car"/>
    <w:aliases w:val="Nota de pie de página Car,Tablas e ilustraciones Car"/>
    <w:basedOn w:val="Fuentedeprrafopredeter"/>
    <w:link w:val="Sinespaciado"/>
    <w:uiPriority w:val="1"/>
    <w:rsid w:val="00291FEC"/>
    <w:rPr>
      <w:rFonts w:ascii="PMingLiU" w:eastAsiaTheme="minorEastAsia" w:hAnsi="PMingLiU"/>
      <w:kern w:val="0"/>
      <w:sz w:val="22"/>
      <w:szCs w:val="22"/>
      <w:lang w:val="es-ES_tradnl" w:eastAsia="es-ES"/>
      <w14:ligatures w14:val="none"/>
    </w:rPr>
  </w:style>
  <w:style w:type="character" w:customStyle="1" w:styleId="PrrafodelistaCar">
    <w:name w:val="Párrafo de lista Car"/>
    <w:aliases w:val="titulo 3 Car,Título sin Numeración Car,TIT 2 IND Car,Titulo parrafo Car,Dot pt Car,No Spacing1 Car,List Paragraph Char Char Char Car,Indicator Text Car,Numbered Para 1 Car,Colorful List - Accent 11 Car,Bullet 1 Car,Bullet Points Car"/>
    <w:link w:val="Prrafodelista"/>
    <w:uiPriority w:val="34"/>
    <w:qFormat/>
    <w:locked/>
    <w:rsid w:val="00291FEC"/>
  </w:style>
  <w:style w:type="character" w:styleId="Mencinsinresolver">
    <w:name w:val="Unresolved Mention"/>
    <w:basedOn w:val="Fuentedeprrafopredeter"/>
    <w:uiPriority w:val="99"/>
    <w:semiHidden/>
    <w:unhideWhenUsed/>
    <w:rsid w:val="005E1B5B"/>
    <w:rPr>
      <w:color w:val="605E5C"/>
      <w:shd w:val="clear" w:color="auto" w:fill="E1DFDD"/>
    </w:rPr>
  </w:style>
  <w:style w:type="paragraph" w:styleId="Textonotapie">
    <w:name w:val="footnote text"/>
    <w:aliases w:val="Footnote Text Char,Footnote Text Char Char Char Char,Footnote Text Char Char Char Char Char Char Char Char,Footnote Text Char Char Char Char Char Char1,Footnote Text Char Char Char Char Char Char Char1,Footnote referenc,Footnote reference"/>
    <w:basedOn w:val="Normal"/>
    <w:link w:val="TextonotapieCar"/>
    <w:uiPriority w:val="99"/>
    <w:unhideWhenUsed/>
    <w:qFormat/>
    <w:rsid w:val="00586326"/>
    <w:pPr>
      <w:spacing w:after="0" w:line="240" w:lineRule="auto"/>
    </w:pPr>
    <w:rPr>
      <w:kern w:val="0"/>
      <w:sz w:val="20"/>
      <w:szCs w:val="20"/>
      <w14:ligatures w14:val="none"/>
    </w:rPr>
  </w:style>
  <w:style w:type="character" w:customStyle="1" w:styleId="TextonotapieCar">
    <w:name w:val="Texto nota pie Car"/>
    <w:aliases w:val="Footnote Text Char Car,Footnote Text Char Char Char Char Car,Footnote Text Char Char Char Char Char Char Char Char Car,Footnote Text Char Char Char Char Char Char1 Car,Footnote Text Char Char Char Char Char Char Char1 Car"/>
    <w:basedOn w:val="Fuentedeprrafopredeter"/>
    <w:link w:val="Textonotapie"/>
    <w:uiPriority w:val="99"/>
    <w:rsid w:val="00586326"/>
    <w:rPr>
      <w:kern w:val="0"/>
      <w:sz w:val="20"/>
      <w:szCs w:val="20"/>
      <w14:ligatures w14:val="none"/>
    </w:rPr>
  </w:style>
  <w:style w:type="character" w:styleId="Refdenotaalpie">
    <w:name w:val="footnote reference"/>
    <w:aliases w:val="Ref. de nota al pie 2,Texto de nota al pie,Appel note de bas de page,Footnotes refss,Footnote number,referencia nota al pie,BVI fnr,f,4_G,16 Point,Superscript 6 Point,Texto nota al pie,Pie de Página,FC,Texto de nota al pi,Pie de P_gi"/>
    <w:basedOn w:val="Fuentedeprrafopredeter"/>
    <w:link w:val="4GChar"/>
    <w:qFormat/>
    <w:rsid w:val="00586326"/>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586326"/>
    <w:pPr>
      <w:spacing w:after="0" w:line="240" w:lineRule="auto"/>
      <w:jc w:val="both"/>
    </w:pPr>
    <w:rPr>
      <w:sz w:val="24"/>
      <w:szCs w:val="24"/>
      <w:vertAlign w:val="superscript"/>
    </w:rPr>
  </w:style>
  <w:style w:type="paragraph" w:customStyle="1" w:styleId="paragraph">
    <w:name w:val="paragraph"/>
    <w:basedOn w:val="Normal"/>
    <w:rsid w:val="00BD23B7"/>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BD23B7"/>
  </w:style>
  <w:style w:type="character" w:customStyle="1" w:styleId="eop">
    <w:name w:val="eop"/>
    <w:basedOn w:val="Fuentedeprrafopredeter"/>
    <w:rsid w:val="00BD23B7"/>
  </w:style>
  <w:style w:type="character" w:customStyle="1" w:styleId="scxw137567636">
    <w:name w:val="scxw137567636"/>
    <w:basedOn w:val="Fuentedeprrafopredeter"/>
    <w:rsid w:val="00BD23B7"/>
  </w:style>
  <w:style w:type="character" w:styleId="Fuerte">
    <w:name w:val="Strong"/>
    <w:basedOn w:val="Fuentedeprrafopredeter"/>
    <w:uiPriority w:val="22"/>
    <w:qFormat/>
    <w:rsid w:val="002812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E80CD4E8BEA64DAA0BC119D168BE53" ma:contentTypeVersion="4" ma:contentTypeDescription="Crear nuevo documento." ma:contentTypeScope="" ma:versionID="6231bf37b34ce899933d326e9902575c">
  <xsd:schema xmlns:xsd="http://www.w3.org/2001/XMLSchema" xmlns:xs="http://www.w3.org/2001/XMLSchema" xmlns:p="http://schemas.microsoft.com/office/2006/metadata/properties" xmlns:ns2="12a53619-3bc0-412b-b090-bc6c4fb46350" targetNamespace="http://schemas.microsoft.com/office/2006/metadata/properties" ma:root="true" ma:fieldsID="47fe2f3bdb9815be6a06016c229986b2" ns2:_="">
    <xsd:import namespace="12a53619-3bc0-412b-b090-bc6c4fb463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a53619-3bc0-412b-b090-bc6c4fb46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69A2B6-5CAD-4D54-BB3B-57317053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a53619-3bc0-412b-b090-bc6c4fb46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43D428-9579-47D4-B951-9A3526883DC7}">
  <ds:schemaRefs>
    <ds:schemaRef ds:uri="http://schemas.microsoft.com/sharepoint/v3/contenttype/forms"/>
  </ds:schemaRefs>
</ds:datastoreItem>
</file>

<file path=customXml/itemProps3.xml><?xml version="1.0" encoding="utf-8"?>
<ds:datastoreItem xmlns:ds="http://schemas.openxmlformats.org/officeDocument/2006/customXml" ds:itemID="{CDDC8382-1F90-4D17-84C5-2ABBB315EB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6495</Words>
  <Characters>35724</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Baracaldo Godoy</dc:creator>
  <cp:keywords/>
  <dc:description/>
  <cp:lastModifiedBy>Luis Andres Olaya Olaya</cp:lastModifiedBy>
  <cp:revision>4</cp:revision>
  <dcterms:created xsi:type="dcterms:W3CDTF">2026-09-22T00:54:00Z</dcterms:created>
  <dcterms:modified xsi:type="dcterms:W3CDTF">2026-09-22T00:58:00Z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0x010100E6E80CD4E8BEA64DAA0BC119D168BE53</vt:lpwstr>
  </property>
</Properties>
</file>