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D858F" w14:textId="69312EC2" w:rsidR="00D1773A" w:rsidRDefault="00FC78C5" w:rsidP="0031763A">
      <w:pPr>
        <w:pStyle w:val="Sinespaciado"/>
        <w:jc w:val="both"/>
        <w:rPr>
          <w:rFonts w:ascii="Verdana" w:hAnsi="Verdana" w:cs="Arial"/>
          <w:lang w:val="es-CO"/>
        </w:rPr>
      </w:pPr>
      <w:r>
        <w:rPr>
          <w:rFonts w:ascii="Verdana" w:hAnsi="Verdana" w:cs="Verdana"/>
          <w:b/>
        </w:rPr>
        <w:t>RADICADO:</w:t>
      </w:r>
      <w:r>
        <w:rPr>
          <w:rFonts w:ascii="Verdana" w:hAnsi="Verdana" w:cs="Verdana"/>
        </w:rPr>
        <w:tab/>
        <w:tab/>
        <w:t>11001418904920260186400</w:t>
      </w:r>
    </w:p>
    <w:p w14:paraId="76294D3A" w14:textId="3E68F79B" w:rsidR="0031763A" w:rsidRPr="00EC6FCF" w:rsidRDefault="00FC78C5" w:rsidP="0031763A">
      <w:pPr>
        <w:pStyle w:val="Sinespaciado"/>
        <w:jc w:val="both"/>
        <w:rPr>
          <w:rFonts w:ascii="Verdana" w:hAnsi="Verdana" w:cs="Arial"/>
          <w:lang w:val="es-CO"/>
        </w:rPr>
      </w:pPr>
      <w:r>
        <w:rPr>
          <w:rFonts w:ascii="Verdana" w:hAnsi="Verdana" w:cs="Verdana"/>
          <w:b/>
        </w:rPr>
        <w:t xml:space="preserve">TIPO DE PROCESO: </w:t>
      </w:r>
      <w:r>
        <w:rPr>
          <w:rFonts w:ascii="Verdana" w:hAnsi="Verdana" w:cs="Verdana"/>
        </w:rPr>
        <w:tab/>
        <w:t xml:space="preserve">ACCIÓN DE TUTELA PRIMERA INSTANCIA </w:t>
      </w:r>
    </w:p>
    <w:p w14:paraId="29849F1C" w14:textId="345AF94D" w:rsidR="0031763A" w:rsidRPr="00274010" w:rsidRDefault="00FC78C5" w:rsidP="00445216">
      <w:pPr>
        <w:widowControl w:val="0"/>
        <w:autoSpaceDE w:val="0"/>
        <w:autoSpaceDN w:val="0"/>
        <w:adjustRightInd w:val="0"/>
        <w:spacing w:after="0" w:line="240" w:lineRule="auto"/>
        <w:ind w:left="3540" w:hanging="3540"/>
        <w:jc w:val="both"/>
        <w:rPr>
          <w:rFonts w:ascii="Verdana" w:eastAsiaTheme="minorEastAsia" w:hAnsi="Verdana" w:cs="Arial"/>
          <w:kern w:val="0"/>
          <w:highlight w:val="yellow"/>
          <w:lang w:eastAsia="es-ES"/>
          <w14:ligatures w14:val="none"/>
        </w:rPr>
      </w:pPr>
      <w:r>
        <w:rPr>
          <w:rFonts w:ascii="Verdana" w:hAnsi="Verdana" w:cs="Verdana"/>
          <w:b/>
        </w:rPr>
        <w:t>ACCIONANTE:</w:t>
      </w:r>
      <w:r>
        <w:rPr>
          <w:rFonts w:ascii="Verdana" w:hAnsi="Verdana" w:cs="Verdana"/>
        </w:rPr>
        <w:t xml:space="preserve">               DIANA PAOLA DÍAZ LEÓN</w:t>
      </w:r>
    </w:p>
    <w:p w14:paraId="35417A73" w14:textId="59F92B63" w:rsidR="000979B5"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kern w:val="0"/>
          <w:lang w:eastAsia="es-ES"/>
          <w14:ligatures w14:val="none"/>
        </w:rPr>
      </w:pPr>
      <w:r>
        <w:rPr>
          <w:rFonts w:ascii="Verdana" w:hAnsi="Verdana" w:cs="Verdana"/>
          <w:b/>
        </w:rPr>
        <w:t>ACCIONADO:</w:t>
      </w:r>
      <w:r>
        <w:rPr>
          <w:rFonts w:ascii="Verdana" w:hAnsi="Verdana" w:cs="Verdana"/>
        </w:rPr>
        <w:tab/>
        <w:t>UNIVERSIDAD ESCUELA COLOMBIANA DE INGENIERÍA JULIO GARAVITO</w:t>
      </w:r>
    </w:p>
    <w:p w14:paraId="19F809DF" w14:textId="42C30673" w:rsidR="0031763A" w:rsidRPr="00EC6FCF" w:rsidRDefault="00FC78C5" w:rsidP="0031763A">
      <w:pPr>
        <w:widowControl w:val="0"/>
        <w:autoSpaceDE w:val="0"/>
        <w:autoSpaceDN w:val="0"/>
        <w:adjustRightInd w:val="0"/>
        <w:spacing w:after="0" w:line="240" w:lineRule="auto"/>
        <w:ind w:left="2832" w:hanging="2832"/>
        <w:jc w:val="both"/>
        <w:rPr>
          <w:rFonts w:ascii="Verdana" w:eastAsiaTheme="minorEastAsia" w:hAnsi="Verdana" w:cs="Arial"/>
          <w:b/>
          <w:bCs/>
          <w:kern w:val="0"/>
          <w:lang w:eastAsia="es-ES"/>
          <w14:ligatures w14:val="none"/>
        </w:rPr>
      </w:pPr>
      <w:r>
        <w:rPr>
          <w:rFonts w:ascii="Verdana" w:hAnsi="Verdana" w:cs="Verdana"/>
          <w:b/>
        </w:rPr>
        <w:t>VINCULADOS:</w:t>
      </w:r>
      <w:r>
        <w:rPr>
          <w:rFonts w:ascii="Verdana" w:hAnsi="Verdana" w:cs="Verdana"/>
        </w:rPr>
        <w:tab/>
        <w:t xml:space="preserve">MINISTERIO DE EDUCACIÓN NACIONAL </w:t>
      </w:r>
    </w:p>
    <w:p w14:paraId="6F70F7E6" w14:textId="77777777" w:rsidR="00C84FDE" w:rsidRPr="00EC6FCF" w:rsidRDefault="00C84FDE" w:rsidP="00C84FDE">
      <w:pPr>
        <w:autoSpaceDE w:val="0"/>
        <w:autoSpaceDN w:val="0"/>
        <w:adjustRightInd w:val="0"/>
        <w:spacing w:after="0" w:line="240" w:lineRule="auto"/>
        <w:ind w:left="2832" w:hanging="2832"/>
        <w:jc w:val="both"/>
        <w:rPr>
          <w:rFonts w:ascii="Verdana" w:hAnsi="Verdana" w:cs="Arial"/>
          <w:b/>
          <w:bCs/>
          <w:color w:val="000000"/>
          <w:kern w:val="0"/>
          <w:lang w:val="es-ES_tradnl"/>
        </w:rPr>
      </w:pPr>
    </w:p>
    <w:p w14:paraId="06C0E8A1" w14:textId="77777777" w:rsidR="00A30EB6" w:rsidRPr="00EC6FCF" w:rsidRDefault="00A30EB6"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218B80AB" w14:textId="77777777" w:rsidR="00336A40" w:rsidRDefault="00336A40" w:rsidP="00C84FDE">
      <w:pPr>
        <w:autoSpaceDE w:val="0"/>
        <w:autoSpaceDN w:val="0"/>
        <w:adjustRightInd w:val="0"/>
        <w:spacing w:after="0" w:line="240" w:lineRule="auto"/>
        <w:ind w:left="2832" w:hanging="2832"/>
        <w:jc w:val="both"/>
        <w:rPr>
          <w:rFonts w:ascii="Verdana" w:hAnsi="Verdana" w:cs="Arial"/>
          <w:color w:val="000000"/>
          <w:kern w:val="0"/>
          <w:lang w:val="es-ES_tradnl"/>
        </w:rPr>
      </w:pPr>
    </w:p>
    <w:p w14:paraId="5BE31F0D" w14:textId="13DD0813" w:rsidR="00C84FDE" w:rsidRPr="00EC6FCF" w:rsidRDefault="00C84FDE" w:rsidP="00C84FDE">
      <w:pPr>
        <w:autoSpaceDE w:val="0"/>
        <w:autoSpaceDN w:val="0"/>
        <w:adjustRightInd w:val="0"/>
        <w:spacing w:after="0" w:line="240" w:lineRule="auto"/>
        <w:ind w:left="2832" w:hanging="2832"/>
        <w:jc w:val="both"/>
        <w:rPr>
          <w:rFonts w:ascii="Verdana" w:hAnsi="Verdana" w:cs="Arial"/>
          <w:color w:val="000000"/>
          <w:kern w:val="0"/>
          <w:lang w:val="es-ES_tradnl"/>
        </w:rPr>
      </w:pPr>
      <w:r w:rsidRPr="00EC6FCF">
        <w:rPr>
          <w:rFonts w:ascii="Verdana" w:hAnsi="Verdana" w:cs="Verdana"/>
          <w:color w:val="000000"/>
          <w:kern w:val="0"/>
          <w:lang w:val="es-ES_tradnl"/>
        </w:rPr>
        <w:t xml:space="preserve">Cordial saludo, </w:t>
      </w:r>
    </w:p>
    <w:p w14:paraId="27F0EB5E" w14:textId="77777777" w:rsidR="00EE57EF" w:rsidRPr="00EC6FCF" w:rsidRDefault="00EE57EF" w:rsidP="00C84FDE">
      <w:pPr>
        <w:autoSpaceDE w:val="0"/>
        <w:autoSpaceDN w:val="0"/>
        <w:adjustRightInd w:val="0"/>
        <w:spacing w:after="0" w:line="240" w:lineRule="auto"/>
        <w:jc w:val="both"/>
        <w:rPr>
          <w:rFonts w:ascii="Verdana" w:hAnsi="Verdana" w:cs="Arial"/>
        </w:rPr>
      </w:pPr>
    </w:p>
    <w:p w14:paraId="1617D7F4" w14:textId="77B598B4" w:rsidR="00C84FDE" w:rsidRPr="00EC6FCF" w:rsidRDefault="00C84FDE" w:rsidP="00C84FDE">
      <w:pPr>
        <w:autoSpaceDE w:val="0"/>
        <w:autoSpaceDN w:val="0"/>
        <w:adjustRightInd w:val="0"/>
        <w:spacing w:after="0" w:line="240" w:lineRule="auto"/>
        <w:jc w:val="both"/>
        <w:rPr>
          <w:rFonts w:ascii="Verdana" w:hAnsi="Verdana" w:cs="Arial"/>
          <w:color w:val="000000"/>
        </w:rPr>
      </w:pPr>
      <w:r>
        <w:rPr>
          <w:rFonts w:ascii="Verdana" w:hAnsi="Verdana" w:cs="Verdana"/>
        </w:rPr>
        <w:t>En atención al auto admisorio proferido el 24 de septiembre de 2026, proveniente de su Despacho y allegado al Ministerio de Educación mediante correo electrónico, DEICY TATIANA ROMERO GUIO, mayor de edad, identificada con la Cédula de Ciudadanía número 1.049.603.149 portadora de la tarjeta profesional No. 191.016 del Consejo Superior de la Judicatura, representante judicial de la Nación – Ministerio de Educación Nacional, en mi calidad de Jefe de la Oficina Asesora Jurídica, otorgada mediante de la Resolución No. 023816 de 01 de septiembre de 2026, y de la delegación efectuada por medio de la Resolución No. 20980 de 10 de diciembre de 2014, expedida por el Ministro de Educación Nacional, en virtud del artículo 159 de la Ley 1437 de 2011, dentro de la oportunidad legal me permito dar contestación en los términos que a continuación se siguen:</w:t>
      </w:r>
    </w:p>
    <w:p w14:paraId="2BC46410"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283F8B09" w14:textId="77777777" w:rsidR="00C84FDE" w:rsidRPr="00EC6FCF" w:rsidRDefault="00C84FDE" w:rsidP="00C84FDE">
      <w:pPr>
        <w:autoSpaceDE w:val="0"/>
        <w:autoSpaceDN w:val="0"/>
        <w:adjustRightInd w:val="0"/>
        <w:spacing w:line="240" w:lineRule="auto"/>
        <w:jc w:val="both"/>
        <w:rPr>
          <w:rFonts w:ascii="Verdana" w:hAnsi="Verdana" w:cs="Arial"/>
          <w:b/>
          <w:bCs/>
          <w:color w:val="000000"/>
        </w:rPr>
      </w:pPr>
      <w:r w:rsidRPr="00EC6FCF">
        <w:rPr>
          <w:rFonts w:ascii="Verdana" w:hAnsi="Verdana" w:cs="Verdana"/>
          <w:bCs/>
          <w:color w:val="000000"/>
        </w:rPr>
        <w:t>SOBRE EL CÓMPUTO DEL TÉRMINO JUDICIAL PARA CONTESTAR LA ACCIÓN DE TUTELA</w:t>
      </w:r>
    </w:p>
    <w:p w14:paraId="28C5AE37"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Verdana"/>
          <w:color w:val="000000"/>
        </w:rPr>
        <w:t>La Sentencia SU-487 de 2025 unificó la jurisprudencia en relación con la notificación del auto admisorio de la acción de tutela y el término para que los vinculados den respuesta. En dicha providencia, la Corte Constitucional estableció que cuando la notificación de auto admisorio se realiza por medios electrónicos, el término para contestar no empieza a contarse el mismo día en que se envía el correo, sino a partir del día hábil siguiente a la confirmación de recepción del mensaje o, en su defecto, dos (2) días hábiles después del envío del correo electrónico, en caso de no constar acuse de recibo. Así, cuando no hay constancia de acuse de recibo del correo electrónico, el plazo para dar respuesta a la tutela se entiende ampliado en dos (2) días hábiles, contados a partir del segundo día posterior al envío. Esto evita que el término procesal se compute de forma que genere indefensión o imposibilidad material de ejercicio del derecho de contradicción, especialmente tratándose de entidades públicas.</w:t>
      </w:r>
    </w:p>
    <w:p w14:paraId="42B93492" w14:textId="5EAD8310" w:rsidR="00C84FDE" w:rsidRPr="00EC6FCF" w:rsidRDefault="00C84FDE" w:rsidP="00C84FDE">
      <w:pPr>
        <w:autoSpaceDE w:val="0"/>
        <w:autoSpaceDN w:val="0"/>
        <w:adjustRightInd w:val="0"/>
        <w:spacing w:line="240" w:lineRule="auto"/>
        <w:jc w:val="both"/>
        <w:rPr>
          <w:rFonts w:ascii="Verdana" w:hAnsi="Verdana" w:cs="Arial"/>
          <w:color w:val="000000"/>
        </w:rPr>
      </w:pPr>
      <w:r>
        <w:rPr>
          <w:rFonts w:ascii="Verdana" w:hAnsi="Verdana" w:cs="Verdana"/>
        </w:rPr>
        <w:t>Ahora bien, para el presente caso, se debe tener en cuenta que el despacho judicial envió por correo electrónico la notificación electrónica el día 24 de septiembre de 2026, y que, teniendo en cuenta lo previsto en la Sentencia SU-487 de 2025, el Ministerio de Educación Nacional cuenta con dos (2) días adicionales para presentar la contestación de tutela. Esta previsión busca salvaguardar los derechos procesales y se alinea con lo dispuesto en el artículo 8 de la Ley 2213 de 2022, que regula las notificaciones personales realizadas por medios tecnológicos.</w:t>
      </w:r>
    </w:p>
    <w:p w14:paraId="56228E8B" w14:textId="77777777" w:rsidR="00C84FDE" w:rsidRPr="00EC6FCF" w:rsidRDefault="00C84FDE" w:rsidP="00C84FDE">
      <w:pPr>
        <w:autoSpaceDE w:val="0"/>
        <w:autoSpaceDN w:val="0"/>
        <w:adjustRightInd w:val="0"/>
        <w:spacing w:line="240" w:lineRule="auto"/>
        <w:jc w:val="both"/>
        <w:rPr>
          <w:rFonts w:ascii="Verdana" w:hAnsi="Verdana" w:cs="Arial"/>
          <w:color w:val="000000"/>
        </w:rPr>
      </w:pPr>
      <w:r w:rsidRPr="00EC6FCF">
        <w:rPr>
          <w:rFonts w:ascii="Verdana" w:hAnsi="Verdana" w:cs="Verdana"/>
          <w:color w:val="000000"/>
        </w:rPr>
        <w:t>Por lo tanto, esta Cartera Ministerial se encuentra dentro del término legal para emitir el correspondiente pronunciamiento en los siguientes términos:</w:t>
      </w:r>
    </w:p>
    <w:p w14:paraId="06C34B9B" w14:textId="77777777" w:rsidR="00C84FDE" w:rsidRPr="00EC6FCF" w:rsidRDefault="00C84FDE" w:rsidP="00C84FDE">
      <w:pPr>
        <w:autoSpaceDE w:val="0"/>
        <w:autoSpaceDN w:val="0"/>
        <w:adjustRightInd w:val="0"/>
        <w:spacing w:line="252" w:lineRule="auto"/>
        <w:jc w:val="both"/>
        <w:rPr>
          <w:rFonts w:ascii="Verdana" w:hAnsi="Verdana" w:cs="Arial"/>
          <w:color w:val="000000"/>
        </w:rPr>
      </w:pPr>
    </w:p>
    <w:p w14:paraId="0D383C5F" w14:textId="6DEC5AEB" w:rsidR="00C84FDE" w:rsidRPr="00EC6FCF" w:rsidRDefault="00D37BD7">
      <w:pPr>
        <w:numPr>
          <w:ilvl w:val="11"/>
          <w:numId w:val="2"/>
        </w:numPr>
        <w:autoSpaceDE w:val="0"/>
        <w:autoSpaceDN w:val="0"/>
        <w:adjustRightInd w:val="0"/>
        <w:spacing w:line="252" w:lineRule="auto"/>
        <w:jc w:val="both"/>
        <w:rPr>
          <w:rFonts w:ascii="Verdana" w:hAnsi="Verdana" w:cs="Arial"/>
          <w:b/>
          <w:bCs/>
          <w:color w:val="000000"/>
          <w:u w:val="single"/>
        </w:rPr>
      </w:pPr>
      <w:r w:rsidRPr="00EC6FCF">
        <w:rPr>
          <w:rFonts w:ascii="Verdana" w:hAnsi="Verdana" w:cs="Verdana"/>
          <w:bCs/>
          <w:color w:val="000000"/>
        </w:rPr>
        <w:t xml:space="preserve">      I.         ANTECEDENTES</w:t>
      </w:r>
    </w:p>
    <w:p w14:paraId="4170D1CB" w14:textId="650CFC03" w:rsidR="00C84FDE" w:rsidRPr="00EC6FCF" w:rsidRDefault="00C84FDE" w:rsidP="00C84FDE">
      <w:pPr>
        <w:autoSpaceDE w:val="0"/>
        <w:autoSpaceDN w:val="0"/>
        <w:adjustRightInd w:val="0"/>
        <w:spacing w:after="0" w:line="240" w:lineRule="auto"/>
        <w:jc w:val="both"/>
        <w:rPr>
          <w:rFonts w:ascii="Verdana" w:hAnsi="Verdana" w:cs="Arial"/>
          <w:kern w:val="0"/>
          <w:lang w:val="es-ES_tradnl"/>
        </w:rPr>
      </w:pPr>
      <w:r>
        <w:rPr>
          <w:rFonts w:ascii="Verdana" w:hAnsi="Verdana" w:cs="Verdana"/>
        </w:rPr>
        <w:t xml:space="preserve">El 24 de septiembre de 2026 fuimos notificados por parte del despacho judicial del auto que ordenó nuestra vinculación en la acción de tutela. </w:t>
      </w:r>
    </w:p>
    <w:p w14:paraId="202D24F3" w14:textId="77777777" w:rsidR="00C84FDE" w:rsidRPr="00EC6FCF" w:rsidRDefault="00C84FDE" w:rsidP="00C84FDE">
      <w:pPr>
        <w:autoSpaceDE w:val="0"/>
        <w:autoSpaceDN w:val="0"/>
        <w:adjustRightInd w:val="0"/>
        <w:spacing w:after="0" w:line="240" w:lineRule="auto"/>
        <w:jc w:val="both"/>
        <w:rPr>
          <w:rFonts w:ascii="Verdana" w:hAnsi="Verdana" w:cs="Arial"/>
          <w:b/>
          <w:bCs/>
          <w:color w:val="000000"/>
          <w:kern w:val="0"/>
          <w:lang w:val="es-ES_tradnl"/>
        </w:rPr>
      </w:pPr>
    </w:p>
    <w:p w14:paraId="7EEF4DB3" w14:textId="77777777" w:rsidR="00C84FDE" w:rsidRPr="00EC6FCF" w:rsidRDefault="00C84FDE" w:rsidP="00C84FDE">
      <w:pPr>
        <w:autoSpaceDE w:val="0"/>
        <w:autoSpaceDN w:val="0"/>
        <w:adjustRightInd w:val="0"/>
        <w:spacing w:line="252" w:lineRule="auto"/>
        <w:ind w:left="1080" w:hanging="720"/>
        <w:jc w:val="both"/>
        <w:rPr>
          <w:rFonts w:ascii="Verdana" w:hAnsi="Verdana" w:cs="Arial"/>
          <w:b/>
          <w:bCs/>
          <w:color w:val="000000"/>
          <w:lang w:val="es-ES"/>
        </w:rPr>
      </w:pPr>
      <w:r w:rsidRPr="00EC6FCF">
        <w:rPr>
          <w:rFonts w:ascii="Verdana" w:hAnsi="Verdana" w:cs="Verdana"/>
          <w:bCs/>
          <w:color w:val="000000"/>
          <w:lang w:val="es-ES"/>
        </w:rPr>
        <w:t>II.</w:t>
      </w:r>
      <w:r w:rsidRPr="00EC6FCF">
        <w:rPr>
          <w:rFonts w:ascii="Verdana" w:hAnsi="Verdana" w:cs="Verdana"/>
          <w:bCs/>
          <w:color w:val="000000"/>
          <w:lang w:val="es-ES"/>
        </w:rPr>
        <w:tab/>
        <w:t>PRETENSIÓN DE LA ACCIONANTE</w:t>
      </w:r>
    </w:p>
    <w:p w14:paraId="3D84BA8C" w14:textId="77777777" w:rsidR="00C84FDE" w:rsidRPr="00EC6FCF" w:rsidRDefault="00C84FDE" w:rsidP="00C84FDE">
      <w:pPr>
        <w:autoSpaceDE w:val="0"/>
        <w:autoSpaceDN w:val="0"/>
        <w:adjustRightInd w:val="0"/>
        <w:spacing w:line="252" w:lineRule="auto"/>
        <w:jc w:val="both"/>
        <w:rPr>
          <w:rFonts w:ascii="Verdana" w:hAnsi="Verdana" w:cs="Arial"/>
          <w:i/>
          <w:iCs/>
          <w:color w:val="000000"/>
        </w:rPr>
      </w:pPr>
      <w:r w:rsidRPr="00EC6FCF">
        <w:rPr>
          <w:rFonts w:ascii="Verdana" w:hAnsi="Verdana" w:cs="Verdana"/>
          <w:color w:val="000000"/>
          <w:lang w:val="es-ES"/>
        </w:rPr>
        <w:t>La</w:t>
      </w:r>
      <w:r w:rsidRPr="00EC6FCF">
        <w:rPr>
          <w:rFonts w:ascii="Verdana" w:hAnsi="Verdana" w:cs="Verdana"/>
          <w:color w:val="000000"/>
        </w:rPr>
        <w:t xml:space="preserve"> accionante solicitó que se le garantice la protección de sus derechos fundamentales, por lo que pretendió:</w:t>
      </w:r>
      <w:r w:rsidRPr="00EC6FCF">
        <w:rPr>
          <w:rFonts w:ascii="Verdana" w:hAnsi="Verdana" w:cs="Verdana"/>
          <w:i/>
          <w:iCs/>
          <w:color w:val="000000"/>
        </w:rPr>
        <w:t xml:space="preserve"> </w:t>
      </w:r>
    </w:p>
    <w:p w14:paraId="611742FF" w14:textId="77777777" w:rsidR="00274010" w:rsidRPr="00E23F03" w:rsidRDefault="00A3406D" w:rsidP="00274010">
      <w:pPr>
        <w:autoSpaceDE w:val="0"/>
        <w:autoSpaceDN w:val="0"/>
        <w:adjustRightInd w:val="0"/>
        <w:spacing w:after="0" w:line="252" w:lineRule="auto"/>
        <w:ind w:left="708"/>
        <w:jc w:val="both"/>
        <w:rPr>
          <w:i/>
          <w:iCs/>
          <w:highlight w:val="yellow"/>
        </w:rPr>
      </w:pPr>
      <w:r>
        <w:rPr>
          <w:rFonts w:ascii="Verdana" w:hAnsi="Verdana" w:cs="Verdana"/>
        </w:rPr>
        <w:t>“PRIMERA. TUTELAR mis derechos fundamentales al debido proceso, a la defensa, a la presunción de inocencia y a la educación, vulnerados por la Universidad Escuela Colombiana de Ingeniería Julio Garavito</w:t>
      </w:r>
    </w:p>
    <w:p w14:paraId="3B35E060" w14:textId="77777777" w:rsidR="00274010" w:rsidRPr="00E23F03" w:rsidRDefault="00274010" w:rsidP="00274010">
      <w:pPr>
        <w:autoSpaceDE w:val="0"/>
        <w:autoSpaceDN w:val="0"/>
        <w:adjustRightInd w:val="0"/>
        <w:spacing w:after="0" w:line="252" w:lineRule="auto"/>
        <w:ind w:left="708"/>
        <w:jc w:val="both"/>
        <w:rPr>
          <w:i/>
          <w:iCs/>
          <w:highlight w:val="yellow"/>
        </w:rPr>
      </w:pPr>
      <w:r>
        <w:rPr>
          <w:rFonts w:ascii="Verdana" w:hAnsi="Verdana" w:cs="Verdana"/>
        </w:rPr>
        <w:t>SEGUNDA. DEJAR SIN EFECTO la decisión disciplinaria del 22 de septiembre de 2026, adoptada en la reunión ordinaria No. 523 del 1 de septiembre de 2026, así como la decisión del 6 de agosto de 2026 de la cual aquella constituye reproducción literal, ambas proferidas dentro del proceso disciplinario No. 03- 2025-2</w:t>
      </w:r>
    </w:p>
    <w:p w14:paraId="5F912D75" w14:textId="77777777" w:rsidR="00274010" w:rsidRPr="00E23F03" w:rsidRDefault="00274010" w:rsidP="00274010">
      <w:pPr>
        <w:autoSpaceDE w:val="0"/>
        <w:autoSpaceDN w:val="0"/>
        <w:adjustRightInd w:val="0"/>
        <w:spacing w:after="0" w:line="252" w:lineRule="auto"/>
        <w:ind w:left="708"/>
        <w:jc w:val="both"/>
        <w:rPr>
          <w:i/>
          <w:iCs/>
          <w:highlight w:val="yellow"/>
        </w:rPr>
      </w:pPr>
      <w:r>
        <w:rPr>
          <w:rFonts w:ascii="Verdana" w:hAnsi="Verdana" w:cs="Verdana"/>
        </w:rPr>
        <w:t>TERCERA. DECLARAR que la Universidad no resolvió el recurso de reposición interpuesto por la accionante y que, en consecuencia, vulneró su derecho fundamental a la defensa en su dimensión de derecho a impugnar y a obtener una decisión de fondo sobre la impugnación</w:t>
      </w:r>
    </w:p>
    <w:p w14:paraId="43B3BBD2" w14:textId="77777777" w:rsidR="00274010" w:rsidRPr="00E23F03" w:rsidRDefault="00274010" w:rsidP="00274010">
      <w:pPr>
        <w:autoSpaceDE w:val="0"/>
        <w:autoSpaceDN w:val="0"/>
        <w:adjustRightInd w:val="0"/>
        <w:spacing w:after="0" w:line="252" w:lineRule="auto"/>
        <w:ind w:left="708"/>
        <w:jc w:val="both"/>
        <w:rPr>
          <w:i/>
          <w:iCs/>
          <w:highlight w:val="yellow"/>
        </w:rPr>
      </w:pPr>
      <w:r>
        <w:rPr>
          <w:rFonts w:ascii="Verdana" w:hAnsi="Verdana" w:cs="Verdana"/>
        </w:rPr>
        <w:t>CUARTA. ORDENAR a la Universidad que restablezca de manera inmediata mi calidad de estudiante del programa de Ingeniería Industrial, con el reconocimiento pleno de la totalidad de los créditos académicos aprobados</w:t>
      </w:r>
    </w:p>
    <w:p w14:paraId="6AC114F6" w14:textId="77777777" w:rsidR="00274010" w:rsidRPr="00E23F03" w:rsidRDefault="00274010" w:rsidP="00274010">
      <w:pPr>
        <w:autoSpaceDE w:val="0"/>
        <w:autoSpaceDN w:val="0"/>
        <w:adjustRightInd w:val="0"/>
        <w:spacing w:after="0" w:line="252" w:lineRule="auto"/>
        <w:ind w:left="708"/>
        <w:jc w:val="both"/>
        <w:rPr>
          <w:i/>
          <w:iCs/>
          <w:highlight w:val="yellow"/>
        </w:rPr>
      </w:pPr>
      <w:r>
        <w:rPr>
          <w:rFonts w:ascii="Verdana" w:hAnsi="Verdana" w:cs="Verdana"/>
        </w:rPr>
        <w:t>QUINTA. DECLARAR AGOTADA la potestad sancionatoria de la Universidad dentro del proceso disciplinario No. 03-2025-2 y, en consecuencia, ORDENAR su archivo definitivo. Lo anterior por cuanto la accionada ha contado ya con dos oportunidades sucesivas y plenas para adoptar una decisión con observancia de las garantías constitucionales —la primera en el proceso original y la segunda en cumplimiento de la sentencia del 22 de julio de 2026— y en ambas reprodujo los mismos vicios, hasta el punto de responder un recurso reimprimiendo literalmente la decisión impugnada. Conceder una tercera oportunidad no protegería mis derechos: prolongaría indefinidamente su vulneración</w:t>
      </w:r>
    </w:p>
    <w:p w14:paraId="6E7A845A" w14:textId="2B931969" w:rsidR="006406C5" w:rsidRPr="00274010" w:rsidRDefault="00274010" w:rsidP="00E23F03">
      <w:pPr>
        <w:autoSpaceDE w:val="0"/>
        <w:autoSpaceDN w:val="0"/>
        <w:adjustRightInd w:val="0"/>
        <w:spacing w:after="0" w:line="252" w:lineRule="auto"/>
        <w:ind w:left="708"/>
        <w:jc w:val="both"/>
        <w:rPr>
          <w:rFonts w:ascii="Verdana" w:hAnsi="Verdana" w:cs="Arial"/>
          <w:i/>
          <w:iCs/>
          <w:color w:val="000000"/>
          <w:sz w:val="20"/>
          <w:szCs w:val="20"/>
        </w:rPr>
      </w:pPr>
      <w:r>
        <w:rPr>
          <w:rFonts w:ascii="Verdana" w:hAnsi="Verdana" w:cs="Verdana"/>
        </w:rPr>
        <w:t>SEXTA. SUBSIDIARIA DE LA QUINTA. En caso de que el Despacho estime que debe preservarse la potestad sancionatoria de la accionada, solicito que cualquier nueva actuación se someta, siempre con la venia del juez, a los siguientes límites, y que así se ordene de manera expresa: • Que la decisión se adopte exclusivamente con el material probatorio que ya obra en el expediente, sin que se admita la incorporación de pruebas, documentos o fundamentos normativos que la accionada pudo y debió aportar en las dos oportunidades anteriores y no aportó, incluido el reglamento interno de trabajo de CEMEX Colombia S.A. • Que no se formulen cargos nuevos ni se incorporen disposiciones normativas distintas de las efectivamente imputadas en la formulación de cargos original. • Que, previamente a la decisión, se me notifiquen íntegramente las comunicaciones VAC-C051-2026 y REC-128-2026 y cualquier actuación intermedia equivalente, con oportunidad real de controvertirlas. • Que la decisión pondere expresamente mis circunstancias particulares y los atenuantes acreditados, y motive de manera reforzada por qué cada una de las medidas menos gravosas del artículo 97 resulta insuficiente. • Que se fije un término perentorio para ello y que la decisión sea adoptada con la participación de los órganos competentes conforme al Reglamento</w:t>
      </w:r>
    </w:p>
    <w:p w14:paraId="357AAF96" w14:textId="77777777" w:rsidR="00954A02" w:rsidRPr="00EC6FCF" w:rsidRDefault="00954A02" w:rsidP="00954A02">
      <w:pPr>
        <w:autoSpaceDE w:val="0"/>
        <w:autoSpaceDN w:val="0"/>
        <w:adjustRightInd w:val="0"/>
        <w:spacing w:after="0" w:line="252" w:lineRule="auto"/>
        <w:jc w:val="both"/>
        <w:rPr>
          <w:rFonts w:ascii="Verdana" w:hAnsi="Verdana" w:cs="Arial"/>
          <w:b/>
          <w:bCs/>
          <w:i/>
          <w:iCs/>
          <w:color w:val="000000"/>
          <w:sz w:val="20"/>
          <w:szCs w:val="20"/>
        </w:rPr>
      </w:pPr>
    </w:p>
    <w:p w14:paraId="749A3326" w14:textId="5ED59A87" w:rsidR="00954A02" w:rsidRDefault="003A4C15" w:rsidP="00954A02">
      <w:pPr>
        <w:numPr>
          <w:ilvl w:val="0"/>
          <w:numId w:val="10"/>
        </w:numPr>
        <w:autoSpaceDE w:val="0"/>
        <w:autoSpaceDN w:val="0"/>
        <w:adjustRightInd w:val="0"/>
        <w:spacing w:after="0" w:line="252" w:lineRule="auto"/>
        <w:jc w:val="both"/>
        <w:rPr>
          <w:rFonts w:ascii="Verdana" w:hAnsi="Verdana" w:cs="Arial"/>
          <w:b/>
          <w:bCs/>
          <w:color w:val="000000"/>
          <w:sz w:val="20"/>
          <w:szCs w:val="20"/>
        </w:rPr>
      </w:pPr>
      <w:r>
        <w:rPr>
          <w:rFonts w:ascii="Verdana" w:hAnsi="Verdana" w:cs="Verdana"/>
          <w:bCs/>
          <w:color w:val="000000"/>
          <w:sz w:val="20"/>
          <w:szCs w:val="20"/>
        </w:rPr>
        <w:t>DE LOS DERECHOS DE PETICIÓN RADICADOS ANTE EL MINISTERIO DE EDUCACIÓN NACIONAL</w:t>
      </w:r>
    </w:p>
    <w:p w14:paraId="70479E9A" w14:textId="77777777" w:rsidR="003A4C15" w:rsidRDefault="003A4C15" w:rsidP="003A4C15">
      <w:pPr>
        <w:autoSpaceDE w:val="0"/>
        <w:autoSpaceDN w:val="0"/>
        <w:adjustRightInd w:val="0"/>
        <w:spacing w:after="0" w:line="252" w:lineRule="auto"/>
        <w:jc w:val="both"/>
        <w:rPr>
          <w:rFonts w:ascii="Verdana" w:hAnsi="Verdana" w:cs="Arial"/>
          <w:b/>
          <w:bCs/>
          <w:color w:val="000000"/>
          <w:sz w:val="20"/>
          <w:szCs w:val="20"/>
        </w:rPr>
      </w:pPr>
    </w:p>
    <w:p w14:paraId="5AA91F3B"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En nuestro sistema de gestión documental se realizó una búsqueda, con la intensión de conocer si el accionante o su apoderada había radicado solicitud alguna ante nuestra entidad, a lo que arrojo la búsqueda negativa, por ello podemos comenzar afirmando que en ningún momento hemos violado el Derecho de Petición del accionante. Manifestamos al Despacho la imposibilidad de responder una petición la cual no ha sido radicada en nuestros canales oficiales, los cuales son virtuales y presenciales. </w:t>
      </w:r>
    </w:p>
    <w:p w14:paraId="251FFFF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57AB5EED" w14:textId="6C23F1EC"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xml:space="preserve">Los virtuales pueden ser radicados en nuestra web (atencionalciudadano@mineducacion.gov.co), la cual de manera instantánea emitirá un radicado interno iniciado con el No. </w:t>
      </w:r>
      <w:r w:rsidRPr="00E56F6F">
        <w:rPr>
          <w:rFonts w:ascii="Verdana" w:hAnsi="Verdana" w:cs="Verdana"/>
          <w:color w:val="000000"/>
          <w:sz w:val="20"/>
          <w:szCs w:val="20"/>
        </w:rPr>
        <w:t>2026-ER-….,</w:t>
      </w:r>
      <w:r w:rsidRPr="00EC6FCF">
        <w:rPr>
          <w:rFonts w:ascii="Verdana" w:hAnsi="Verdana" w:cs="Verdana"/>
          <w:color w:val="000000"/>
          <w:sz w:val="20"/>
          <w:szCs w:val="20"/>
        </w:rPr>
        <w:t>  </w:t>
      </w:r>
    </w:p>
    <w:p w14:paraId="64658CC7"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26D6909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De manera física y/o presencial, en la dirección: Calle 43 No. 57 - 14. CAN. Bogotá.  </w:t>
      </w:r>
    </w:p>
    <w:p w14:paraId="1076236A" w14:textId="77777777" w:rsidR="00954A02" w:rsidRPr="00EC6FCF" w:rsidRDefault="00954A02" w:rsidP="00954A02">
      <w:pPr>
        <w:autoSpaceDE w:val="0"/>
        <w:autoSpaceDN w:val="0"/>
        <w:adjustRightInd w:val="0"/>
        <w:spacing w:after="0" w:line="252" w:lineRule="auto"/>
        <w:jc w:val="both"/>
        <w:rPr>
          <w:rFonts w:ascii="Verdana" w:hAnsi="Verdana" w:cs="Arial"/>
          <w:color w:val="000000"/>
          <w:sz w:val="20"/>
          <w:szCs w:val="20"/>
        </w:rPr>
      </w:pPr>
      <w:r w:rsidRPr="00EC6FCF">
        <w:rPr>
          <w:rFonts w:ascii="Verdana" w:hAnsi="Verdana" w:cs="Verdana"/>
          <w:color w:val="000000"/>
          <w:sz w:val="20"/>
          <w:szCs w:val="20"/>
        </w:rPr>
        <w:t> </w:t>
      </w:r>
    </w:p>
    <w:p w14:paraId="1F394737" w14:textId="063246E0" w:rsidR="00954A02" w:rsidRPr="00EC6FCF" w:rsidRDefault="00954A02" w:rsidP="00B10186">
      <w:pPr>
        <w:widowControl w:val="0"/>
        <w:autoSpaceDE w:val="0"/>
        <w:autoSpaceDN w:val="0"/>
        <w:adjustRightInd w:val="0"/>
        <w:spacing w:after="0" w:line="240" w:lineRule="auto"/>
        <w:jc w:val="both"/>
        <w:rPr>
          <w:rFonts w:ascii="Verdana" w:hAnsi="Verdana" w:cs="Arial"/>
          <w:color w:val="000000"/>
          <w:sz w:val="20"/>
          <w:szCs w:val="20"/>
        </w:rPr>
      </w:pPr>
      <w:r w:rsidRPr="00EC6FCF">
        <w:rPr>
          <w:rFonts w:ascii="Verdana" w:hAnsi="Verdana" w:cs="Verdana"/>
          <w:color w:val="000000"/>
          <w:sz w:val="20"/>
          <w:szCs w:val="20"/>
        </w:rPr>
        <w:t xml:space="preserve">Como se logra evidenciar en el escrito de tutela y sus anexos, la petición que nos ordenan responder no ha sido radicada en nuestra Entidad, por el contrario, manifiesta el accionante haberlo radicado ante </w:t>
      </w:r>
      <w:r w:rsidR="00836853" w:rsidRPr="00EC6FCF">
        <w:rPr>
          <w:rFonts w:ascii="Verdana" w:hAnsi="Verdana" w:cs="Verdana"/>
          <w:color w:val="000000"/>
          <w:sz w:val="20"/>
          <w:szCs w:val="20"/>
        </w:rPr>
        <w:t>la</w:t>
      </w:r>
      <w:r w:rsidR="003246F0" w:rsidRPr="003246F0">
        <w:rPr>
          <w:rFonts w:ascii="Verdana" w:eastAsiaTheme="minorEastAsia" w:hAnsi="Verdana" w:cs="Verdana"/>
          <w:kern w:val="0"/>
          <w:lang w:eastAsia="es-ES"/>
          <w14:ligatures w14:val="none"/>
        </w:rPr>
        <w:t xml:space="preserve"> </w:t>
      </w:r>
      <w:r w:rsidR="008C2426" w:rsidRPr="004052F6">
        <w:rPr>
          <w:rFonts w:ascii="Verdana" w:eastAsiaTheme="minorEastAsia" w:hAnsi="Verdana" w:cs="Verdana"/>
          <w:kern w:val="0"/>
          <w:highlight w:val="yellow"/>
          <w:lang w:eastAsia="es-ES"/>
          <w14:ligatures w14:val="none"/>
        </w:rPr>
        <w:t>FUNDACIÓN DE EDUCACIÓN SUPERIOR SAN JOSÉ</w:t>
      </w:r>
      <w:r w:rsidRPr="00EC6FCF">
        <w:rPr>
          <w:rFonts w:ascii="Verdana" w:hAnsi="Verdana" w:cs="Verdana"/>
          <w:color w:val="000000"/>
          <w:sz w:val="20"/>
          <w:szCs w:val="20"/>
        </w:rPr>
        <w:t>, entidad diferente a esta Cartera Ministerial. </w:t>
      </w:r>
    </w:p>
    <w:p w14:paraId="22CFDA86" w14:textId="6D347252" w:rsidR="00020FE8" w:rsidRPr="00EC6FCF" w:rsidRDefault="00020FE8" w:rsidP="00954A02">
      <w:pPr>
        <w:autoSpaceDE w:val="0"/>
        <w:autoSpaceDN w:val="0"/>
        <w:adjustRightInd w:val="0"/>
        <w:spacing w:after="0" w:line="252" w:lineRule="auto"/>
        <w:jc w:val="both"/>
        <w:rPr>
          <w:rFonts w:ascii="Verdana" w:hAnsi="Verdana" w:cs="Arial"/>
          <w:i/>
          <w:iCs/>
          <w:color w:val="000000"/>
          <w:sz w:val="20"/>
          <w:szCs w:val="20"/>
        </w:rPr>
      </w:pPr>
    </w:p>
    <w:p w14:paraId="6280E4DD" w14:textId="77777777" w:rsidR="00A26EF0" w:rsidRPr="00EC6FCF" w:rsidRDefault="00A26EF0" w:rsidP="00A26EF0">
      <w:pPr>
        <w:autoSpaceDE w:val="0"/>
        <w:autoSpaceDN w:val="0"/>
        <w:adjustRightInd w:val="0"/>
        <w:spacing w:after="0" w:line="252" w:lineRule="auto"/>
        <w:ind w:left="708"/>
        <w:jc w:val="both"/>
        <w:rPr>
          <w:rFonts w:ascii="Verdana" w:hAnsi="Verdana" w:cs="Arial"/>
          <w:i/>
          <w:iCs/>
          <w:color w:val="000000"/>
          <w:sz w:val="20"/>
          <w:szCs w:val="20"/>
        </w:rPr>
      </w:pPr>
    </w:p>
    <w:p w14:paraId="23CA99B3" w14:textId="7F63773F" w:rsidR="0064575A" w:rsidRDefault="00C84FDE" w:rsidP="00954A02">
      <w:pPr>
        <w:autoSpaceDE w:val="0"/>
        <w:autoSpaceDN w:val="0"/>
        <w:adjustRightInd w:val="0"/>
        <w:spacing w:line="252" w:lineRule="auto"/>
        <w:ind w:left="708"/>
        <w:jc w:val="both"/>
        <w:rPr>
          <w:rFonts w:ascii="Verdana" w:hAnsi="Verdana" w:cs="Arial"/>
          <w:b/>
          <w:bCs/>
          <w:kern w:val="0"/>
        </w:rPr>
      </w:pPr>
      <w:r w:rsidRPr="007E73B0">
        <w:rPr>
          <w:rFonts w:ascii="Verdana" w:hAnsi="Verdana" w:cs="Verdana"/>
          <w:bCs/>
        </w:rPr>
        <w:t>III.</w:t>
      </w:r>
      <w:r w:rsidRPr="007E73B0">
        <w:rPr>
          <w:rFonts w:ascii="Verdana" w:hAnsi="Verdana" w:cs="Verdana"/>
          <w:bCs/>
        </w:rPr>
        <w:tab/>
      </w:r>
      <w:r w:rsidR="00AE5D88" w:rsidRPr="007E73B0">
        <w:rPr>
          <w:rFonts w:ascii="Verdana" w:hAnsi="Verdana" w:cs="Verdana"/>
          <w:bCs/>
          <w:kern w:val="0"/>
        </w:rPr>
        <w:t>SOBRE LOS HECHOS</w:t>
      </w:r>
    </w:p>
    <w:p w14:paraId="656CAF49" w14:textId="2F51C540" w:rsidR="00974A04" w:rsidRPr="007E73B0" w:rsidRDefault="00B10186" w:rsidP="00974A04">
      <w:pPr>
        <w:autoSpaceDE w:val="0"/>
        <w:autoSpaceDN w:val="0"/>
        <w:adjustRightInd w:val="0"/>
        <w:spacing w:line="252" w:lineRule="auto"/>
        <w:jc w:val="both"/>
        <w:rPr>
          <w:rFonts w:ascii="Verdana" w:hAnsi="Verdana" w:cs="Arial"/>
          <w:kern w:val="0"/>
        </w:rPr>
      </w:pPr>
      <w:r>
        <w:rPr>
          <w:rFonts w:ascii="Verdana" w:hAnsi="Verdana" w:cs="Verdana"/>
          <w:kern w:val="0"/>
        </w:rPr>
        <w:t>E</w:t>
      </w:r>
      <w:r w:rsidR="00974A04" w:rsidRPr="007E73B0">
        <w:rPr>
          <w:rFonts w:ascii="Verdana" w:hAnsi="Verdana" w:cs="Verdana"/>
          <w:kern w:val="0"/>
        </w:rPr>
        <w:t>l Ministerio de Educación es ajeno a los hechos que suscitan la presente acción de tutela, pues lo relatado en ella recae sobre el ámbito de competencia de la institución de educación superior-en adelante IES-, en virtud del principio de autonomía universitaria. </w:t>
      </w:r>
    </w:p>
    <w:p w14:paraId="59CFE707" w14:textId="4BC2F50C" w:rsidR="00AE5D88" w:rsidRPr="007E73B0" w:rsidRDefault="00974A04" w:rsidP="00974A04">
      <w:pPr>
        <w:autoSpaceDE w:val="0"/>
        <w:autoSpaceDN w:val="0"/>
        <w:adjustRightInd w:val="0"/>
        <w:spacing w:line="252" w:lineRule="auto"/>
        <w:jc w:val="both"/>
        <w:rPr>
          <w:rFonts w:ascii="Verdana" w:eastAsia="Arial" w:hAnsi="Verdana" w:cs="Arial"/>
        </w:rPr>
      </w:pPr>
      <w:r w:rsidRPr="007E73B0">
        <w:rPr>
          <w:rFonts w:ascii="Verdana" w:eastAsia="Arial" w:hAnsi="Verdana" w:cs="Verdana"/>
        </w:rPr>
        <w:t>Al respecto</w:t>
      </w:r>
      <w:r w:rsidR="00AE5D88" w:rsidRPr="007E73B0">
        <w:rPr>
          <w:rFonts w:ascii="Verdana" w:eastAsia="Arial" w:hAnsi="Verdana" w:cs="Verdana"/>
        </w:rPr>
        <w:t>, se solicita la declaración de falta de legitimación por pasiva en razón a lo siguiente:</w:t>
      </w:r>
    </w:p>
    <w:p w14:paraId="17DEDDAC"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Verdana"/>
          <w:sz w:val="22"/>
          <w:szCs w:val="22"/>
        </w:rPr>
        <w:t xml:space="preserve">Este Ministerio no ha incurrido en violación alguna de los derechos fundamentales invocados por la accionante toda vez que no es función de esta cartera la expedición de documentos relacionados la historial </w:t>
      </w:r>
      <w:r w:rsidRPr="007E73B0">
        <w:rPr>
          <w:rFonts w:ascii="Verdana" w:eastAsia="Arial" w:hAnsi="Verdana" w:cs="Verdana"/>
          <w:sz w:val="22"/>
          <w:szCs w:val="22"/>
        </w:rPr>
        <w:lastRenderedPageBreak/>
        <w:t>académico, gestiones para adelantar procesos de grado, homologación de materias, validación de notas y/o procesos disciplinarios de las instituciones de educación superior.</w:t>
      </w:r>
    </w:p>
    <w:p w14:paraId="5BEAD910" w14:textId="77777777" w:rsidR="00AE5D88" w:rsidRPr="007E73B0" w:rsidRDefault="00AE5D88" w:rsidP="00AE5D88">
      <w:pPr>
        <w:pStyle w:val="Prrafodelista"/>
        <w:jc w:val="both"/>
        <w:rPr>
          <w:rFonts w:ascii="Verdana" w:eastAsia="Arial" w:hAnsi="Verdana" w:cs="Arial"/>
          <w:sz w:val="22"/>
          <w:szCs w:val="22"/>
        </w:rPr>
      </w:pPr>
    </w:p>
    <w:p w14:paraId="5B9622E3" w14:textId="77777777" w:rsidR="00AE5D88" w:rsidRPr="007E73B0" w:rsidRDefault="00AE5D88" w:rsidP="00AE5D88">
      <w:pPr>
        <w:pStyle w:val="Prrafodelista"/>
        <w:numPr>
          <w:ilvl w:val="0"/>
          <w:numId w:val="1"/>
        </w:numPr>
        <w:spacing w:line="259" w:lineRule="auto"/>
        <w:jc w:val="both"/>
        <w:rPr>
          <w:rFonts w:ascii="Verdana" w:eastAsia="Arial" w:hAnsi="Verdana" w:cs="Arial"/>
          <w:sz w:val="22"/>
          <w:szCs w:val="22"/>
        </w:rPr>
      </w:pPr>
      <w:r w:rsidRPr="007E73B0">
        <w:rPr>
          <w:rFonts w:ascii="Verdana" w:eastAsia="Arial" w:hAnsi="Verdana" w:cs="Verdana"/>
          <w:sz w:val="22"/>
          <w:szCs w:val="22"/>
        </w:rPr>
        <w:t>Por otro lado, este Ministerio no tiene la competencia legal o reglamentaria para pronunciarse sobre la polémica suscitada entre la institución y el accionante.</w:t>
      </w:r>
    </w:p>
    <w:p w14:paraId="29C543C5" w14:textId="77777777" w:rsidR="00AE5D88" w:rsidRPr="007E73B0" w:rsidRDefault="00AE5D88" w:rsidP="00AE5D88">
      <w:pPr>
        <w:jc w:val="both"/>
        <w:rPr>
          <w:rFonts w:ascii="Verdana" w:eastAsia="Arial" w:hAnsi="Verdana" w:cs="Arial"/>
        </w:rPr>
      </w:pPr>
      <w:r w:rsidRPr="007E73B0">
        <w:rPr>
          <w:rFonts w:ascii="Verdana" w:eastAsia="Arial" w:hAnsi="Verdana" w:cs="Verdana"/>
        </w:rPr>
        <w:t>Por lo anterior solicitamos se declararse la condición arriba reseñada toda vez que no se ha incurrido en vulneración alguna a los derechos fundamentales por acción u omisión de alguna de las normas que rigen la educación superior.</w:t>
      </w:r>
    </w:p>
    <w:p w14:paraId="0FC5A639" w14:textId="77777777" w:rsidR="00AE5D88" w:rsidRDefault="00AE5D88" w:rsidP="00AE5D88">
      <w:pPr>
        <w:jc w:val="both"/>
        <w:rPr>
          <w:rFonts w:ascii="Verdana" w:eastAsia="Arial" w:hAnsi="Verdana" w:cs="Arial"/>
        </w:rPr>
      </w:pPr>
      <w:r w:rsidRPr="007E73B0">
        <w:rPr>
          <w:rFonts w:ascii="Verdana" w:eastAsia="Arial" w:hAnsi="Verdana" w:cs="Verdana"/>
        </w:rPr>
        <w:t xml:space="preserve">Es preciso indicarle que, la competencia del Ministerio de Educación Nacional en materia de inspección y vigilancia se circunscribe a la verificación del cumplimiento efectivo de las normas de educación superior por parte de las instituciones de este nivel formativo y de sus directivos. Así como, el cumplimiento de sus disposiciones estatutarias y reglamentarias internas y en tal sentido no está facultada para interferir en las </w:t>
      </w:r>
      <w:r w:rsidRPr="007E73B0">
        <w:rPr>
          <w:rFonts w:ascii="Verdana" w:eastAsia="Arial" w:hAnsi="Verdana" w:cs="Verdana"/>
          <w:bCs/>
        </w:rPr>
        <w:t>decisiones administrativas, financieras y académicas que deba adoptar la institución</w:t>
      </w:r>
      <w:r w:rsidRPr="007E73B0">
        <w:rPr>
          <w:rFonts w:ascii="Verdana" w:eastAsia="Arial" w:hAnsi="Verdana" w:cs="Verdana"/>
        </w:rPr>
        <w:t>, en virtud de la autonomía universitaria anteriormente referida.</w:t>
      </w:r>
    </w:p>
    <w:p w14:paraId="2126696F" w14:textId="77777777" w:rsidR="005276CA" w:rsidRPr="00EC6FCF" w:rsidRDefault="005276CA" w:rsidP="005276CA">
      <w:pPr>
        <w:pStyle w:val="Prrafodelista"/>
        <w:numPr>
          <w:ilvl w:val="0"/>
          <w:numId w:val="9"/>
        </w:numPr>
        <w:pBdr>
          <w:top w:val="nil"/>
          <w:left w:val="nil"/>
          <w:bottom w:val="nil"/>
          <w:right w:val="nil"/>
          <w:between w:val="nil"/>
        </w:pBdr>
        <w:spacing w:after="0" w:line="240" w:lineRule="auto"/>
        <w:jc w:val="both"/>
        <w:rPr>
          <w:rFonts w:ascii="Verdana" w:eastAsia="Arial" w:hAnsi="Verdana" w:cs="Arial"/>
          <w:b/>
          <w:sz w:val="22"/>
          <w:szCs w:val="22"/>
        </w:rPr>
      </w:pPr>
      <w:r w:rsidRPr="00EC6FCF">
        <w:rPr>
          <w:rFonts w:ascii="Verdana" w:eastAsia="Arial" w:hAnsi="Verdana" w:cs="Verdana"/>
          <w:sz w:val="22"/>
          <w:szCs w:val="22"/>
        </w:rPr>
        <w:t xml:space="preserve">ICETEX- ENTIDAD CON INDEPENDENCIA ADMINISTRATIVA Y FINANCIERA - ES LA ENCARGADA DE ADMINISTRAR LOS PROGRAMAS. </w:t>
      </w:r>
    </w:p>
    <w:p w14:paraId="59A78BBC" w14:textId="77777777" w:rsidR="005276CA" w:rsidRPr="00EC6FCF" w:rsidRDefault="005276CA" w:rsidP="005276CA">
      <w:pPr>
        <w:pBdr>
          <w:top w:val="nil"/>
          <w:left w:val="nil"/>
          <w:bottom w:val="nil"/>
          <w:right w:val="nil"/>
          <w:between w:val="nil"/>
        </w:pBdr>
        <w:spacing w:after="0" w:line="240" w:lineRule="auto"/>
        <w:jc w:val="both"/>
        <w:rPr>
          <w:rFonts w:ascii="Verdana" w:eastAsia="Arial" w:hAnsi="Verdana" w:cs="Arial"/>
          <w:b/>
        </w:rPr>
      </w:pPr>
    </w:p>
    <w:p w14:paraId="0BA87EEC" w14:textId="77777777" w:rsidR="005276CA" w:rsidRPr="00EC6FCF" w:rsidRDefault="005276CA" w:rsidP="005276CA">
      <w:pPr>
        <w:spacing w:after="0" w:line="240" w:lineRule="auto"/>
        <w:jc w:val="both"/>
        <w:rPr>
          <w:rFonts w:ascii="Verdana" w:eastAsia="Arial" w:hAnsi="Verdana" w:cs="Arial"/>
          <w:b/>
          <w:u w:val="single"/>
        </w:rPr>
      </w:pPr>
      <w:r w:rsidRPr="00EC6FCF">
        <w:rPr>
          <w:rFonts w:ascii="Verdana" w:eastAsia="Arial" w:hAnsi="Verdana" w:cs="Verdana"/>
        </w:rPr>
        <w:t>En materia de prestación del servicio educativo, corresponde al Ministerio de Educación Nacional fijar la política respecto al tema educativo y en tal sentido impartir orientaciones y directrices para su prestación, por parte de las Secretarías de Educación Departamentales, Distritales y Municipales, a través de los establecimientos educativos, tratándose de educación preescolar, básica y media.</w:t>
      </w:r>
    </w:p>
    <w:p w14:paraId="5A19CC1F"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t>Con respecto a la educación superior, que se realiza con posterioridad a la educación media y secundaria y tiene por objeto el pleno desarrollo de los alumnos y su formación académica o profesional, corresponde al Estado además de ofrecer las condiciones especiales para su desarrollo, fortaleciendo la investigación científica, facilitar los mecanismos financieros que hagan posible el acceso de todas las personas aptas a la educación superior, tal como lo establece el artículo 69 de nuestra Carta Política.</w:t>
      </w:r>
    </w:p>
    <w:p w14:paraId="2AB8976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r>
      <w:bookmarkStart w:id="0" w:name="_Hlk215237252"/>
      <w:r w:rsidRPr="00EC6FCF">
        <w:rPr>
          <w:rFonts w:ascii="Verdana" w:eastAsia="Arial" w:hAnsi="Verdana" w:cs="Verdana"/>
        </w:rPr>
        <w:t xml:space="preserve">Precisamente, en desarrollo del artículo 69 de la Constitución Política, el Estado Colombiano a través del Instituto Colombiano de Crédito Educativo y Estudios Técnicos en el Exterior, Mariano Ospina Pérez </w:t>
      </w:r>
      <w:r w:rsidRPr="00EC6FCF">
        <w:rPr>
          <w:rFonts w:ascii="Verdana" w:eastAsia="Arial" w:hAnsi="Verdana" w:cs="Verdana"/>
        </w:rPr>
        <w:t>“ICETEX”,</w:t>
      </w:r>
      <w:r w:rsidRPr="00EC6FCF">
        <w:rPr>
          <w:rFonts w:ascii="Verdana" w:eastAsia="Arial" w:hAnsi="Verdana" w:cs="Verdana"/>
        </w:rPr>
        <w:t xml:space="preserve"> transformado en virtud de la Ley 1002 del 30 de diciembre de 2005, en una entidad financiera de naturaleza especial, propicia los mecanismos financieros que hagan posible el acceso y permanencia de las personas a la educación superior.</w:t>
      </w:r>
    </w:p>
    <w:p w14:paraId="06962C75" w14:textId="77777777" w:rsidR="005276CA" w:rsidRPr="00EC6FCF" w:rsidRDefault="005276CA" w:rsidP="005276CA">
      <w:pPr>
        <w:spacing w:after="0" w:line="240" w:lineRule="auto"/>
        <w:jc w:val="both"/>
        <w:rPr>
          <w:rFonts w:ascii="Verdana" w:eastAsia="Arial" w:hAnsi="Verdana" w:cs="Arial"/>
        </w:rPr>
      </w:pPr>
    </w:p>
    <w:p w14:paraId="4A3441A5"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xml:space="preserve">De forma adicional, es pertinente informar que en el Decreto 2269 de 2025 </w:t>
      </w:r>
      <w:r w:rsidRPr="00EC6FCF">
        <w:rPr>
          <w:rFonts w:ascii="Verdana" w:eastAsia="Arial" w:hAnsi="Verdana" w:cs="Verdana"/>
          <w:i/>
          <w:iCs/>
        </w:rPr>
        <w:t>"Por el cual se adopta la estructura del Ministerio de Educación Nacional y se determinan las funciones de sus dependencias."</w:t>
      </w:r>
      <w:r w:rsidRPr="00EC6FCF">
        <w:rPr>
          <w:rFonts w:ascii="Verdana" w:eastAsia="Arial" w:hAnsi="Verdana" w:cs="Verdana"/>
        </w:rPr>
        <w:t xml:space="preserve"> el </w:t>
      </w:r>
      <w:r w:rsidRPr="00EC6FCF">
        <w:rPr>
          <w:rFonts w:ascii="Verdana" w:eastAsia="Arial" w:hAnsi="Verdana" w:cs="Verdana"/>
          <w:bCs/>
        </w:rPr>
        <w:t>ICETEX</w:t>
      </w:r>
      <w:r w:rsidRPr="00EC6FCF">
        <w:rPr>
          <w:rFonts w:ascii="Verdana" w:eastAsia="Arial" w:hAnsi="Verdana" w:cs="Verdana"/>
        </w:rPr>
        <w:t> NO se encuentra como una entidad vinculada a éste.</w:t>
      </w:r>
    </w:p>
    <w:p w14:paraId="51C7392C"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w:t>
      </w:r>
    </w:p>
    <w:p w14:paraId="62E92BD7"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 xml:space="preserve">Lo anterior tiene especial relevancia en cuanto al objeto de debate del proceso en cuanto el ICETEX se encuentra plenamente habilitado para realizar operaciones financieras tendientes a cumplir su objeto, operaciones que, de acuerdo con el artículo 8° están sujetas a las disposiciones de </w:t>
      </w:r>
      <w:r w:rsidRPr="00EC6FCF">
        <w:rPr>
          <w:rFonts w:ascii="Verdana" w:eastAsia="Arial" w:hAnsi="Verdana" w:cs="Verdana"/>
          <w:bCs/>
        </w:rPr>
        <w:t>derecho privado.</w:t>
      </w:r>
    </w:p>
    <w:bookmarkEnd w:id="0"/>
    <w:p w14:paraId="2643D5A9"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br/>
        <w:t xml:space="preserve">Aunado a lo anterior cabe recalcar que los recursos del gobierno colombiano son canalizados a través de </w:t>
      </w:r>
      <w:r w:rsidRPr="00EC6FCF">
        <w:rPr>
          <w:rFonts w:ascii="Verdana" w:eastAsia="Arial" w:hAnsi="Verdana" w:cs="Verdana"/>
        </w:rPr>
        <w:t>ICETEX</w:t>
      </w:r>
      <w:r w:rsidRPr="00EC6FCF">
        <w:rPr>
          <w:rFonts w:ascii="Verdana" w:eastAsia="Arial" w:hAnsi="Verdana" w:cs="Verdana"/>
        </w:rPr>
        <w:t>, teniendo en cuenta que la Ley 1450 de 2011, en su artículo 27, determina:</w:t>
      </w:r>
    </w:p>
    <w:p w14:paraId="13688638"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Verdana"/>
        </w:rPr>
        <w:lastRenderedPageBreak/>
        <w:br/>
      </w:r>
      <w:r w:rsidRPr="00EC6FCF">
        <w:rPr>
          <w:rFonts w:ascii="Verdana" w:eastAsia="Arial" w:hAnsi="Verdana" w:cs="Verdana"/>
          <w:sz w:val="20"/>
          <w:szCs w:val="20"/>
        </w:rPr>
        <w:t>“</w:t>
      </w:r>
      <w:r w:rsidRPr="00EC6FCF">
        <w:rPr>
          <w:rFonts w:ascii="Verdana" w:eastAsia="Arial" w:hAnsi="Verdana" w:cs="Verdana"/>
          <w:i/>
          <w:sz w:val="20"/>
          <w:szCs w:val="20"/>
        </w:rPr>
        <w:t>Los recursos de la Nación destinados a becas o a créditos educativos universitarios en Colombia, serán girados al Instituto Colombiano de Crédito Educativo y Estudios Técnicos en el Exterior (ICETEX) y a él corresponde su administración. Los recursos de la Nación destinados a becas o a créditos educativos universitarios para la financiación de maestrías, doctorados o postdoctorados podrán ser girados al Fondo Nacional de Financiamiento para la Ciencia, la Tecnología y la Innovación, Fondo Francisco José de Caldas. En este evento la ejecución de los recursos podrá ser apoyada con la participación de terceros y el Gobierno Nacional reglamentará los criterios de asignación.”</w:t>
      </w:r>
    </w:p>
    <w:p w14:paraId="2BF1D34F" w14:textId="77777777" w:rsidR="005276CA" w:rsidRPr="00EC6FCF" w:rsidRDefault="005276CA" w:rsidP="005276CA">
      <w:pPr>
        <w:spacing w:after="0" w:line="240" w:lineRule="auto"/>
        <w:jc w:val="both"/>
        <w:rPr>
          <w:rFonts w:ascii="Verdana" w:eastAsia="Arial" w:hAnsi="Verdana" w:cs="Arial"/>
        </w:rPr>
      </w:pPr>
    </w:p>
    <w:p w14:paraId="774443AE" w14:textId="77777777" w:rsidR="005276CA" w:rsidRPr="00EC6FCF" w:rsidRDefault="005276CA" w:rsidP="005276CA">
      <w:pPr>
        <w:spacing w:after="0" w:line="240" w:lineRule="auto"/>
        <w:jc w:val="both"/>
        <w:rPr>
          <w:rFonts w:ascii="Verdana" w:eastAsia="Arial" w:hAnsi="Verdana" w:cs="Arial"/>
        </w:rPr>
      </w:pPr>
      <w:r w:rsidRPr="00EC6FCF">
        <w:rPr>
          <w:rFonts w:ascii="Verdana" w:eastAsia="Arial" w:hAnsi="Verdana" w:cs="Verdana"/>
        </w:rPr>
        <w:t>En efecto, la Corte Constitucional, al referirse al tema, adujo:</w:t>
      </w:r>
    </w:p>
    <w:p w14:paraId="10E55D14" w14:textId="77777777" w:rsidR="005276CA" w:rsidRPr="00EC6FCF" w:rsidRDefault="005276CA" w:rsidP="005276CA">
      <w:pPr>
        <w:spacing w:after="0" w:line="240" w:lineRule="auto"/>
        <w:jc w:val="both"/>
        <w:rPr>
          <w:rFonts w:ascii="Verdana" w:eastAsia="Arial" w:hAnsi="Verdana" w:cs="Arial"/>
          <w:i/>
        </w:rPr>
      </w:pPr>
    </w:p>
    <w:p w14:paraId="4A308D46" w14:textId="77777777" w:rsidR="005276CA" w:rsidRPr="00EC6FCF" w:rsidRDefault="005276CA" w:rsidP="005276CA">
      <w:pPr>
        <w:spacing w:after="0" w:line="240" w:lineRule="auto"/>
        <w:ind w:left="708"/>
        <w:jc w:val="both"/>
        <w:rPr>
          <w:rFonts w:ascii="Verdana" w:eastAsia="Arial" w:hAnsi="Verdana" w:cs="Arial"/>
          <w:i/>
          <w:sz w:val="20"/>
          <w:szCs w:val="20"/>
        </w:rPr>
      </w:pPr>
      <w:r w:rsidRPr="00EC6FCF">
        <w:rPr>
          <w:rFonts w:ascii="Verdana" w:eastAsia="Arial" w:hAnsi="Verdana" w:cs="Verdana"/>
          <w:i/>
          <w:sz w:val="20"/>
          <w:szCs w:val="20"/>
        </w:rPr>
        <w:t>“La Corte ha sostenido que la naturaleza de derecho fundamental del derecho a la educación superior, contiene dentro de su núcleo esencial la garantía de que su goce efectivo está a cargo del Estado, lo que significa que si bien éste último no tiene una obligación directa de procurar el acceso inmediato de todas las personas a la educación superior, sí significa que no queda eximido de su responsabilidad de procurar el acceso progresivo de las personas al sistema educativo.”</w:t>
      </w:r>
    </w:p>
    <w:p w14:paraId="70DB1E4D" w14:textId="43A89B6F" w:rsidR="005276CA" w:rsidRPr="00EC6FCF" w:rsidRDefault="005276CA" w:rsidP="005276CA">
      <w:pPr>
        <w:jc w:val="both"/>
        <w:rPr>
          <w:rFonts w:ascii="Verdana" w:eastAsia="Arial" w:hAnsi="Verdana" w:cs="Arial"/>
        </w:rPr>
      </w:pPr>
      <w:r w:rsidRPr="00EC6FCF">
        <w:rPr>
          <w:rFonts w:ascii="Verdana" w:eastAsia="Arial" w:hAnsi="Verdana" w:cs="Verdana"/>
        </w:rPr>
        <w:br/>
        <w:t>Esta labor ha sido encomendada al ICETEX</w:t>
      </w:r>
      <w:r w:rsidRPr="00EC6FCF">
        <w:rPr>
          <w:rFonts w:ascii="Verdana" w:eastAsia="Arial" w:hAnsi="Verdana" w:cs="Verdana"/>
        </w:rPr>
        <w:t xml:space="preserve">, </w:t>
      </w:r>
      <w:r w:rsidRPr="00EC6FCF">
        <w:rPr>
          <w:rFonts w:ascii="Verdana" w:eastAsia="Arial" w:hAnsi="Verdana" w:cs="Verdana"/>
        </w:rPr>
        <w:t>tal como lo ha señalado la Corte Constitucional.</w:t>
      </w:r>
    </w:p>
    <w:p w14:paraId="7EA53931" w14:textId="77777777" w:rsidR="005F097F" w:rsidRPr="00EC6FCF" w:rsidRDefault="005F097F" w:rsidP="005F097F">
      <w:pPr>
        <w:spacing w:after="0" w:line="240" w:lineRule="auto"/>
        <w:jc w:val="both"/>
        <w:rPr>
          <w:rFonts w:ascii="Verdana" w:eastAsia="Arial" w:hAnsi="Verdana" w:cs="Arial"/>
          <w:color w:val="000000" w:themeColor="text1"/>
          <w:sz w:val="20"/>
          <w:szCs w:val="20"/>
        </w:rPr>
      </w:pPr>
    </w:p>
    <w:p w14:paraId="238FFAF3" w14:textId="07AAF314" w:rsidR="005F097F" w:rsidRPr="00EC6FCF" w:rsidRDefault="005F097F">
      <w:pPr>
        <w:pStyle w:val="Prrafodelista"/>
        <w:numPr>
          <w:ilvl w:val="0"/>
          <w:numId w:val="3"/>
        </w:numPr>
        <w:jc w:val="both"/>
        <w:rPr>
          <w:rFonts w:ascii="Verdana" w:hAnsi="Verdana" w:cs="Arial"/>
          <w:b/>
          <w:bCs/>
          <w:sz w:val="22"/>
          <w:szCs w:val="22"/>
        </w:rPr>
      </w:pPr>
      <w:r w:rsidRPr="00EC6FCF">
        <w:rPr>
          <w:rFonts w:ascii="Verdana" w:hAnsi="Verdana" w:cs="Verdana"/>
          <w:bCs/>
          <w:sz w:val="22"/>
          <w:szCs w:val="22"/>
        </w:rPr>
        <w:t>NATURALEZA JURÍDICA DE LA AGENCIA DISTRITAL PARA LA EDUCACIÓN SUPERIOR, LA CIENCIA Y LA TECNOLOGÍA - ATENEA.</w:t>
      </w:r>
    </w:p>
    <w:p w14:paraId="659AF05A" w14:textId="77777777" w:rsidR="005F097F" w:rsidRPr="00EC6FCF" w:rsidRDefault="005F097F" w:rsidP="005F097F">
      <w:pPr>
        <w:jc w:val="both"/>
        <w:rPr>
          <w:rFonts w:ascii="Verdana" w:hAnsi="Verdana" w:cs="Arial"/>
        </w:rPr>
      </w:pPr>
      <w:r w:rsidRPr="00EC6FCF">
        <w:rPr>
          <w:rFonts w:ascii="Verdana" w:hAnsi="Verdana" w:cs="Verdana"/>
        </w:rPr>
        <w:t>La Agencia Distrital para la Educación Superior, la Ciencia y la Tecnología, y conocida como “ATENEA”, es una entidad pública del orden distrital, creada mediante el Decreto 273 de 2020, que la estableció en su artículo primero como una entidad pública personería jurídica, autonomía administrativa, financiera y presupuestal y patrimonio autónomo, adscrita a la Secretaría de Educación de Bogotá D.C.</w:t>
      </w:r>
    </w:p>
    <w:p w14:paraId="04038FC1" w14:textId="77777777" w:rsidR="005F097F" w:rsidRPr="00EC6FCF" w:rsidRDefault="005F097F" w:rsidP="005F097F">
      <w:pPr>
        <w:jc w:val="both"/>
        <w:rPr>
          <w:rFonts w:ascii="Verdana" w:hAnsi="Verdana" w:cs="Arial"/>
        </w:rPr>
      </w:pPr>
      <w:r w:rsidRPr="00EC6FCF">
        <w:rPr>
          <w:rFonts w:ascii="Verdana" w:hAnsi="Verdana" w:cs="Verdana"/>
        </w:rPr>
        <w:t>Su objeto principal consiste en fortalecer, promover, financiar y propiciar la oferta educativa del nivel superior, por lo cual sus funciones circunscriben a:</w:t>
      </w:r>
    </w:p>
    <w:p w14:paraId="17AE9789"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Artículo 6°. Funciones. La Agencia Distrital para la Educación Superior, la Ciencia y la Tecnología “Atenea” ejercerá las siguientes funciones: </w:t>
      </w:r>
    </w:p>
    <w:p w14:paraId="1FF833F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1.Liderar, acompañar y dar soporte técnico en la formulación y ejecución de las políticas, planes, programas y proyectos distritales de acceso, permanencia y pertinencia de la educación post-media. </w:t>
      </w:r>
    </w:p>
    <w:p w14:paraId="0FEF6D38"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2. Coordinar el Sistema Distrital de Educación Post-media, que articule la educación media, la educación para el trabajo y el desarrollo humano, la educación informal, la certificación de competencias y la educación superior, con el objeto de promover el desarrollo sostenible de la ciudad y el cierre de brechas. </w:t>
      </w:r>
    </w:p>
    <w:p w14:paraId="6F3DBDE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3. Diseñar y ejecutar planes, programas y proyectos distritales para la transición de la educación media a la superior; y para la articulación entre la educación media y la educación post-media, teniendo en cuenta las posibilidades de acceso de la población a estos niveles, en coordinación con las entidades competentes. </w:t>
      </w:r>
    </w:p>
    <w:p w14:paraId="2EAC4355"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4. Desarrollar los planes, programas y proyectos distritales para el establecimiento de rutas y modelos de homologación de contenidos académicos y competencias laborales de los actores del Sistema Distrital de Educación Post-media. </w:t>
      </w:r>
    </w:p>
    <w:p w14:paraId="219FCEB3"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5. Gestionar y ejecutar estrategias de financiamiento público y/o privado, para promover el acceso, permanencia y articulación en educación post-media, la cual incluye la formación para el trabajo, la educación informal, la educación superior y la certificación de competencias, privilegiando la oferta pública. </w:t>
      </w:r>
    </w:p>
    <w:p w14:paraId="0AC9730F"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lastRenderedPageBreak/>
        <w:t xml:space="preserve">6. Gestionar y ejecutar planes, programas y proyectos distritales que promuevan el fortalecimiento y financiamiento de proyectos y redes colaborativas de ciencia, tecnología e innovación con actores del sector público y privado, para mejorar la infraestructura tecnológica del Distrito Capital. </w:t>
      </w:r>
    </w:p>
    <w:p w14:paraId="6D4FCB9B"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7. Coordinar bajo la orientación de los organismos y entidades competentes en la materia en el Distrito Capital, la formulación y ejecución de la política, planes, programas y proyectos distritales de ciencia, tecnología e innovación; así como en la divulgación y apropiación social de conocimiento resultado de CT+I. </w:t>
      </w:r>
    </w:p>
    <w:p w14:paraId="2942EC40"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8. Gestionar la creación, promover el fortalecimiento y participar en alianzas y convenios de cooperación con entidades y actores del ecosistema de ciencia, tecnología e innovación, así como la gestión y consecución de recursos para su desarrollo. </w:t>
      </w:r>
    </w:p>
    <w:p w14:paraId="076E1F4E"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9. Orientar, liderar y desarrollar programas y proyectos distritales de base científica y tecnológica, para la solución de problemas y desafíos de la ciudad y la región, el fortalecimiento de su infraestructura tecnológica y su capital humano, intelectual y relacional, en coordinación con los organismos y entidades competentes en la materia en el Distrito Capital. </w:t>
      </w:r>
    </w:p>
    <w:p w14:paraId="26B3B4D3"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10. Desarrollar, mantener y actualizar un modelo de análisis de información que permita orientar, con criterios de pertinencia, la oferta en la formación post-media, y que articule la vocación de los y las jóvenes con las necesidades de empleo, emprendimiento e innovación. </w:t>
      </w:r>
    </w:p>
    <w:p w14:paraId="572CD30D"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11. Suscribir convenios, asociarse o conformar esquemas asociativos con entidades públicas de cualquier nivel de gobierno o con personas de derecho privado, y efectuar lastransferencias o aportes correspondientes, con sujeción a lo dispuesto en la Ley 489 de 1998, el Acuerdo 257 de 2006 y las demás normas legales que modifiquen, adicionen o regulen la materia. </w:t>
      </w:r>
    </w:p>
    <w:p w14:paraId="6DA96FBD"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12. Realizar todo tipo de actos y negocios jurídicos que se relacionen con su objeto o faciliten su ejecución, así como aquellos que permitan el ejercicio de sus funciones y el cumplimiento de sus obligaciones. </w:t>
      </w:r>
    </w:p>
    <w:p w14:paraId="18309395"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 xml:space="preserve">13. Cobrar por los servicios que preste o los bienes que produzca, cuando a ello haya lugar según lo dispuesto en el ordenamiento jurídico y en sus estatutos. </w:t>
      </w:r>
    </w:p>
    <w:p w14:paraId="1A9A8097" w14:textId="77777777" w:rsidR="005F097F" w:rsidRPr="00EC6FCF" w:rsidRDefault="005F097F" w:rsidP="005F097F">
      <w:pPr>
        <w:ind w:left="708"/>
        <w:jc w:val="both"/>
        <w:rPr>
          <w:rFonts w:ascii="Verdana" w:hAnsi="Verdana" w:cs="Arial"/>
          <w:i/>
          <w:iCs/>
          <w:sz w:val="20"/>
          <w:szCs w:val="20"/>
        </w:rPr>
      </w:pPr>
      <w:r w:rsidRPr="00EC6FCF">
        <w:rPr>
          <w:rFonts w:ascii="Verdana" w:hAnsi="Verdana" w:cs="Verdana"/>
          <w:i/>
          <w:iCs/>
          <w:sz w:val="20"/>
          <w:szCs w:val="20"/>
        </w:rPr>
        <w:t>14. Las demás que le establezcan las leyes, acuerdos y demás disposiciones aplicables.</w:t>
      </w:r>
    </w:p>
    <w:p w14:paraId="16E666CB" w14:textId="510236B0" w:rsidR="009D01AC" w:rsidRPr="00EC6FCF" w:rsidRDefault="005F097F" w:rsidP="00AE5D88">
      <w:pPr>
        <w:jc w:val="both"/>
        <w:rPr>
          <w:rFonts w:ascii="Verdana" w:hAnsi="Verdana" w:cs="Arial"/>
        </w:rPr>
      </w:pPr>
      <w:r w:rsidRPr="00EC6FCF">
        <w:rPr>
          <w:rFonts w:ascii="Verdana" w:hAnsi="Verdana" w:cs="Verdana"/>
        </w:rPr>
        <w:t>Es fundamental destacar que esta Agencia no es una continuación o un simple cambio de nombre de la Secretaría de Educación del Distrito (SED). Por el contrario, es una entidad nueva que, tras un régimen de transición establecido en su norma de creación, asumió de manera exclusiva las funciones en materia de educación superior, ciencia y tecnología que antes eran competencia de la mencionada Secretaría.</w:t>
      </w:r>
    </w:p>
    <w:p w14:paraId="00086B03" w14:textId="46CB7ADA" w:rsidR="00C84FDE" w:rsidRPr="00EC6FCF" w:rsidRDefault="005C00A3"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5DFE0F88"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IV.</w:t>
      </w:r>
      <w:r w:rsidRPr="00EC6FCF">
        <w:rPr>
          <w:rFonts w:ascii="Verdana" w:hAnsi="Verdana" w:cs="Verdana"/>
          <w:bCs/>
          <w:kern w:val="0"/>
        </w:rPr>
        <w:tab/>
        <w:t>FUNDAMENTOS DE DEFENSA</w:t>
      </w:r>
      <w:r w:rsidRPr="00EC6FCF">
        <w:rPr>
          <w:rFonts w:ascii="Verdana" w:hAnsi="Verdana" w:cs="Verdana"/>
          <w:kern w:val="0"/>
        </w:rPr>
        <w:t> </w:t>
      </w:r>
    </w:p>
    <w:p w14:paraId="76A6AC2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color w:val="000000"/>
          <w:kern w:val="0"/>
        </w:rPr>
        <w:t> </w:t>
      </w:r>
    </w:p>
    <w:p w14:paraId="094328E1" w14:textId="452E45C7" w:rsidR="007A24C5" w:rsidRPr="00EC6FCF" w:rsidRDefault="00C84FDE" w:rsidP="007B5BFA">
      <w:pPr>
        <w:autoSpaceDE w:val="0"/>
        <w:autoSpaceDN w:val="0"/>
        <w:adjustRightInd w:val="0"/>
        <w:spacing w:after="0" w:line="240" w:lineRule="auto"/>
        <w:jc w:val="both"/>
        <w:rPr>
          <w:rFonts w:ascii="Verdana" w:hAnsi="Verdana" w:cs="Arial"/>
          <w:color w:val="000000"/>
          <w:kern w:val="0"/>
        </w:rPr>
      </w:pPr>
      <w:r w:rsidRPr="00EC6FCF">
        <w:rPr>
          <w:rFonts w:ascii="Verdana" w:hAnsi="Verdana" w:cs="Verdana"/>
          <w:color w:val="000000"/>
          <w:kern w:val="0"/>
        </w:rPr>
        <w:t>En cuanto a las pretensiones contenidas en la acción de tutela se tiene que no son procedentes, por las siguientes razones:</w:t>
      </w:r>
    </w:p>
    <w:p w14:paraId="3BB072DD" w14:textId="77777777" w:rsidR="00C84FDE" w:rsidRPr="00EC6FCF" w:rsidRDefault="00C84FDE" w:rsidP="00C84FDE">
      <w:pPr>
        <w:autoSpaceDE w:val="0"/>
        <w:autoSpaceDN w:val="0"/>
        <w:adjustRightInd w:val="0"/>
        <w:spacing w:after="0" w:line="240" w:lineRule="auto"/>
        <w:ind w:left="1080"/>
        <w:jc w:val="both"/>
        <w:rPr>
          <w:rFonts w:ascii="Verdana" w:hAnsi="Verdana" w:cs="Segoe UI"/>
          <w:kern w:val="0"/>
          <w:sz w:val="18"/>
          <w:szCs w:val="18"/>
        </w:rPr>
      </w:pPr>
      <w:r w:rsidRPr="00EC6FCF">
        <w:rPr>
          <w:rFonts w:ascii="Verdana" w:hAnsi="Verdana" w:cs="Verdana"/>
          <w:kern w:val="0"/>
        </w:rPr>
        <w:t> </w:t>
      </w:r>
    </w:p>
    <w:p w14:paraId="7B335D53" w14:textId="67F294C2"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 xml:space="preserve">A. </w:t>
      </w:r>
      <w:r w:rsidR="00C84FDE" w:rsidRPr="00EC6FCF">
        <w:rPr>
          <w:rFonts w:ascii="Verdana" w:hAnsi="Verdana" w:cs="Verdana"/>
          <w:bCs/>
          <w:kern w:val="0"/>
        </w:rPr>
        <w:t>Autonomía Universitaria</w:t>
      </w:r>
      <w:r w:rsidR="00C84FDE" w:rsidRPr="00EC6FCF">
        <w:rPr>
          <w:rFonts w:ascii="Verdana" w:hAnsi="Verdana" w:cs="Verdana"/>
          <w:kern w:val="0"/>
        </w:rPr>
        <w:t> </w:t>
      </w:r>
    </w:p>
    <w:p w14:paraId="7C903F92"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4E3BF25"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El artículo 69 de la Carta Política reconoce y garantiza la autonomía universitaria y establece que “</w:t>
      </w:r>
      <w:r w:rsidRPr="00EC6FCF">
        <w:rPr>
          <w:rFonts w:ascii="Verdana" w:hAnsi="Verdana" w:cs="Verdana"/>
          <w:i/>
          <w:iCs/>
          <w:kern w:val="0"/>
        </w:rPr>
        <w:t>las universidades podrán darse sus directivas y regirse por sus propios estatutos, de acuerdo con la ley</w:t>
      </w:r>
      <w:r w:rsidRPr="00EC6FCF">
        <w:rPr>
          <w:rFonts w:ascii="Verdana" w:hAnsi="Verdana" w:cs="Verdana"/>
          <w:kern w:val="0"/>
        </w:rPr>
        <w:t xml:space="preserve">.” Esta norma igualmente difiere al legislador la tarea de establecer un régimen especial para las universidades del Estado. En desarrollo de esa normativa constitucional, el legislador, mediante la Ley 30 de 1992, organizó el servicio público de la educación superior y precisó que la autonomía universitaria reconoce a las universidades el derecho a darse y modificar sus estatutos, designar sus autoridades académicas y </w:t>
      </w:r>
      <w:r w:rsidRPr="00EC6FCF">
        <w:rPr>
          <w:rFonts w:ascii="Verdana" w:hAnsi="Verdana" w:cs="Verdana"/>
          <w:kern w:val="0"/>
        </w:rPr>
        <w:lastRenderedPageBreak/>
        <w:t>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como de establecer, arbitrar y aplicar sus recursos para el cumplimiento de su misión social y de su función institucional (artículos 28 y 29).  </w:t>
      </w:r>
    </w:p>
    <w:p w14:paraId="7028D9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A1C26D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la sentencia T-180 de 1996, la Corte Constitucional se refirió a la finalidad y a los límites de la </w:t>
      </w:r>
      <w:r w:rsidRPr="00EC6FCF">
        <w:rPr>
          <w:rFonts w:ascii="Verdana" w:hAnsi="Verdana" w:cs="Verdana"/>
          <w:bCs/>
          <w:kern w:val="0"/>
        </w:rPr>
        <w:t>autonomía universitaria</w:t>
      </w:r>
      <w:r w:rsidRPr="00EC6FCF">
        <w:rPr>
          <w:rFonts w:ascii="Verdana" w:hAnsi="Verdana" w:cs="Verdana"/>
          <w:kern w:val="0"/>
        </w:rPr>
        <w:t> en los siguientes términos:  </w:t>
      </w:r>
    </w:p>
    <w:p w14:paraId="550B9D1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3995522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i/>
          <w:iCs/>
          <w:kern w:val="0"/>
          <w:sz w:val="20"/>
          <w:szCs w:val="20"/>
        </w:rPr>
        <w:t>“La finalidad de la autonomía universitaria es la de evitar que el Estado, a través de sus distintos poderes, intervenga de manera ilegítima en el proceso de creación y difusión del conocimiento. Con ello se asegura un espacio de plena autonomía en el que el saber y la investigación científica se ponen al servicio del pluralismo y no de visiones dogmáticas impuestas por el poder público, que coartarían la plena realización intelectual del ser humano e impedirían la formación de una opinión pública crítica que proyecte el conocimiento en el proceso de evolución social, económica y cultural.</w:t>
      </w:r>
      <w:r w:rsidRPr="00EC6FCF">
        <w:rPr>
          <w:rFonts w:ascii="Verdana" w:hAnsi="Verdana" w:cs="Verdana"/>
          <w:kern w:val="0"/>
          <w:sz w:val="20"/>
          <w:szCs w:val="20"/>
        </w:rPr>
        <w:t> </w:t>
      </w:r>
    </w:p>
    <w:p w14:paraId="307E0FEB"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i/>
          <w:iCs/>
          <w:kern w:val="0"/>
          <w:sz w:val="20"/>
          <w:szCs w:val="20"/>
          <w:lang w:val="es-ES"/>
        </w:rPr>
        <w:t>(…)</w:t>
      </w:r>
      <w:r w:rsidRPr="00EC6FCF">
        <w:rPr>
          <w:rFonts w:ascii="Verdana" w:hAnsi="Verdana" w:cs="Verdana"/>
          <w:kern w:val="0"/>
          <w:sz w:val="20"/>
          <w:szCs w:val="20"/>
        </w:rPr>
        <w:t> </w:t>
      </w:r>
    </w:p>
    <w:p w14:paraId="6F356B1B"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Verdana"/>
          <w:i/>
          <w:iCs/>
          <w:kern w:val="0"/>
          <w:sz w:val="20"/>
          <w:szCs w:val="20"/>
          <w:lang w:val="es-ES"/>
        </w:rPr>
        <w:t>Los altísimos fines que persigue la autonomía universitaria no pueden servir de excusa a los centros docentes para que, prevalidos de esa valiosa garantía institucional, vulneren los principios y derechos en los que se apoya el ordenamiento jurídico. De igual manera, no puede predicarse como correlato de la garantía institucional consagrada en el artículo 69 de la Carta, la inmunidad judicial de los actos de las Universidades que sean susceptibles de vulnerar los derechos fundamentales de sus estudiantes. Sin embargo, la intervención del juez debe limitarse a la protección de los derechos contra actuaciones ilegítimas, sin que le esté dado inmiscuirse en el ámbito propio de libertad de la Universidad para fijar sus políticas académicas e investigativas”.</w:t>
      </w:r>
      <w:r w:rsidRPr="00EC6FCF">
        <w:rPr>
          <w:rFonts w:ascii="Verdana" w:hAnsi="Verdana" w:cs="Verdana"/>
          <w:kern w:val="0"/>
          <w:sz w:val="20"/>
          <w:szCs w:val="20"/>
        </w:rPr>
        <w:t> </w:t>
      </w:r>
    </w:p>
    <w:p w14:paraId="6F5AE89C"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0D9AA7F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sentencia T 452 de 2023, la Corte estableció algunas subreglas con respecto a la autonomía universitaria en el marco de procesos disciplinarios que tengan como objeto la imposición de sanciones, que se resumen de la siguiente manera: </w:t>
      </w:r>
    </w:p>
    <w:p w14:paraId="012AECA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6C66DEE"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“a) La discrecionalidad universitaria, propia de su autonomía, no es absoluta, como quiera que se encuentra limitada por el orden público, el interés general y el bien común.</w:t>
      </w:r>
      <w:r w:rsidRPr="00EC6FCF">
        <w:rPr>
          <w:rFonts w:ascii="Verdana" w:hAnsi="Verdana" w:cs="Verdana"/>
          <w:i/>
          <w:iCs/>
          <w:kern w:val="0"/>
          <w:sz w:val="20"/>
          <w:szCs w:val="20"/>
        </w:rPr>
        <w:t>  </w:t>
      </w:r>
    </w:p>
    <w:p w14:paraId="65742F6F"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b) La autonomía universitaria también se limita por la inspección y vigilancia de la educación que ejerce el Estado.</w:t>
      </w:r>
      <w:r w:rsidRPr="00EC6FCF">
        <w:rPr>
          <w:rFonts w:ascii="Verdana" w:hAnsi="Verdana" w:cs="Verdana"/>
          <w:i/>
          <w:iCs/>
          <w:kern w:val="0"/>
          <w:sz w:val="20"/>
          <w:szCs w:val="20"/>
        </w:rPr>
        <w:t>  </w:t>
      </w:r>
    </w:p>
    <w:p w14:paraId="354C90D0"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c) El ejercicio de la autonomía universitaria y el respeto por el pluralismo ideológico, demuestran que los centros superiores tienen libertad para determinar sus normas internas, a través de los estatutos, las cuales no podrán ser contrarias a la ley ni a la Constitución.</w:t>
      </w:r>
      <w:r w:rsidRPr="00EC6FCF">
        <w:rPr>
          <w:rFonts w:ascii="Verdana" w:hAnsi="Verdana" w:cs="Verdana"/>
          <w:i/>
          <w:iCs/>
          <w:kern w:val="0"/>
          <w:sz w:val="20"/>
          <w:szCs w:val="20"/>
        </w:rPr>
        <w:t>  </w:t>
      </w:r>
    </w:p>
    <w:p w14:paraId="555C4D15"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d) Los estatutos se acogen voluntariamente por quienes desean estudiar en el centro educativo superior, pero una vez aceptados son obligatorios para toda la comunidad educativa. El reglamento concreta la libertad académica, administrativa y económica de las instituciones de educación superior.</w:t>
      </w:r>
      <w:r w:rsidRPr="00EC6FCF">
        <w:rPr>
          <w:rFonts w:ascii="Verdana" w:hAnsi="Verdana" w:cs="Verdana"/>
          <w:i/>
          <w:iCs/>
          <w:kern w:val="0"/>
          <w:sz w:val="20"/>
          <w:szCs w:val="20"/>
        </w:rPr>
        <w:t>  </w:t>
      </w:r>
    </w:p>
    <w:p w14:paraId="51061072"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e) El Legislador está constitucionalmente autorizado para limitar la autonomía universitaria, siempre y cuando no invada ni anule su núcleo.</w:t>
      </w:r>
      <w:r w:rsidRPr="00EC6FCF">
        <w:rPr>
          <w:rFonts w:ascii="Verdana" w:hAnsi="Verdana" w:cs="Verdana"/>
          <w:i/>
          <w:iCs/>
          <w:kern w:val="0"/>
          <w:sz w:val="20"/>
          <w:szCs w:val="20"/>
        </w:rPr>
        <w:t>  </w:t>
      </w:r>
    </w:p>
    <w:p w14:paraId="70B1BBE1"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f) La autonomía universitaria es un derecho limitado y complejo. Limitado porque es una garantía para el funcionamiento adecuado de la institución. Es complejo, como quiera que involucre otros derechos de las personas.</w:t>
      </w:r>
      <w:r w:rsidRPr="00EC6FCF">
        <w:rPr>
          <w:rFonts w:ascii="Verdana" w:hAnsi="Verdana" w:cs="Verdana"/>
          <w:i/>
          <w:iCs/>
          <w:kern w:val="0"/>
          <w:sz w:val="20"/>
          <w:szCs w:val="20"/>
        </w:rPr>
        <w:t>  </w:t>
      </w:r>
    </w:p>
    <w:p w14:paraId="6D81981A"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g) Los criterios para selección de los estudiantes pertenecen a la órbita de la autonomía universitaria, siempre y cuando aquellos sean razonables, proporcionales y no vulneren derechos fundamentales y en especial el derecho a la igualdad. Por ende, la admisión debe corresponder a criterios objetivos de mérito académico individual.</w:t>
      </w:r>
      <w:r w:rsidRPr="00EC6FCF">
        <w:rPr>
          <w:rFonts w:ascii="Verdana" w:hAnsi="Verdana" w:cs="Verdana"/>
          <w:i/>
          <w:iCs/>
          <w:kern w:val="0"/>
          <w:sz w:val="20"/>
          <w:szCs w:val="20"/>
        </w:rPr>
        <w:t>  </w:t>
      </w:r>
    </w:p>
    <w:p w14:paraId="1FB516E8" w14:textId="77777777" w:rsidR="00C84FDE" w:rsidRPr="00EC6FCF" w:rsidRDefault="00C84FDE" w:rsidP="00C84FDE">
      <w:pPr>
        <w:autoSpaceDE w:val="0"/>
        <w:autoSpaceDN w:val="0"/>
        <w:adjustRightInd w:val="0"/>
        <w:spacing w:after="0" w:line="240" w:lineRule="auto"/>
        <w:jc w:val="both"/>
        <w:rPr>
          <w:rFonts w:ascii="Verdana" w:hAnsi="Verdana" w:cs="Segoe UI"/>
          <w:i/>
          <w:iCs/>
          <w:kern w:val="0"/>
          <w:sz w:val="16"/>
          <w:szCs w:val="16"/>
        </w:rPr>
      </w:pPr>
      <w:r w:rsidRPr="00EC6FCF">
        <w:rPr>
          <w:rFonts w:ascii="Verdana" w:hAnsi="Verdana" w:cs="Verdana"/>
          <w:i/>
          <w:iCs/>
          <w:kern w:val="0"/>
          <w:sz w:val="20"/>
          <w:szCs w:val="20"/>
          <w:lang w:val="es-MX"/>
        </w:rPr>
        <w:t>h) Los criterios para determinar las calificaciones mínimas deben regularse por reglamento, esto es corresponden a la autonomía universitaria.</w:t>
      </w:r>
      <w:r w:rsidRPr="00EC6FCF">
        <w:rPr>
          <w:rFonts w:ascii="Verdana" w:hAnsi="Verdana" w:cs="Verdana"/>
          <w:i/>
          <w:iCs/>
          <w:kern w:val="0"/>
          <w:sz w:val="20"/>
          <w:szCs w:val="20"/>
        </w:rPr>
        <w:t>  </w:t>
      </w:r>
    </w:p>
    <w:p w14:paraId="013C86B2" w14:textId="77777777" w:rsidR="00C84FDE" w:rsidRPr="00EC6FCF" w:rsidRDefault="00C84FDE" w:rsidP="00C84FDE">
      <w:pPr>
        <w:autoSpaceDE w:val="0"/>
        <w:autoSpaceDN w:val="0"/>
        <w:adjustRightInd w:val="0"/>
        <w:spacing w:after="0" w:line="240" w:lineRule="auto"/>
        <w:jc w:val="both"/>
        <w:rPr>
          <w:rFonts w:ascii="Verdana" w:hAnsi="Verdana" w:cs="Arial"/>
          <w:i/>
          <w:iCs/>
          <w:kern w:val="0"/>
          <w:sz w:val="20"/>
          <w:szCs w:val="20"/>
        </w:rPr>
      </w:pPr>
      <w:r w:rsidRPr="00EC6FCF">
        <w:rPr>
          <w:rFonts w:ascii="Verdana" w:hAnsi="Verdana" w:cs="Verdana"/>
          <w:i/>
          <w:iCs/>
          <w:kern w:val="0"/>
          <w:sz w:val="20"/>
          <w:szCs w:val="20"/>
          <w:lang w:val="es-MX"/>
        </w:rPr>
        <w:t>i) Las sanciones académicas hacen parte de la autonomía universitaria. Sin embargo, son de naturaleza reglada, como quiera que las conductas que originan la sanción deben estar previamente determinadas en el reglamento. Así mismo, la imposición de sanciones está sometida a la aplicación del debido proceso y del derecho de defensa.</w:t>
      </w:r>
      <w:r w:rsidRPr="00EC6FCF">
        <w:rPr>
          <w:rFonts w:ascii="Verdana" w:hAnsi="Verdana" w:cs="Verdana"/>
          <w:i/>
          <w:iCs/>
          <w:kern w:val="0"/>
          <w:sz w:val="20"/>
          <w:szCs w:val="20"/>
        </w:rPr>
        <w:t> </w:t>
      </w:r>
    </w:p>
    <w:p w14:paraId="0A0807E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124B77C" w14:textId="552C8D0B" w:rsidR="00C84FDE" w:rsidRPr="00EC6FCF" w:rsidRDefault="007B5BFA">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B</w:t>
      </w:r>
      <w:r w:rsidR="007A24C5" w:rsidRPr="00EC6FCF">
        <w:rPr>
          <w:rFonts w:ascii="Verdana" w:hAnsi="Verdana" w:cs="Verdana"/>
          <w:bCs/>
          <w:kern w:val="0"/>
        </w:rPr>
        <w:t xml:space="preserve">. </w:t>
      </w:r>
      <w:r w:rsidR="00C84FDE" w:rsidRPr="00EC6FCF">
        <w:rPr>
          <w:rFonts w:ascii="Verdana" w:hAnsi="Verdana" w:cs="Verdana"/>
          <w:bCs/>
          <w:kern w:val="0"/>
        </w:rPr>
        <w:t>Excepción de falta de legitimación en la causa por pasiva </w:t>
      </w:r>
      <w:r w:rsidR="00C84FDE" w:rsidRPr="00EC6FCF">
        <w:rPr>
          <w:rFonts w:ascii="Verdana" w:hAnsi="Verdana" w:cs="Verdana"/>
          <w:bCs/>
          <w:kern w:val="0"/>
          <w:lang w:val="es-ES"/>
        </w:rPr>
        <w:t>del Ministerio de Educación Nacional en asuntos de IES</w:t>
      </w:r>
      <w:r w:rsidR="00C84FDE" w:rsidRPr="00EC6FCF">
        <w:rPr>
          <w:rFonts w:ascii="Verdana" w:hAnsi="Verdana" w:cs="Verdana"/>
          <w:kern w:val="0"/>
        </w:rPr>
        <w:t> </w:t>
      </w:r>
    </w:p>
    <w:p w14:paraId="289FF1B8"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1B08DDAA"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La Constitución Política de Colombia consagra el principio de la autonomía universitaria, desarrollado por la Ley 30 de 1992, la cual faculta a las instituciones de educación superior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su función institucional. </w:t>
      </w:r>
    </w:p>
    <w:p w14:paraId="3E2C709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9E9172B"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En su artículo 24 establece que </w:t>
      </w:r>
      <w:r w:rsidRPr="00EC6FCF">
        <w:rPr>
          <w:rFonts w:ascii="Verdana" w:hAnsi="Verdana" w:cs="Verdana"/>
          <w:i/>
          <w:iCs/>
          <w:kern w:val="0"/>
        </w:rPr>
        <w:t>“el título es el reconocimiento expreso de carácter académico, otorgado a una persona natural, a la culminación de un programa, por haber adquirido un saber determinado en una Institución de Educación Superior.</w:t>
      </w:r>
      <w:r w:rsidRPr="00EC6FCF">
        <w:rPr>
          <w:rFonts w:ascii="Verdana" w:hAnsi="Verdana" w:cs="Verdana"/>
          <w:kern w:val="0"/>
        </w:rPr>
        <w:t> Y es claro que el otorgamiento de títulos en la Educación Superior es de competencia exclusiva de las instituciones de ese nivel. </w:t>
      </w:r>
    </w:p>
    <w:p w14:paraId="0E2AA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1582EB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Así mismo, es necesario tener en consideración que el artículo 109 de la Ley 30 citada, señala que las instituciones de Educación Superior deberán tener un reglamento estudiantil que regule al menos los siguientes aspectos: Requisitos de inscripción, admisión y matrícula, derechos y deberes, distinciones e incentivos, régimen disciplinario y demás aspectos académicos. </w:t>
      </w:r>
    </w:p>
    <w:p w14:paraId="5A93E1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762BE091"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Es decir, cada institución de educación superior dentro de sus reglamentos internos determina las condiciones y requisitos que deben cumplirse al desarrollar un programa académico para que los egresados de los mismos sean aptos para otorgarles los títulos correspondientes. En este sentido debe tenerse en cuenta que los reglamentos hacen </w:t>
      </w:r>
      <w:r w:rsidRPr="00EC6FCF">
        <w:rPr>
          <w:rFonts w:ascii="Verdana" w:hAnsi="Verdana" w:cs="Verdana"/>
          <w:bCs/>
          <w:kern w:val="0"/>
        </w:rPr>
        <w:t>parte del contrato de matrícula que se suscribe entre el estudiante y la institución</w:t>
      </w:r>
      <w:r w:rsidRPr="00EC6FCF">
        <w:rPr>
          <w:rFonts w:ascii="Verdana" w:hAnsi="Verdana" w:cs="Verdana"/>
          <w:kern w:val="0"/>
        </w:rPr>
        <w:t> y sus condiciones deben ser respetadas y atendidas por ambas partes. </w:t>
      </w:r>
    </w:p>
    <w:p w14:paraId="0C53088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87ABB3E" w14:textId="77777777" w:rsidR="00C84FDE" w:rsidRPr="00EC6FCF" w:rsidRDefault="00C84FDE" w:rsidP="00C84FDE">
      <w:pPr>
        <w:autoSpaceDE w:val="0"/>
        <w:autoSpaceDN w:val="0"/>
        <w:adjustRightInd w:val="0"/>
        <w:spacing w:after="0" w:line="240" w:lineRule="auto"/>
        <w:ind w:left="705"/>
        <w:jc w:val="both"/>
        <w:rPr>
          <w:rFonts w:ascii="Verdana" w:hAnsi="Verdana" w:cs="Arial"/>
          <w:kern w:val="0"/>
          <w:sz w:val="20"/>
          <w:szCs w:val="20"/>
        </w:rPr>
      </w:pPr>
      <w:r w:rsidRPr="00EC6FCF">
        <w:rPr>
          <w:rFonts w:ascii="Verdana" w:hAnsi="Verdana" w:cs="Verdana"/>
          <w:bCs/>
          <w:i/>
          <w:iCs/>
          <w:kern w:val="0"/>
          <w:sz w:val="20"/>
          <w:szCs w:val="20"/>
        </w:rPr>
        <w:t>“Artículo   28.</w:t>
      </w:r>
      <w:r w:rsidRPr="00EC6FCF">
        <w:rPr>
          <w:rFonts w:ascii="Verdana" w:hAnsi="Verdana" w:cs="Verdana"/>
          <w:i/>
          <w:iCs/>
          <w:kern w:val="0"/>
          <w:sz w:val="20"/>
          <w:szCs w:val="20"/>
        </w:rPr>
        <w:t> La autonomía universitaria consagrada en la Constitución Política de Colombia y de conformidad con la presente ley, reconoce a las universidades el derecho a darse y modificar sus estatutos, designar sus autoridades académicas y administrativas, crear, organizar y desarrollar sus programas académicos, definir y organizar sus labores formativas, académicas, docentes, científicas y culturales, otorgar los títulos correspondientes, seleccionar a sus profesores, admitir a sus alumnos y adoptar sus correspondientes regímenes, y establecer, arbitrar y aplicar sus recursos para el cumplimiento de su misión social y de función institucional.”  (subrayado fuera de texto)</w:t>
      </w:r>
      <w:r w:rsidRPr="00EC6FCF">
        <w:rPr>
          <w:rFonts w:ascii="Verdana" w:hAnsi="Verdana" w:cs="Verdana"/>
          <w:kern w:val="0"/>
          <w:sz w:val="20"/>
          <w:szCs w:val="20"/>
        </w:rPr>
        <w:t> </w:t>
      </w:r>
    </w:p>
    <w:p w14:paraId="476E2D1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p>
    <w:p w14:paraId="68C39C19"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bCs/>
          <w:i/>
          <w:iCs/>
          <w:kern w:val="0"/>
          <w:sz w:val="20"/>
          <w:szCs w:val="20"/>
        </w:rPr>
        <w:t>“Artículo   29</w:t>
      </w:r>
      <w:r w:rsidRPr="00EC6FCF">
        <w:rPr>
          <w:rFonts w:ascii="Verdana" w:hAnsi="Verdana" w:cs="Verdana"/>
          <w:i/>
          <w:iCs/>
          <w:kern w:val="0"/>
          <w:sz w:val="20"/>
          <w:szCs w:val="20"/>
        </w:rPr>
        <w:t>. La autonomía de las instituciones universitarias, o, escuelas tecnológicas y de las instituciones técnicas profesionales estará determinada por su campo de acción y de acuerdo con la presente ley, en los siguientes aspectos:</w:t>
      </w:r>
      <w:r w:rsidRPr="00EC6FCF">
        <w:rPr>
          <w:rFonts w:ascii="Verdana" w:hAnsi="Verdana" w:cs="Verdana"/>
          <w:kern w:val="0"/>
          <w:sz w:val="20"/>
          <w:szCs w:val="20"/>
        </w:rPr>
        <w:t> </w:t>
      </w:r>
    </w:p>
    <w:p w14:paraId="33484A64"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Verdana"/>
          <w:i/>
          <w:iCs/>
          <w:kern w:val="0"/>
          <w:sz w:val="20"/>
          <w:szCs w:val="20"/>
          <w:lang w:val="es-ES"/>
        </w:rPr>
        <w:t>a. Darse y modificar sus estatutos;</w:t>
      </w:r>
      <w:r w:rsidRPr="00EC6FCF">
        <w:rPr>
          <w:rFonts w:ascii="Verdana" w:hAnsi="Verdana" w:cs="Verdana"/>
          <w:kern w:val="0"/>
          <w:sz w:val="20"/>
          <w:szCs w:val="20"/>
        </w:rPr>
        <w:t> </w:t>
      </w:r>
    </w:p>
    <w:p w14:paraId="775AB9F6" w14:textId="77777777" w:rsidR="00C84FDE" w:rsidRPr="00EC6FCF" w:rsidRDefault="00C84FDE" w:rsidP="00C84FDE">
      <w:pPr>
        <w:autoSpaceDE w:val="0"/>
        <w:autoSpaceDN w:val="0"/>
        <w:adjustRightInd w:val="0"/>
        <w:spacing w:after="0" w:line="240" w:lineRule="auto"/>
        <w:ind w:left="705"/>
        <w:rPr>
          <w:rFonts w:ascii="Verdana" w:hAnsi="Verdana" w:cs="Segoe UI"/>
          <w:kern w:val="0"/>
          <w:sz w:val="18"/>
          <w:szCs w:val="18"/>
        </w:rPr>
      </w:pPr>
      <w:r w:rsidRPr="00EC6FCF">
        <w:rPr>
          <w:rFonts w:ascii="Verdana" w:hAnsi="Verdana" w:cs="Verdana"/>
          <w:i/>
          <w:iCs/>
          <w:kern w:val="0"/>
          <w:sz w:val="20"/>
          <w:szCs w:val="20"/>
          <w:lang w:val="es-ES"/>
        </w:rPr>
        <w:t>b. Designar sus autoridades académicas y administrativas;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c. Crear, desarrollar sus programas académicos, lo mismo que expedir los correspondientes títulos;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d. Definir y organizar sus labores formativas, académicas, docentes, científicas, culturales y de extensión;</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e. Seleccionar y vincular a sus docentes, lo mismo que sus alumnos;</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f. Adoptar el régimen de alumnos y docentes, y</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g. Arbitrar y aplicar sus recursos para el cumplimiento de su misión social y de su función institucional.</w:t>
      </w: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lang w:val="es-ES"/>
        </w:rPr>
        <w:t>(…).”</w:t>
      </w:r>
      <w:r w:rsidRPr="00EC6FCF">
        <w:rPr>
          <w:rFonts w:ascii="Verdana" w:hAnsi="Verdana" w:cs="Verdana"/>
          <w:kern w:val="0"/>
          <w:sz w:val="20"/>
          <w:szCs w:val="20"/>
        </w:rPr>
        <w:t> </w:t>
      </w:r>
    </w:p>
    <w:p w14:paraId="6E9D183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Sobre la autonomía universitaria la Corte Constitucional ha señalado en reiteradas sentencias como la C-491 de 2016, que: </w:t>
      </w:r>
    </w:p>
    <w:p w14:paraId="1BB5D32A"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w:t>
      </w:r>
      <w:r w:rsidRPr="00EC6FCF">
        <w:rPr>
          <w:rFonts w:ascii="Verdana" w:hAnsi="Verdana" w:cs="Verdana"/>
          <w:i/>
          <w:iCs/>
          <w:kern w:val="0"/>
          <w:sz w:val="20"/>
          <w:szCs w:val="20"/>
          <w:highlight w:val="white"/>
        </w:rPr>
        <w:t>Podemos deducir dos grandes vertientes que definen el contenido de la autonomía de las instituciones educativas superiores. De un lado, la </w:t>
      </w:r>
      <w:r w:rsidRPr="00EC6FCF">
        <w:rPr>
          <w:rFonts w:ascii="Verdana" w:hAnsi="Verdana" w:cs="Verdana"/>
          <w:bCs/>
          <w:i/>
          <w:iCs/>
          <w:kern w:val="0"/>
          <w:sz w:val="20"/>
          <w:szCs w:val="20"/>
          <w:highlight w:val="white"/>
        </w:rPr>
        <w:t>dirección ideológica</w:t>
      </w:r>
      <w:r w:rsidRPr="00EC6FCF">
        <w:rPr>
          <w:rFonts w:ascii="Verdana" w:hAnsi="Verdana" w:cs="Verdana"/>
          <w:i/>
          <w:iCs/>
          <w:kern w:val="0"/>
          <w:sz w:val="20"/>
          <w:szCs w:val="20"/>
          <w:highlight w:val="white"/>
        </w:rPr>
        <w:t> del centro educativo, lo cual determina su particularidad y su especial condición filosófica en la sociedad pluralista y participativa. </w:t>
      </w:r>
      <w:r w:rsidRPr="00EC6FCF">
        <w:rPr>
          <w:rFonts w:ascii="Verdana" w:hAnsi="Verdana" w:cs="Verdana"/>
          <w:bCs/>
          <w:i/>
          <w:iCs/>
          <w:kern w:val="0"/>
          <w:sz w:val="20"/>
          <w:szCs w:val="20"/>
          <w:highlight w:val="white"/>
        </w:rPr>
        <w:t xml:space="preserve">Para ello la universidad cuenta con la potestad de señalar los planes de estudio y los </w:t>
      </w:r>
      <w:r w:rsidRPr="00EC6FCF">
        <w:rPr>
          <w:rFonts w:ascii="Verdana" w:hAnsi="Verdana" w:cs="Verdana"/>
          <w:bCs/>
          <w:i/>
          <w:iCs/>
          <w:kern w:val="0"/>
          <w:sz w:val="20"/>
          <w:szCs w:val="20"/>
          <w:highlight w:val="white"/>
        </w:rPr>
        <w:lastRenderedPageBreak/>
        <w:t>métodos y sistemas de investigación</w:t>
      </w:r>
      <w:r w:rsidRPr="00EC6FCF">
        <w:rPr>
          <w:rFonts w:ascii="Verdana" w:hAnsi="Verdana" w:cs="Verdana"/>
          <w:i/>
          <w:iCs/>
          <w:kern w:val="0"/>
          <w:sz w:val="20"/>
          <w:szCs w:val="20"/>
          <w:highlight w:val="white"/>
        </w:rPr>
        <w:t>. Y, de otro lado, la potestad para </w:t>
      </w:r>
      <w:r w:rsidRPr="00EC6FCF">
        <w:rPr>
          <w:rFonts w:ascii="Verdana" w:hAnsi="Verdana" w:cs="Verdana"/>
          <w:bCs/>
          <w:i/>
          <w:iCs/>
          <w:kern w:val="0"/>
          <w:sz w:val="20"/>
          <w:szCs w:val="20"/>
          <w:highlight w:val="white"/>
        </w:rPr>
        <w:t>dotarse de su propia organización interna, lo cual se concreta en las normas de funcionamiento y de gestión administrativa</w:t>
      </w:r>
      <w:r w:rsidRPr="00EC6FCF">
        <w:rPr>
          <w:rFonts w:ascii="Verdana" w:hAnsi="Verdana" w:cs="Verdana"/>
          <w:i/>
          <w:iCs/>
          <w:kern w:val="0"/>
          <w:sz w:val="20"/>
          <w:szCs w:val="20"/>
          <w:highlight w:val="white"/>
        </w:rPr>
        <w:t>, en el sistema de elaboración y aprobación de su presupuesto, la administración de sus bienes, la selección y formación de sus docentes” (subrayado y negrillas fuera de texto)</w:t>
      </w:r>
      <w:r w:rsidRPr="00EC6FCF">
        <w:rPr>
          <w:rFonts w:ascii="Verdana" w:hAnsi="Verdana" w:cs="Verdana"/>
          <w:kern w:val="0"/>
          <w:sz w:val="20"/>
          <w:szCs w:val="20"/>
        </w:rPr>
        <w:t> </w:t>
      </w:r>
    </w:p>
    <w:p w14:paraId="2972B120"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Es así, que al contrastar la interpretación constitucional con las normas en cita se puede establecer que los temas contemplados dentro del manejo de la autonomía universitaria en las instituciones de educación superior son de amplio alcance, es decir, estos abarcan temas académicos, ideológicos, política administrativa y de manejo de recursos. Al respecto, la Corte Constitucional establece en la sentencia citada la capacidad de acción de los entes educativos de educación superior de la siguiente manera: </w:t>
      </w:r>
    </w:p>
    <w:p w14:paraId="3001DB50"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highlight w:val="white"/>
        </w:rPr>
        <w:t>“Por tanto, conforme a la Constitución y la Ley, la capacidad de acción de las universidades se resume en las facultades de: (i) darse y modificar sus estatutos, (ii) establecer los mecanismos que faciliten la elección, designación y períodos de sus directivos y administradores, (iii) desarrollar sus planes de estudio y sus programas académicos, formativos, docentes, científicos y culturales, (iii) seleccionar a sus profesores y admitir a sus alumnos, (iv) asumir la elaboración y aprobación de sus presupuestos y (v) administrar sus propios bienes y recursos</w:t>
      </w:r>
      <w:r w:rsidRPr="00EC6FCF">
        <w:rPr>
          <w:rFonts w:ascii="Verdana" w:hAnsi="Verdana" w:cs="Verdana"/>
          <w:i/>
          <w:iCs/>
          <w:kern w:val="0"/>
          <w:sz w:val="20"/>
          <w:szCs w:val="20"/>
        </w:rPr>
        <w:t>”</w:t>
      </w:r>
      <w:r w:rsidRPr="00EC6FCF">
        <w:rPr>
          <w:rFonts w:ascii="Verdana" w:hAnsi="Verdana" w:cs="Verdana"/>
          <w:kern w:val="0"/>
          <w:sz w:val="20"/>
          <w:szCs w:val="20"/>
        </w:rPr>
        <w:t> </w:t>
      </w:r>
    </w:p>
    <w:p w14:paraId="524758D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Si bien es cierto que, la autonomía universitaria tiene un amplio margen de configuración, no lo es menos que esta tiene límites fijados en la constitución y en la ley, que han sido definidos por la Corte Constitucional en diferentes providencias entre ellas la sentencia C-704 de 2010, que expone: </w:t>
      </w:r>
    </w:p>
    <w:p w14:paraId="1628F718" w14:textId="77777777" w:rsidR="00C84FDE" w:rsidRPr="00EC6FCF" w:rsidRDefault="00C84FDE" w:rsidP="00C84FDE">
      <w:pPr>
        <w:autoSpaceDE w:val="0"/>
        <w:autoSpaceDN w:val="0"/>
        <w:adjustRightInd w:val="0"/>
        <w:spacing w:after="0" w:line="240" w:lineRule="auto"/>
        <w:ind w:left="705"/>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highlight w:val="white"/>
        </w:rPr>
        <w:t>“La jurisprudencia de esta Corporación ha puesto de manifiesto que diversos preceptos constitucionales </w:t>
      </w:r>
      <w:r w:rsidRPr="00EC6FCF">
        <w:rPr>
          <w:rFonts w:ascii="Verdana" w:hAnsi="Verdana" w:cs="Verdana"/>
          <w:bCs/>
          <w:i/>
          <w:iCs/>
          <w:kern w:val="0"/>
          <w:sz w:val="20"/>
          <w:szCs w:val="20"/>
          <w:highlight w:val="white"/>
        </w:rPr>
        <w:t>fijan límites</w:t>
      </w:r>
      <w:r w:rsidRPr="00EC6FCF">
        <w:rPr>
          <w:rFonts w:ascii="Verdana" w:hAnsi="Verdana" w:cs="Verdana"/>
          <w:i/>
          <w:iCs/>
          <w:kern w:val="0"/>
          <w:sz w:val="20"/>
          <w:szCs w:val="20"/>
          <w:highlight w:val="white"/>
        </w:rPr>
        <w:t> a la autonomía universitaria, como por ejemplo: (i) la facultad reconocida al Estado para regular y ejercer la suprema </w:t>
      </w:r>
      <w:r w:rsidRPr="00EC6FCF">
        <w:rPr>
          <w:rFonts w:ascii="Verdana" w:hAnsi="Verdana" w:cs="Verdana"/>
          <w:bCs/>
          <w:i/>
          <w:iCs/>
          <w:kern w:val="0"/>
          <w:sz w:val="20"/>
          <w:szCs w:val="20"/>
          <w:highlight w:val="white"/>
        </w:rPr>
        <w:t>inspección y vigilancia de la educación</w:t>
      </w:r>
      <w:r w:rsidRPr="00EC6FCF">
        <w:rPr>
          <w:rFonts w:ascii="Verdana" w:hAnsi="Verdana" w:cs="Verdana"/>
          <w:i/>
          <w:iCs/>
          <w:kern w:val="0"/>
          <w:sz w:val="20"/>
          <w:szCs w:val="20"/>
          <w:highlight w:val="white"/>
        </w:rPr>
        <w:t> (art. 67 CP); (ii) </w:t>
      </w:r>
      <w:r w:rsidRPr="00EC6FCF">
        <w:rPr>
          <w:rFonts w:ascii="Verdana" w:hAnsi="Verdana" w:cs="Verdana"/>
          <w:bCs/>
          <w:i/>
          <w:iCs/>
          <w:kern w:val="0"/>
          <w:sz w:val="20"/>
          <w:szCs w:val="20"/>
          <w:highlight w:val="white"/>
        </w:rPr>
        <w:t>la competencia atribuida al legislador para expedir las disposiciones generales</w:t>
      </w:r>
      <w:r w:rsidRPr="00EC6FCF">
        <w:rPr>
          <w:rFonts w:ascii="Verdana" w:hAnsi="Verdana" w:cs="Verdana"/>
          <w:i/>
          <w:iCs/>
          <w:kern w:val="0"/>
          <w:sz w:val="20"/>
          <w:szCs w:val="20"/>
          <w:highlight w:val="white"/>
        </w:rPr>
        <w:t> con arreglo a las cuales las universidades pueden darse sus directivas y regirse por sus propios estatutos (art. 69 CP); (iii) la </w:t>
      </w:r>
      <w:r w:rsidRPr="00EC6FCF">
        <w:rPr>
          <w:rFonts w:ascii="Verdana" w:hAnsi="Verdana" w:cs="Verdana"/>
          <w:bCs/>
          <w:i/>
          <w:iCs/>
          <w:kern w:val="0"/>
          <w:sz w:val="20"/>
          <w:szCs w:val="20"/>
          <w:highlight w:val="white"/>
        </w:rPr>
        <w:t>facultad de configuración legislativa para expedir las leyes que regirán la prestación efectiva de los servicios públicos</w:t>
      </w:r>
      <w:r w:rsidRPr="00EC6FCF">
        <w:rPr>
          <w:rFonts w:ascii="Verdana" w:hAnsi="Verdana" w:cs="Verdana"/>
          <w:i/>
          <w:iCs/>
          <w:kern w:val="0"/>
          <w:sz w:val="20"/>
          <w:szCs w:val="20"/>
          <w:highlight w:val="white"/>
        </w:rPr>
        <w:t> (art. 150-23 CP); y (iv) </w:t>
      </w:r>
      <w:r w:rsidRPr="00EC6FCF">
        <w:rPr>
          <w:rFonts w:ascii="Verdana" w:hAnsi="Verdana" w:cs="Verdana"/>
          <w:bCs/>
          <w:i/>
          <w:iCs/>
          <w:kern w:val="0"/>
          <w:sz w:val="20"/>
          <w:szCs w:val="20"/>
          <w:highlight w:val="white"/>
        </w:rPr>
        <w:t>el respeto por el ejercicio legítimo de los derechos fundamentales</w:t>
      </w:r>
      <w:r w:rsidRPr="00EC6FCF">
        <w:rPr>
          <w:rFonts w:ascii="Verdana" w:hAnsi="Verdana" w:cs="Verdana"/>
          <w:i/>
          <w:iCs/>
          <w:kern w:val="0"/>
          <w:sz w:val="20"/>
          <w:szCs w:val="20"/>
          <w:highlight w:val="white"/>
        </w:rPr>
        <w:t> (Título II, Capítulo II de la Constitución)” </w:t>
      </w:r>
      <w:r w:rsidRPr="00EC6FCF">
        <w:rPr>
          <w:rFonts w:ascii="Verdana" w:hAnsi="Verdana" w:cs="Verdana"/>
          <w:kern w:val="0"/>
          <w:sz w:val="20"/>
          <w:szCs w:val="20"/>
          <w:highlight w:val="white"/>
        </w:rPr>
        <w:t>(subrayado fuera de texto)</w:t>
      </w:r>
      <w:r w:rsidRPr="00EC6FCF">
        <w:rPr>
          <w:rFonts w:ascii="Verdana" w:hAnsi="Verdana" w:cs="Verdana"/>
          <w:kern w:val="0"/>
          <w:sz w:val="20"/>
          <w:szCs w:val="20"/>
        </w:rPr>
        <w:t> </w:t>
      </w:r>
    </w:p>
    <w:p w14:paraId="3C9C2145"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bien, debido a que uno de los límites fijados a la autonomía universitaria es la facultad del Estado de ejercer la inspección y vigilancia de la educación, se procederá a explicar en qué consiste la misma. </w:t>
      </w:r>
    </w:p>
    <w:p w14:paraId="4CB52DD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5DAC0F15"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De la función de inspección y vigilancia del Ministerio de Educación Nacional</w:t>
      </w:r>
      <w:r w:rsidRPr="00EC6FCF">
        <w:rPr>
          <w:rFonts w:ascii="Verdana" w:hAnsi="Verdana" w:cs="Verdana"/>
          <w:kern w:val="0"/>
        </w:rPr>
        <w:t> </w:t>
      </w:r>
    </w:p>
    <w:p w14:paraId="2CCB7624"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si bien es cierto que la misma Constitución Política le asigna al Estado la suprema inspección y vigilancia de la Educación Superior en sus artículos 67, 189 - numerales 21, 22 y 26, así como en su artículo 365, esa inspección y vigilancia tiene dos grandes características :1) No anula ni coarta la autonomía universitaria, y 2) No es ilimitada, sino que solamente puede ser ejercida dentro de las reglas que fije el Congreso de la República mediante Ley. </w:t>
      </w:r>
    </w:p>
    <w:p w14:paraId="148010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relación con la primera característica, debemos señalar que mediante la ley 1740 de 2014, por la cual se desarrolla parcialmente el artículo 67 y los numerales 21, 22 y 26 del artículo 189 de la constitución política, se regula la inspección y vigilancia de la educación superior, se modifica parcialmente la ley 30 de 1992 y se dictan otras disposiciones y dispuso al respecto en sus artículos 1 y 2 lo siguiente: </w:t>
      </w:r>
    </w:p>
    <w:p w14:paraId="101649B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sz w:val="20"/>
          <w:szCs w:val="20"/>
        </w:rPr>
        <w:t> </w:t>
      </w:r>
    </w:p>
    <w:p w14:paraId="421791E1"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i/>
          <w:iCs/>
          <w:kern w:val="0"/>
          <w:sz w:val="20"/>
          <w:szCs w:val="20"/>
        </w:rPr>
        <w:t>“ARTÍCULO 1°: FINALIDAD.  La finalidad de la presente ley es establecer las </w:t>
      </w:r>
      <w:r w:rsidRPr="00EC6FCF">
        <w:rPr>
          <w:rFonts w:ascii="Verdana" w:hAnsi="Verdana" w:cs="Verdana"/>
          <w:bCs/>
          <w:i/>
          <w:iCs/>
          <w:kern w:val="0"/>
          <w:sz w:val="20"/>
          <w:szCs w:val="20"/>
        </w:rPr>
        <w:t>normas de la inspección y vigilancia </w:t>
      </w:r>
      <w:r w:rsidRPr="00EC6FCF">
        <w:rPr>
          <w:rFonts w:ascii="Verdana" w:hAnsi="Verdana" w:cs="Verdana"/>
          <w:i/>
          <w:iCs/>
          <w:kern w:val="0"/>
          <w:sz w:val="20"/>
          <w:szCs w:val="20"/>
        </w:rPr>
        <w:t xml:space="preserve">de la educación superior en </w:t>
      </w:r>
      <w:r w:rsidRPr="00EC6FCF">
        <w:rPr>
          <w:rFonts w:ascii="Verdana" w:hAnsi="Verdana" w:cs="Verdana"/>
          <w:i/>
          <w:iCs/>
          <w:kern w:val="0"/>
          <w:sz w:val="20"/>
          <w:szCs w:val="20"/>
        </w:rPr>
        <w:lastRenderedPageBreak/>
        <w:t>Colombia, con el fin de velar por la calidad de este servicio público, su continuidad, la mejor formación moral, intelectual y física de los educandos, el cumplimiento de sus objetivos, el adecuado cubrimiento del servicio y porque en las instituciones de educación superior sus rentas se conserven y se apliquen debidamente, </w:t>
      </w:r>
      <w:r w:rsidRPr="00EC6FCF">
        <w:rPr>
          <w:rFonts w:ascii="Verdana" w:hAnsi="Verdana" w:cs="Verdana"/>
          <w:bCs/>
          <w:i/>
          <w:iCs/>
          <w:kern w:val="0"/>
          <w:sz w:val="20"/>
          <w:szCs w:val="20"/>
        </w:rPr>
        <w:t>garantizando siempre la autonomía universitaria constitucionalmente establecida.</w:t>
      </w:r>
      <w:r w:rsidRPr="00EC6FCF">
        <w:rPr>
          <w:rFonts w:ascii="Verdana" w:hAnsi="Verdana" w:cs="Verdana"/>
          <w:i/>
          <w:iCs/>
          <w:kern w:val="0"/>
          <w:sz w:val="20"/>
          <w:szCs w:val="20"/>
        </w:rPr>
        <w:t>”</w:t>
      </w:r>
      <w:r w:rsidRPr="00EC6FCF">
        <w:rPr>
          <w:rFonts w:ascii="Verdana" w:hAnsi="Verdana" w:cs="Verdana"/>
          <w:kern w:val="0"/>
          <w:sz w:val="20"/>
          <w:szCs w:val="20"/>
        </w:rPr>
        <w:t> </w:t>
      </w:r>
    </w:p>
    <w:p w14:paraId="1D4443C0"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“ARTICULO 2: PREVENCION. El Ministerio de Educación Nacional propenderá por el desarrollo de un proceso de evaluación que apoye, fomente y dignifique la Educación Superior, velando por la prevención, como uno de los elementos de la inspección y vigilancia, en los siguientes aspectos: </w:t>
      </w:r>
      <w:r w:rsidRPr="00EC6FCF">
        <w:rPr>
          <w:rFonts w:ascii="Verdana" w:hAnsi="Verdana" w:cs="Verdana"/>
          <w:kern w:val="0"/>
          <w:sz w:val="20"/>
          <w:szCs w:val="20"/>
        </w:rPr>
        <w:t> </w:t>
      </w:r>
    </w:p>
    <w:p w14:paraId="5EE7DC83" w14:textId="77777777" w:rsidR="00C84FDE" w:rsidRPr="00EC6FCF" w:rsidRDefault="00C84FDE" w:rsidP="00C84FDE">
      <w:pPr>
        <w:autoSpaceDE w:val="0"/>
        <w:autoSpaceDN w:val="0"/>
        <w:adjustRightInd w:val="0"/>
        <w:spacing w:after="0" w:line="240" w:lineRule="auto"/>
        <w:ind w:left="420" w:right="33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bCs/>
          <w:i/>
          <w:iCs/>
          <w:kern w:val="0"/>
          <w:sz w:val="20"/>
          <w:szCs w:val="20"/>
        </w:rPr>
        <w:t>La calidad de la Educación Superior dentro del respeto a la autonomía universitaria y a las libertades de enseñanza, aprendizaje, investigación y cátedra” </w:t>
      </w:r>
      <w:r w:rsidRPr="00EC6FCF">
        <w:rPr>
          <w:rFonts w:ascii="Verdana" w:hAnsi="Verdana" w:cs="Verdana"/>
          <w:kern w:val="0"/>
          <w:sz w:val="20"/>
          <w:szCs w:val="20"/>
        </w:rPr>
        <w:t>(subrayado y negrilla fuera de texto) </w:t>
      </w:r>
    </w:p>
    <w:p w14:paraId="00037D89" w14:textId="77777777" w:rsidR="00C84FDE" w:rsidRPr="00EC6FCF" w:rsidRDefault="00C84FDE" w:rsidP="00C84FDE">
      <w:pPr>
        <w:autoSpaceDE w:val="0"/>
        <w:autoSpaceDN w:val="0"/>
        <w:adjustRightInd w:val="0"/>
        <w:spacing w:after="0" w:line="240" w:lineRule="auto"/>
        <w:ind w:right="45" w:firstLine="420"/>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Las normas transcritas son claras en señalar que el </w:t>
      </w:r>
      <w:r w:rsidRPr="00EC6FCF">
        <w:rPr>
          <w:rFonts w:ascii="Verdana" w:hAnsi="Verdana" w:cs="Verdana"/>
          <w:bCs/>
          <w:kern w:val="0"/>
        </w:rPr>
        <w:t>ejercicio de las funciones de inspección y vigilancia no pueden afectar ni vulnerar el respeto a la autonomía universitaria</w:t>
      </w:r>
      <w:r w:rsidRPr="00EC6FCF">
        <w:rPr>
          <w:rFonts w:ascii="Verdana" w:hAnsi="Verdana" w:cs="Verdana"/>
          <w:kern w:val="0"/>
        </w:rPr>
        <w:t> que la constitución le otorga a las Instituciones de Educación Superior para autorregularse y para crear, ofrecer, desarrollar y titular sus programas académicos. </w:t>
      </w:r>
    </w:p>
    <w:p w14:paraId="20F3B27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Por ende, cuando el Ministerio de Educación Nacional ejerce las funciones de inspección y vigilancia de la educación superior que le delegó el presidente de la república mediante el Decreto 698 de 1993, sólo le está permitido hacer lo que señalan expresamente las normas legales y sin vulnerar la autonomía universitaria que la Constitución le garantiza a las instituciones de educación superior. </w:t>
      </w:r>
    </w:p>
    <w:p w14:paraId="4012FDFD"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manera particular, el Decreto 1075 de 2015 “Por medio del cual se expide el Decreto Único Reglamentario del Sector Educación”, dispone:  </w:t>
      </w:r>
    </w:p>
    <w:p w14:paraId="33A6AA6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kern w:val="0"/>
          <w:sz w:val="20"/>
          <w:szCs w:val="20"/>
        </w:rPr>
        <w:t> </w:t>
      </w:r>
      <w:r w:rsidRPr="00EC6FCF">
        <w:rPr>
          <w:rFonts w:ascii="Verdana" w:hAnsi="Verdana" w:cs="Verdana"/>
          <w:i/>
          <w:iCs/>
          <w:kern w:val="0"/>
          <w:sz w:val="20"/>
          <w:szCs w:val="20"/>
        </w:rPr>
        <w:t>“ARTÍCULO 2.5.3.2.10.6. DEL EJERCICIO DE LA FUNCIÓN DE INSPECCIÓN Y VIGILANCIA. El Ministerio de Educación Nacional podrá adelantar en cualquier momento la verificación de las condiciones de calidad bajo las cuales se ofrece y desarrolla un programa académico de educación superior.”</w:t>
      </w:r>
      <w:r w:rsidRPr="00EC6FCF">
        <w:rPr>
          <w:rFonts w:ascii="Verdana" w:hAnsi="Verdana" w:cs="Verdana"/>
          <w:kern w:val="0"/>
          <w:sz w:val="20"/>
          <w:szCs w:val="20"/>
        </w:rPr>
        <w:t> </w:t>
      </w:r>
    </w:p>
    <w:p w14:paraId="1BE38776"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Ahora bien, en virtud de las facultades de Vigilancia de las instituciones de educación superior, de conformidad con el artículo 9º de la Ley 1740 de 2014 </w:t>
      </w:r>
      <w:r w:rsidRPr="00EC6FCF">
        <w:rPr>
          <w:rFonts w:ascii="Verdana" w:hAnsi="Verdana" w:cs="Verdana"/>
          <w:i/>
          <w:iCs/>
          <w:kern w:val="0"/>
        </w:rPr>
        <w:t>"Por la cual se desarrolla parcialmente el Artículo 67 y los numerales 21, 22 Y 26 del Artículo 189 de la Constitución Política, se regula la Inspección y Vigilancia de la Educación Superior, se modifica parcialmente la Ley 30 de 1992 y se dictan otras disposiciones"</w:t>
      </w:r>
      <w:r w:rsidRPr="00EC6FCF">
        <w:rPr>
          <w:rFonts w:ascii="Verdana" w:hAnsi="Verdana" w:cs="Verdana"/>
          <w:kern w:val="0"/>
        </w:rPr>
        <w:t>, el </w:t>
      </w:r>
      <w:r w:rsidRPr="00EC6FCF">
        <w:rPr>
          <w:rFonts w:ascii="Verdana" w:hAnsi="Verdana" w:cs="Verdana"/>
          <w:bCs/>
          <w:kern w:val="0"/>
        </w:rPr>
        <w:t>Ministerio está dotado de instrumentos para intervenir a la institución de educación superior</w:t>
      </w:r>
      <w:r w:rsidRPr="00EC6FCF">
        <w:rPr>
          <w:rFonts w:ascii="Verdana" w:hAnsi="Verdana" w:cs="Verdana"/>
          <w:kern w:val="0"/>
        </w:rPr>
        <w:t> en aras de llegar a </w:t>
      </w:r>
      <w:r w:rsidRPr="00EC6FCF">
        <w:rPr>
          <w:rFonts w:ascii="Verdana" w:hAnsi="Verdana" w:cs="Verdana"/>
          <w:bCs/>
          <w:kern w:val="0"/>
        </w:rPr>
        <w:t>la corrección de situaciones que afecten la prestación efectiva del servicio educativo</w:t>
      </w:r>
      <w:r w:rsidRPr="00EC6FCF">
        <w:rPr>
          <w:rFonts w:ascii="Verdana" w:hAnsi="Verdana" w:cs="Verdana"/>
          <w:kern w:val="0"/>
        </w:rPr>
        <w:t>, así: </w:t>
      </w:r>
    </w:p>
    <w:p w14:paraId="02D07823"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“ARTÍCULO 9°: FUNCIONES DE VIGILANCIA. En ejercicio de la facultad de vigilancia de las instituciones de educación superior, el Ministerio de Educación Nacional, podrá: </w:t>
      </w:r>
      <w:r w:rsidRPr="00EC6FCF">
        <w:rPr>
          <w:rFonts w:ascii="Verdana" w:hAnsi="Verdana" w:cs="Verdana"/>
          <w:kern w:val="0"/>
          <w:sz w:val="20"/>
          <w:szCs w:val="20"/>
        </w:rPr>
        <w:t> </w:t>
      </w:r>
    </w:p>
    <w:p w14:paraId="129D880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 1. Hacer seguimiento a las actividades que desarrollan las instituciones de educación superior, con el objeto de velar por la prestación del servicio educativo en condiciones de calidad y continuidad. </w:t>
      </w:r>
      <w:r w:rsidRPr="00EC6FCF">
        <w:rPr>
          <w:rFonts w:ascii="Verdana" w:hAnsi="Verdana" w:cs="Verdana"/>
          <w:kern w:val="0"/>
          <w:sz w:val="20"/>
          <w:szCs w:val="20"/>
        </w:rPr>
        <w:t> </w:t>
      </w:r>
    </w:p>
    <w:p w14:paraId="4077EF3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2. Practicar visitas generales o específicas y adoptar las medidas a que haya lugar para que se subsanen las irregularidades que se detecten.</w:t>
      </w:r>
      <w:r w:rsidRPr="00EC6FCF">
        <w:rPr>
          <w:rFonts w:ascii="Verdana" w:hAnsi="Verdana" w:cs="Verdana"/>
          <w:kern w:val="0"/>
          <w:sz w:val="20"/>
          <w:szCs w:val="20"/>
        </w:rPr>
        <w:t> </w:t>
      </w:r>
    </w:p>
    <w:p w14:paraId="542152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3. Realizar auditorías sobre los procedimientos financieros y contables cuando sea necesario para el cabal cumplimiento de los objetivos y funciones.</w:t>
      </w:r>
      <w:r w:rsidRPr="00EC6FCF">
        <w:rPr>
          <w:rFonts w:ascii="Verdana" w:hAnsi="Verdana" w:cs="Verdana"/>
          <w:kern w:val="0"/>
          <w:sz w:val="20"/>
          <w:szCs w:val="20"/>
        </w:rPr>
        <w:t> </w:t>
      </w:r>
    </w:p>
    <w:p w14:paraId="1D6798FA"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 xml:space="preserve">4. Dar trámite a las reclamaciones o quejas que se presenten contra las instituciones vigiladas, por parte de quienes acrediten un interés jurídico, llevando a cabo las investigaciones que sean necesarias, con el fin de establecer las </w:t>
      </w:r>
      <w:r w:rsidRPr="00EC6FCF">
        <w:rPr>
          <w:rFonts w:ascii="Verdana" w:hAnsi="Verdana" w:cs="Verdana"/>
          <w:i/>
          <w:iCs/>
          <w:kern w:val="0"/>
          <w:sz w:val="20"/>
          <w:szCs w:val="20"/>
        </w:rPr>
        <w:lastRenderedPageBreak/>
        <w:t>responsabilidades administrativas o académicas del caso o adoptar las medidas que resulten pertinentes. Cuando se trate de asuntos contenciosos, dará traslado de las mismas a las autoridades competentes, si a ello hubiere lugar. </w:t>
      </w:r>
      <w:r w:rsidRPr="00EC6FCF">
        <w:rPr>
          <w:rFonts w:ascii="Verdana" w:hAnsi="Verdana" w:cs="Verdana"/>
          <w:kern w:val="0"/>
          <w:sz w:val="20"/>
          <w:szCs w:val="20"/>
        </w:rPr>
        <w:t> </w:t>
      </w:r>
    </w:p>
    <w:p w14:paraId="2A646E70"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5. Verificar que las actividades se desarrollen dentro de la ley, los reglamentos y los estatutos de la institución de educación superior y solicitar la cesación de las actuaciones contrarias al ordenamiento jurídico o a los estatutos.</w:t>
      </w:r>
      <w:r w:rsidRPr="00EC6FCF">
        <w:rPr>
          <w:rFonts w:ascii="Verdana" w:hAnsi="Verdana" w:cs="Verdana"/>
          <w:kern w:val="0"/>
          <w:sz w:val="20"/>
          <w:szCs w:val="20"/>
        </w:rPr>
        <w:t> </w:t>
      </w:r>
    </w:p>
    <w:p w14:paraId="69ED7A54"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6. Solicitar la rendición detallada de informes respecto de las decisiones adoptadas en temas relativos a su situación jurídica, contable, financiera y administrativa, o en aspectos relacionados con las condiciones de calidad establecidas en la normatividad vigente.</w:t>
      </w:r>
      <w:r w:rsidRPr="00EC6FCF">
        <w:rPr>
          <w:rFonts w:ascii="Verdana" w:hAnsi="Verdana" w:cs="Verdana"/>
          <w:kern w:val="0"/>
          <w:sz w:val="20"/>
          <w:szCs w:val="20"/>
        </w:rPr>
        <w:t> </w:t>
      </w:r>
    </w:p>
    <w:p w14:paraId="567AD8D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7. Hacer acompañamiento a la institución de educación superior, para la implementación de medidas encaminadas al restablecimiento de la continuidad del servicio o el mejoramiento de su calidad.  </w:t>
      </w:r>
      <w:r w:rsidRPr="00EC6FCF">
        <w:rPr>
          <w:rFonts w:ascii="Verdana" w:hAnsi="Verdana" w:cs="Verdana"/>
          <w:kern w:val="0"/>
          <w:sz w:val="20"/>
          <w:szCs w:val="20"/>
        </w:rPr>
        <w:t> </w:t>
      </w:r>
    </w:p>
    <w:p w14:paraId="41DD47EF"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sz w:val="20"/>
          <w:szCs w:val="20"/>
        </w:rPr>
        <w:t> </w:t>
      </w:r>
      <w:r w:rsidRPr="00EC6FCF">
        <w:rPr>
          <w:rFonts w:ascii="Verdana" w:hAnsi="Verdana" w:cs="Verdana"/>
          <w:kern w:val="0"/>
          <w:sz w:val="20"/>
          <w:szCs w:val="20"/>
        </w:rPr>
        <w:br/>
      </w:r>
      <w:r w:rsidRPr="00EC6FCF">
        <w:rPr>
          <w:rFonts w:ascii="Verdana" w:hAnsi="Verdana" w:cs="Verdana"/>
          <w:i/>
          <w:iCs/>
          <w:kern w:val="0"/>
          <w:sz w:val="20"/>
          <w:szCs w:val="20"/>
        </w:rPr>
        <w:t>8. Conminar bajo el apremio de multas sucesivas hasta de cien (100) salarios mínimos mensuales legales vigentes a representantes legales, rectores o a los miembros de los órganos de dirección para que se abstengan de realizar actos contrarios a la Constitución, la ley, los reglamentos y los estatutos, o de invertir y destinar recursos por fuera de la misión y de los fines de la institución de educación superior.”</w:t>
      </w:r>
      <w:r w:rsidRPr="00EC6FCF">
        <w:rPr>
          <w:rFonts w:ascii="Verdana" w:hAnsi="Verdana" w:cs="Verdana"/>
          <w:kern w:val="0"/>
          <w:sz w:val="20"/>
          <w:szCs w:val="20"/>
        </w:rPr>
        <w:t> </w:t>
      </w:r>
    </w:p>
    <w:p w14:paraId="611D6C85" w14:textId="77777777" w:rsidR="00C84FDE" w:rsidRPr="00EC6FCF" w:rsidRDefault="00C84FDE" w:rsidP="00C84FDE">
      <w:pPr>
        <w:autoSpaceDE w:val="0"/>
        <w:autoSpaceDN w:val="0"/>
        <w:adjustRightInd w:val="0"/>
        <w:spacing w:after="0" w:line="240" w:lineRule="auto"/>
        <w:ind w:left="270" w:right="330" w:hanging="270"/>
        <w:jc w:val="both"/>
        <w:rPr>
          <w:rFonts w:ascii="Verdana" w:hAnsi="Verdana" w:cs="Segoe UI"/>
          <w:kern w:val="0"/>
          <w:sz w:val="18"/>
          <w:szCs w:val="18"/>
        </w:rPr>
      </w:pPr>
      <w:r w:rsidRPr="00EC6FCF">
        <w:rPr>
          <w:rFonts w:ascii="Verdana" w:hAnsi="Verdana" w:cs="Verdana"/>
          <w:kern w:val="0"/>
        </w:rPr>
        <w:t> </w:t>
      </w:r>
    </w:p>
    <w:p w14:paraId="40D91C35" w14:textId="77777777" w:rsidR="00C84FDE" w:rsidRPr="00EC6FCF" w:rsidRDefault="00C84FDE" w:rsidP="00C84FDE">
      <w:pPr>
        <w:autoSpaceDE w:val="0"/>
        <w:autoSpaceDN w:val="0"/>
        <w:adjustRightInd w:val="0"/>
        <w:spacing w:after="0" w:line="240" w:lineRule="auto"/>
        <w:ind w:right="45"/>
        <w:jc w:val="both"/>
        <w:rPr>
          <w:rFonts w:ascii="Verdana" w:hAnsi="Verdana" w:cs="Segoe UI"/>
          <w:kern w:val="0"/>
          <w:sz w:val="18"/>
          <w:szCs w:val="18"/>
        </w:rPr>
      </w:pPr>
      <w:r w:rsidRPr="00EC6FCF">
        <w:rPr>
          <w:rFonts w:ascii="Verdana" w:hAnsi="Verdana" w:cs="Verdana"/>
          <w:kern w:val="0"/>
        </w:rPr>
        <w:t>Al respecto la Corte Constitucional en sentencia C-491 de 2016, estableció los casos en que es procedente la </w:t>
      </w:r>
      <w:r w:rsidRPr="00EC6FCF">
        <w:rPr>
          <w:rFonts w:ascii="Verdana" w:hAnsi="Verdana" w:cs="Verdana"/>
          <w:bCs/>
          <w:kern w:val="0"/>
          <w:u w:val="single"/>
        </w:rPr>
        <w:t>adopción de las medidas preventivas de vigilancia</w:t>
      </w:r>
      <w:r w:rsidRPr="00EC6FCF">
        <w:rPr>
          <w:rFonts w:ascii="Verdana" w:hAnsi="Verdana" w:cs="Verdana"/>
          <w:kern w:val="0"/>
        </w:rPr>
        <w:t> por parte del Ministerio de Educación, medida que debe ser ejercida bajo el marco de un proceso administrativo y que es procedente cuando: </w:t>
      </w:r>
    </w:p>
    <w:p w14:paraId="641BFAB0" w14:textId="77777777" w:rsidR="00C84FDE" w:rsidRPr="00EC6FCF" w:rsidRDefault="00C84FDE" w:rsidP="00C84FDE">
      <w:pPr>
        <w:autoSpaceDE w:val="0"/>
        <w:autoSpaceDN w:val="0"/>
        <w:adjustRightInd w:val="0"/>
        <w:spacing w:after="0" w:line="240" w:lineRule="auto"/>
        <w:ind w:right="330"/>
        <w:jc w:val="both"/>
        <w:rPr>
          <w:rFonts w:ascii="Verdana" w:hAnsi="Verdana" w:cs="Segoe UI"/>
          <w:kern w:val="0"/>
          <w:sz w:val="18"/>
          <w:szCs w:val="18"/>
        </w:rPr>
      </w:pPr>
      <w:r w:rsidRPr="00EC6FCF">
        <w:rPr>
          <w:rFonts w:ascii="Verdana" w:hAnsi="Verdana" w:cs="Verdana"/>
          <w:kern w:val="0"/>
        </w:rPr>
        <w:t> </w:t>
      </w:r>
    </w:p>
    <w:p w14:paraId="206D1F2F" w14:textId="77777777" w:rsidR="00C84FDE" w:rsidRPr="00EC6FCF" w:rsidRDefault="00C84FDE" w:rsidP="00C84FDE">
      <w:pPr>
        <w:autoSpaceDE w:val="0"/>
        <w:autoSpaceDN w:val="0"/>
        <w:adjustRightInd w:val="0"/>
        <w:spacing w:after="0" w:line="240" w:lineRule="auto"/>
        <w:ind w:left="270" w:right="330"/>
        <w:jc w:val="both"/>
        <w:rPr>
          <w:rFonts w:ascii="Verdana" w:hAnsi="Verdana" w:cs="Segoe UI"/>
          <w:kern w:val="0"/>
          <w:sz w:val="18"/>
          <w:szCs w:val="18"/>
        </w:rPr>
      </w:pPr>
      <w:r w:rsidRPr="00EC6FCF">
        <w:rPr>
          <w:rFonts w:ascii="Verdana" w:hAnsi="Verdana" w:cs="Verdana"/>
          <w:i/>
          <w:iCs/>
          <w:color w:val="000000"/>
          <w:kern w:val="0"/>
          <w:sz w:val="20"/>
          <w:szCs w:val="20"/>
          <w:highlight w:val="white"/>
        </w:rPr>
        <w:t>“En punto a la medida preventiva de </w:t>
      </w:r>
      <w:r w:rsidRPr="00EC6FCF">
        <w:rPr>
          <w:rFonts w:ascii="Verdana" w:hAnsi="Verdana" w:cs="Verdana"/>
          <w:bCs/>
          <w:i/>
          <w:iCs/>
          <w:color w:val="000000"/>
          <w:kern w:val="0"/>
          <w:sz w:val="20"/>
          <w:szCs w:val="20"/>
          <w:highlight w:val="white"/>
        </w:rPr>
        <w:t>vigilancia especial</w:t>
      </w:r>
      <w:r w:rsidRPr="00EC6FCF">
        <w:rPr>
          <w:rFonts w:ascii="Verdana" w:hAnsi="Verdana" w:cs="Verdana"/>
          <w:i/>
          <w:iCs/>
          <w:color w:val="000000"/>
          <w:kern w:val="0"/>
          <w:sz w:val="20"/>
          <w:szCs w:val="20"/>
          <w:highlight w:val="white"/>
        </w:rPr>
        <w:t>, la ley establece cinco causales para que la misma sea adoptada, cuando en una o varias de ellas incurre una institución de educación superior (art. 11). Ellas son: (a) La </w:t>
      </w:r>
      <w:r w:rsidRPr="00EC6FCF">
        <w:rPr>
          <w:rFonts w:ascii="Verdana" w:hAnsi="Verdana" w:cs="Verdana"/>
          <w:bCs/>
          <w:i/>
          <w:iCs/>
          <w:color w:val="000000"/>
          <w:kern w:val="0"/>
          <w:sz w:val="20"/>
          <w:szCs w:val="20"/>
          <w:highlight w:val="white"/>
        </w:rPr>
        <w:t>interrupción anormal</w:t>
      </w:r>
      <w:r w:rsidRPr="00EC6FCF">
        <w:rPr>
          <w:rFonts w:ascii="Verdana" w:hAnsi="Verdana" w:cs="Verdana"/>
          <w:i/>
          <w:iCs/>
          <w:color w:val="000000"/>
          <w:kern w:val="0"/>
          <w:sz w:val="20"/>
          <w:szCs w:val="20"/>
          <w:highlight w:val="white"/>
        </w:rPr>
        <w:t> grave en la prestación </w:t>
      </w:r>
      <w:r w:rsidRPr="00EC6FCF">
        <w:rPr>
          <w:rFonts w:ascii="Verdana" w:hAnsi="Verdana" w:cs="Verdana"/>
          <w:bCs/>
          <w:i/>
          <w:iCs/>
          <w:color w:val="000000"/>
          <w:kern w:val="0"/>
          <w:sz w:val="20"/>
          <w:szCs w:val="20"/>
          <w:highlight w:val="white"/>
        </w:rPr>
        <w:t>del servicio de educación</w:t>
      </w:r>
      <w:r w:rsidRPr="00EC6FCF">
        <w:rPr>
          <w:rFonts w:ascii="Verdana" w:hAnsi="Verdana" w:cs="Verdana"/>
          <w:i/>
          <w:iCs/>
          <w:color w:val="000000"/>
          <w:kern w:val="0"/>
          <w:sz w:val="20"/>
          <w:szCs w:val="20"/>
          <w:highlight w:val="white"/>
        </w:rPr>
        <w:t> a menos que dicha interrupción obedezca a fuerza mayor o protestas de agentes de la comunidad educativa; (b) La </w:t>
      </w:r>
      <w:r w:rsidRPr="00EC6FCF">
        <w:rPr>
          <w:rFonts w:ascii="Verdana" w:hAnsi="Verdana" w:cs="Verdana"/>
          <w:bCs/>
          <w:i/>
          <w:iCs/>
          <w:color w:val="000000"/>
          <w:kern w:val="0"/>
          <w:sz w:val="20"/>
          <w:szCs w:val="20"/>
          <w:highlight w:val="white"/>
        </w:rPr>
        <w:t>afectación grave</w:t>
      </w:r>
      <w:r w:rsidRPr="00EC6FCF">
        <w:rPr>
          <w:rFonts w:ascii="Verdana" w:hAnsi="Verdana" w:cs="Verdana"/>
          <w:i/>
          <w:iCs/>
          <w:color w:val="000000"/>
          <w:kern w:val="0"/>
          <w:sz w:val="20"/>
          <w:szCs w:val="20"/>
          <w:highlight w:val="white"/>
        </w:rPr>
        <w:t> de las condiciones de </w:t>
      </w:r>
      <w:r w:rsidRPr="00EC6FCF">
        <w:rPr>
          <w:rFonts w:ascii="Verdana" w:hAnsi="Verdana" w:cs="Verdana"/>
          <w:bCs/>
          <w:i/>
          <w:iCs/>
          <w:color w:val="000000"/>
          <w:kern w:val="0"/>
          <w:sz w:val="20"/>
          <w:szCs w:val="20"/>
          <w:highlight w:val="white"/>
        </w:rPr>
        <w:t>calidad del servicio</w:t>
      </w:r>
      <w:r w:rsidRPr="00EC6FCF">
        <w:rPr>
          <w:rFonts w:ascii="Verdana" w:hAnsi="Verdana" w:cs="Verdana"/>
          <w:i/>
          <w:iCs/>
          <w:color w:val="000000"/>
          <w:kern w:val="0"/>
          <w:sz w:val="20"/>
          <w:szCs w:val="20"/>
          <w:highlight w:val="white"/>
        </w:rPr>
        <w:t>; (c) </w:t>
      </w:r>
      <w:r w:rsidRPr="00EC6FCF">
        <w:rPr>
          <w:rFonts w:ascii="Verdana" w:hAnsi="Verdana" w:cs="Verdana"/>
          <w:bCs/>
          <w:i/>
          <w:iCs/>
          <w:color w:val="000000"/>
          <w:kern w:val="0"/>
          <w:sz w:val="20"/>
          <w:szCs w:val="20"/>
          <w:highlight w:val="white"/>
        </w:rPr>
        <w:t>Que los recursos o rentas</w:t>
      </w:r>
      <w:r w:rsidRPr="00EC6FCF">
        <w:rPr>
          <w:rFonts w:ascii="Verdana" w:hAnsi="Verdana" w:cs="Verdana"/>
          <w:i/>
          <w:iCs/>
          <w:color w:val="000000"/>
          <w:kern w:val="0"/>
          <w:sz w:val="20"/>
          <w:szCs w:val="20"/>
          <w:highlight w:val="white"/>
        </w:rPr>
        <w:t> de la institución están siendo conservados, invertidos, </w:t>
      </w:r>
      <w:r w:rsidRPr="00EC6FCF">
        <w:rPr>
          <w:rFonts w:ascii="Verdana" w:hAnsi="Verdana" w:cs="Verdana"/>
          <w:bCs/>
          <w:i/>
          <w:iCs/>
          <w:color w:val="000000"/>
          <w:kern w:val="0"/>
          <w:sz w:val="20"/>
          <w:szCs w:val="20"/>
          <w:highlight w:val="white"/>
        </w:rPr>
        <w:t>aplicados o arbitrados indebidamente, con fines diferentes al cumplimiento de su misión y función instituciona</w:t>
      </w:r>
      <w:r w:rsidRPr="00EC6FCF">
        <w:rPr>
          <w:rFonts w:ascii="Verdana" w:hAnsi="Verdana" w:cs="Verdana"/>
          <w:i/>
          <w:iCs/>
          <w:color w:val="000000"/>
          <w:kern w:val="0"/>
          <w:sz w:val="20"/>
          <w:szCs w:val="20"/>
          <w:highlight w:val="white"/>
        </w:rPr>
        <w:t>l, o en actividades diferentes a las propias y exclusivas de la institución, teniendo en cuenta lo que dispone la Constitución, la ley y sus estatutos; (d) Que habiendo sido sancionada, persista en la conducta, o (e) Que incumpla la orden de </w:t>
      </w:r>
      <w:r w:rsidRPr="00EC6FCF">
        <w:rPr>
          <w:rFonts w:ascii="Verdana" w:hAnsi="Verdana" w:cs="Verdana"/>
          <w:bCs/>
          <w:i/>
          <w:iCs/>
          <w:color w:val="000000"/>
          <w:kern w:val="0"/>
          <w:sz w:val="20"/>
          <w:szCs w:val="20"/>
          <w:highlight w:val="white"/>
        </w:rPr>
        <w:t>no ofrecer</w:t>
      </w:r>
      <w:r w:rsidRPr="00EC6FCF">
        <w:rPr>
          <w:rFonts w:ascii="Verdana" w:hAnsi="Verdana" w:cs="Verdana"/>
          <w:i/>
          <w:iCs/>
          <w:color w:val="000000"/>
          <w:kern w:val="0"/>
          <w:sz w:val="20"/>
          <w:szCs w:val="20"/>
          <w:highlight w:val="white"/>
        </w:rPr>
        <w:t> o </w:t>
      </w:r>
      <w:r w:rsidRPr="00EC6FCF">
        <w:rPr>
          <w:rFonts w:ascii="Verdana" w:hAnsi="Verdana" w:cs="Verdana"/>
          <w:bCs/>
          <w:i/>
          <w:iCs/>
          <w:color w:val="000000"/>
          <w:kern w:val="0"/>
          <w:sz w:val="20"/>
          <w:szCs w:val="20"/>
          <w:highlight w:val="white"/>
        </w:rPr>
        <w:t>desarrollar programas académicos sin registro calificado</w:t>
      </w:r>
      <w:r w:rsidRPr="00EC6FCF">
        <w:rPr>
          <w:rFonts w:ascii="Verdana" w:hAnsi="Verdana" w:cs="Verdana"/>
          <w:i/>
          <w:iCs/>
          <w:color w:val="000000"/>
          <w:kern w:val="0"/>
          <w:sz w:val="20"/>
          <w:szCs w:val="20"/>
          <w:highlight w:val="white"/>
        </w:rPr>
        <w:t>” </w:t>
      </w:r>
      <w:r w:rsidRPr="00EC6FCF">
        <w:rPr>
          <w:rFonts w:ascii="Verdana" w:hAnsi="Verdana" w:cs="Verdana"/>
          <w:color w:val="000000"/>
          <w:kern w:val="0"/>
          <w:sz w:val="20"/>
          <w:szCs w:val="20"/>
          <w:highlight w:val="white"/>
        </w:rPr>
        <w:t>(Resaltado fuera de texto)</w:t>
      </w:r>
      <w:r w:rsidRPr="00EC6FCF">
        <w:rPr>
          <w:rFonts w:ascii="Verdana" w:hAnsi="Verdana" w:cs="Verdana"/>
          <w:color w:val="000000"/>
          <w:kern w:val="0"/>
          <w:sz w:val="20"/>
          <w:szCs w:val="20"/>
        </w:rPr>
        <w:t> </w:t>
      </w:r>
    </w:p>
    <w:p w14:paraId="15522179"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0ADAD8C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lang w:val="es-ES"/>
        </w:rPr>
        <w:t>Así mismo, es preciso mencionar que </w:t>
      </w:r>
      <w:r w:rsidRPr="00EC6FCF">
        <w:rPr>
          <w:rFonts w:ascii="Verdana" w:hAnsi="Verdana" w:cs="Verdana"/>
          <w:kern w:val="0"/>
        </w:rPr>
        <w:t>las funciones asignadas al Ministerio de Educación Nacional están contempladas en el Artículo 5° del Decreto 2269 de 2023 ‘’</w:t>
      </w:r>
      <w:r w:rsidRPr="00EC6FCF">
        <w:rPr>
          <w:rFonts w:ascii="Verdana" w:hAnsi="Verdana" w:cs="Verdana"/>
          <w:i/>
          <w:iCs/>
          <w:kern w:val="0"/>
        </w:rPr>
        <w:t>Por el cual se modifica la estructura del Ministerio de Educación Nacional, y se determinan las funciones de sus dependencias”</w:t>
      </w:r>
      <w:r w:rsidRPr="00EC6FCF">
        <w:rPr>
          <w:rFonts w:ascii="Verdana" w:hAnsi="Verdana" w:cs="Verdana"/>
          <w:kern w:val="0"/>
        </w:rPr>
        <w:t>, las cuales establecen: </w:t>
      </w:r>
    </w:p>
    <w:p w14:paraId="08BC130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3231E1BC"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bCs/>
          <w:i/>
          <w:iCs/>
          <w:kern w:val="0"/>
          <w:sz w:val="20"/>
          <w:szCs w:val="20"/>
        </w:rPr>
        <w:t>ARTÍCULO 5°. Funciones del Despacho del Ministro(a) de Educación Nacional. </w:t>
      </w:r>
      <w:r w:rsidRPr="00EC6FCF">
        <w:rPr>
          <w:rFonts w:ascii="Verdana" w:hAnsi="Verdana" w:cs="Verdana"/>
          <w:i/>
          <w:iCs/>
          <w:kern w:val="0"/>
          <w:sz w:val="20"/>
          <w:szCs w:val="20"/>
        </w:rPr>
        <w:t>Son funciones del Despacho del Ministro(a) de Educación Nacional, además de las señaladas por la Constitución Política y la ley, las siguientes:</w:t>
      </w:r>
      <w:r w:rsidRPr="00EC6FCF">
        <w:rPr>
          <w:rFonts w:ascii="Verdana" w:hAnsi="Verdana" w:cs="Verdana"/>
          <w:kern w:val="0"/>
          <w:sz w:val="20"/>
          <w:szCs w:val="20"/>
        </w:rPr>
        <w:t> </w:t>
      </w:r>
    </w:p>
    <w:p w14:paraId="3EADB10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i/>
          <w:iCs/>
          <w:kern w:val="0"/>
          <w:sz w:val="20"/>
          <w:szCs w:val="20"/>
        </w:rPr>
        <w:t> </w:t>
      </w:r>
      <w:r w:rsidRPr="00EC6FCF">
        <w:rPr>
          <w:rFonts w:ascii="Verdana" w:hAnsi="Verdana" w:cs="Verdana"/>
          <w:kern w:val="0"/>
          <w:sz w:val="20"/>
          <w:szCs w:val="20"/>
        </w:rPr>
        <w:t> </w:t>
      </w:r>
    </w:p>
    <w:p w14:paraId="286C46A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Formular y promover las políticas, planes, programas y proyectos del sector administrativo y ejercer las funciones de dirección, coordinación y control en las materias de su competencia.</w:t>
      </w:r>
      <w:r w:rsidRPr="00EC6FCF">
        <w:rPr>
          <w:rFonts w:ascii="Verdana" w:hAnsi="Verdana" w:cs="Verdana"/>
          <w:kern w:val="0"/>
          <w:sz w:val="20"/>
          <w:szCs w:val="20"/>
        </w:rPr>
        <w:t> </w:t>
      </w:r>
    </w:p>
    <w:p w14:paraId="5CE080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Ejercer la representación legal del Ministerio de Educación Nacional.</w:t>
      </w:r>
      <w:r w:rsidRPr="00EC6FCF">
        <w:rPr>
          <w:rFonts w:ascii="Verdana" w:hAnsi="Verdana" w:cs="Verdana"/>
          <w:kern w:val="0"/>
          <w:sz w:val="20"/>
          <w:szCs w:val="20"/>
        </w:rPr>
        <w:t> </w:t>
      </w:r>
    </w:p>
    <w:p w14:paraId="2BBA9237"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Presentar ante el Congreso de la República, de acuerdo con la agenda legislativa del Gobierno Nacional, los proyectos de ley relacionados con las competencias del Sector.</w:t>
      </w:r>
      <w:r w:rsidRPr="00EC6FCF">
        <w:rPr>
          <w:rFonts w:ascii="Verdana" w:hAnsi="Verdana" w:cs="Verdana"/>
          <w:kern w:val="0"/>
          <w:sz w:val="20"/>
          <w:szCs w:val="20"/>
        </w:rPr>
        <w:t> </w:t>
      </w:r>
    </w:p>
    <w:p w14:paraId="2F881BFA"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Dirigir el diseño, formulación y articulación del Plan Decenal de Educación, el aporte del sector al Plan Nacional de Desarrollo, el Plan Sectorial y los planes estratégicos, tácticos y operativos.</w:t>
      </w:r>
      <w:r w:rsidRPr="00EC6FCF">
        <w:rPr>
          <w:rFonts w:ascii="Verdana" w:hAnsi="Verdana" w:cs="Verdana"/>
          <w:kern w:val="0"/>
          <w:sz w:val="20"/>
          <w:szCs w:val="20"/>
        </w:rPr>
        <w:t> </w:t>
      </w:r>
    </w:p>
    <w:p w14:paraId="13A6110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Dirigir las funciones de administración de personal conforme a las normas sobre la materia y nombrar y remover el personal de acuerdo con las disposiciones legales vigentes.</w:t>
      </w:r>
      <w:r w:rsidRPr="00EC6FCF">
        <w:rPr>
          <w:rFonts w:ascii="Verdana" w:hAnsi="Verdana" w:cs="Verdana"/>
          <w:kern w:val="0"/>
          <w:sz w:val="20"/>
          <w:szCs w:val="20"/>
        </w:rPr>
        <w:t> </w:t>
      </w:r>
    </w:p>
    <w:p w14:paraId="64E8E14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Dirigir y orientar la función de planeación del sector administrativo.</w:t>
      </w:r>
      <w:r w:rsidRPr="00EC6FCF">
        <w:rPr>
          <w:rFonts w:ascii="Verdana" w:hAnsi="Verdana" w:cs="Verdana"/>
          <w:kern w:val="0"/>
          <w:sz w:val="20"/>
          <w:szCs w:val="20"/>
        </w:rPr>
        <w:t> </w:t>
      </w:r>
    </w:p>
    <w:p w14:paraId="551784E3"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lastRenderedPageBreak/>
        <w:t>Liderar y articular las relaciones intersectoriales y sectoriales para la planeación, normatización, vigilancia y control que correspondan al Ministerio, en el desarrollo del sistema educativo y sus trayectorias completas.</w:t>
      </w:r>
      <w:r w:rsidRPr="00EC6FCF">
        <w:rPr>
          <w:rFonts w:ascii="Verdana" w:hAnsi="Verdana" w:cs="Verdana"/>
          <w:kern w:val="0"/>
          <w:sz w:val="20"/>
          <w:szCs w:val="20"/>
        </w:rPr>
        <w:t> </w:t>
      </w:r>
    </w:p>
    <w:p w14:paraId="0251CA5E"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Decidir sobre las acciones de inspección y vigilancia de la educación superior y las actuaciones que en particular le correspondan, en el marco de las normas que regulan la educación superior.</w:t>
      </w:r>
      <w:r w:rsidRPr="00EC6FCF">
        <w:rPr>
          <w:rFonts w:ascii="Verdana" w:hAnsi="Verdana" w:cs="Verdana"/>
          <w:kern w:val="0"/>
          <w:sz w:val="20"/>
          <w:szCs w:val="20"/>
        </w:rPr>
        <w:t> </w:t>
      </w:r>
    </w:p>
    <w:p w14:paraId="16CD19B8"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Ejercer, por designación o elección, las secretarías permanentes ante aliados nacionales, organismos internacionales, públicos y privados.</w:t>
      </w:r>
      <w:r w:rsidRPr="00EC6FCF">
        <w:rPr>
          <w:rFonts w:ascii="Verdana" w:hAnsi="Verdana" w:cs="Verdana"/>
          <w:kern w:val="0"/>
          <w:sz w:val="20"/>
          <w:szCs w:val="20"/>
        </w:rPr>
        <w:t> </w:t>
      </w:r>
    </w:p>
    <w:p w14:paraId="556069B5"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Establecer los mecanismos y criterios técnicos para la asignación de los recursos del Sector, así como los programas y proyectos que generen una mayor eficiencia en su distribución y uso, de conformidad con la ley.</w:t>
      </w:r>
      <w:r w:rsidRPr="00EC6FCF">
        <w:rPr>
          <w:rFonts w:ascii="Verdana" w:hAnsi="Verdana" w:cs="Verdana"/>
          <w:kern w:val="0"/>
          <w:sz w:val="20"/>
          <w:szCs w:val="20"/>
        </w:rPr>
        <w:t> </w:t>
      </w:r>
    </w:p>
    <w:p w14:paraId="6EC428A1"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Crear, conformar y asignar funciones a los órganos de asesoría y coordinación, así como crear y organizar, con carácter permanente o transitorio los grupos internos de trabajo necesarios para el cumplimiento de los objetivos y funciones del Ministerio de Educación Nacional.</w:t>
      </w:r>
      <w:r w:rsidRPr="00EC6FCF">
        <w:rPr>
          <w:rFonts w:ascii="Verdana" w:hAnsi="Verdana" w:cs="Verdana"/>
          <w:kern w:val="0"/>
          <w:sz w:val="20"/>
          <w:szCs w:val="20"/>
        </w:rPr>
        <w:t> </w:t>
      </w:r>
    </w:p>
    <w:p w14:paraId="7657AD8F"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Orientar y establecer las directrices para la planificación y desarrollo de los ejercicios de fortalecimiento institucional y de capacidades del Ministerio de Educación Nacional y del Sector.</w:t>
      </w:r>
      <w:r w:rsidRPr="00EC6FCF">
        <w:rPr>
          <w:rFonts w:ascii="Verdana" w:hAnsi="Verdana" w:cs="Verdana"/>
          <w:kern w:val="0"/>
          <w:sz w:val="20"/>
          <w:szCs w:val="20"/>
        </w:rPr>
        <w:t> </w:t>
      </w:r>
    </w:p>
    <w:p w14:paraId="1CAA3792"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Asignar los recursos necesarios para el funcionamiento de políticas, planes, programas y proyectos del Ministerio, en cumplimiento de la misión institucional.</w:t>
      </w:r>
      <w:r w:rsidRPr="00EC6FCF">
        <w:rPr>
          <w:rFonts w:ascii="Verdana" w:hAnsi="Verdana" w:cs="Verdana"/>
          <w:kern w:val="0"/>
          <w:sz w:val="20"/>
          <w:szCs w:val="20"/>
        </w:rPr>
        <w:t> </w:t>
      </w:r>
    </w:p>
    <w:p w14:paraId="49228FD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Coordinar con el Ministerio de Relaciones Exteriores la participación y representación del país en los asuntos internacionales relacionados con el Sector, y promover la cooperación internacional en los temas de su competencia.</w:t>
      </w:r>
      <w:r w:rsidRPr="00EC6FCF">
        <w:rPr>
          <w:rFonts w:ascii="Verdana" w:hAnsi="Verdana" w:cs="Verdana"/>
          <w:kern w:val="0"/>
          <w:sz w:val="20"/>
          <w:szCs w:val="20"/>
        </w:rPr>
        <w:t> </w:t>
      </w:r>
    </w:p>
    <w:p w14:paraId="4DF40C1B"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Distribuir los cargos de la planta global de personal, de acuerdo con la organización interna, las necesidades de la entidad y los planes y programas trazados por el Ministerio.</w:t>
      </w:r>
      <w:r w:rsidRPr="00EC6FCF">
        <w:rPr>
          <w:rFonts w:ascii="Verdana" w:hAnsi="Verdana" w:cs="Verdana"/>
          <w:kern w:val="0"/>
          <w:sz w:val="20"/>
          <w:szCs w:val="20"/>
        </w:rPr>
        <w:t> </w:t>
      </w:r>
    </w:p>
    <w:p w14:paraId="26815714"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Establecer y mantener el Modelo Operacional y el sistema de Control Interno en la entidad y hacer el seguimiento a nivel sectorial.</w:t>
      </w:r>
      <w:r w:rsidRPr="00EC6FCF">
        <w:rPr>
          <w:rFonts w:ascii="Verdana" w:hAnsi="Verdana" w:cs="Verdana"/>
          <w:kern w:val="0"/>
          <w:sz w:val="20"/>
          <w:szCs w:val="20"/>
        </w:rPr>
        <w:t> </w:t>
      </w:r>
    </w:p>
    <w:p w14:paraId="4AF669FD"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Decidir en segunda instancia los procesos disciplinarios que se adelanten en contra de los servidores y ex servidores del Ministerio.</w:t>
      </w:r>
      <w:r w:rsidRPr="00EC6FCF">
        <w:rPr>
          <w:rFonts w:ascii="Verdana" w:hAnsi="Verdana" w:cs="Verdana"/>
          <w:kern w:val="0"/>
          <w:sz w:val="20"/>
          <w:szCs w:val="20"/>
        </w:rPr>
        <w:t> </w:t>
      </w:r>
    </w:p>
    <w:p w14:paraId="6A4CF2F0" w14:textId="77777777" w:rsidR="00C84FDE" w:rsidRPr="00EC6FCF" w:rsidRDefault="00C84FDE">
      <w:pPr>
        <w:pStyle w:val="Prrafodelista"/>
        <w:numPr>
          <w:ilvl w:val="0"/>
          <w:numId w:val="4"/>
        </w:numPr>
        <w:autoSpaceDE w:val="0"/>
        <w:autoSpaceDN w:val="0"/>
        <w:adjustRightInd w:val="0"/>
        <w:spacing w:after="0" w:line="240" w:lineRule="auto"/>
        <w:jc w:val="both"/>
        <w:rPr>
          <w:rFonts w:ascii="Verdana" w:hAnsi="Verdana" w:cs="Arial"/>
          <w:kern w:val="0"/>
          <w:sz w:val="20"/>
          <w:szCs w:val="20"/>
        </w:rPr>
      </w:pPr>
      <w:r w:rsidRPr="00EC6FCF">
        <w:rPr>
          <w:rFonts w:ascii="Verdana" w:hAnsi="Verdana" w:cs="Verdana"/>
          <w:i/>
          <w:iCs/>
          <w:kern w:val="0"/>
          <w:sz w:val="20"/>
          <w:szCs w:val="20"/>
        </w:rPr>
        <w:t>Las demás funciones que le sean asignadas o delegadas por el Presidente de la República o que le atribuya la ley.</w:t>
      </w:r>
      <w:r w:rsidRPr="00EC6FCF">
        <w:rPr>
          <w:rFonts w:ascii="Verdana" w:hAnsi="Verdana" w:cs="Verdana"/>
          <w:kern w:val="0"/>
          <w:sz w:val="20"/>
          <w:szCs w:val="20"/>
        </w:rPr>
        <w:t> </w:t>
      </w:r>
    </w:p>
    <w:p w14:paraId="2510CDD6"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mérito de lo expuesto, se puede concluir que, atendiendo a las funciones asignadas a esta cartera Ministerial, en caso de conocer cualquier irregularidad en la prestación del servicio educativo por instituciones de educación superior, lo</w:t>
      </w:r>
      <w:r w:rsidRPr="00EC6FCF">
        <w:rPr>
          <w:rFonts w:ascii="Verdana" w:hAnsi="Verdana" w:cs="Verdana"/>
          <w:bCs/>
          <w:kern w:val="0"/>
        </w:rPr>
        <w:t> pertinente es elevar la correspondiente reclamación ante la Dirección de Inspección y Vigilancia del Ministerio de Educación Nacional,</w:t>
      </w:r>
      <w:r w:rsidRPr="00EC6FCF">
        <w:rPr>
          <w:rFonts w:ascii="Verdana" w:hAnsi="Verdana" w:cs="Verdana"/>
          <w:kern w:val="0"/>
        </w:rPr>
        <w:t> acreditando la legitimación jurídica, así como los demás elementos fácticos que se pretendan hacer valer. </w:t>
      </w:r>
    </w:p>
    <w:p w14:paraId="10B54CC2"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164E62EE"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Así las cosas, el Ministerio de Educación Nacional no ha vulnerado los derechos fundamentales invocados por </w:t>
      </w:r>
      <w:r w:rsidRPr="00EC6FCF">
        <w:rPr>
          <w:rFonts w:ascii="Verdana" w:hAnsi="Verdana" w:cs="Verdana"/>
          <w:bCs/>
          <w:kern w:val="0"/>
        </w:rPr>
        <w:t>el</w:t>
      </w:r>
      <w:r w:rsidRPr="00EC6FCF">
        <w:rPr>
          <w:rFonts w:ascii="Verdana" w:hAnsi="Verdana" w:cs="Verdana"/>
          <w:kern w:val="0"/>
        </w:rPr>
        <w:t> accionante, siendo ajeno a la discusión fáctica presentada en la acción.    </w:t>
      </w:r>
    </w:p>
    <w:p w14:paraId="5835FDA1"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r w:rsidRPr="00EC6FCF">
        <w:rPr>
          <w:rFonts w:ascii="Verdana" w:hAnsi="Verdana" w:cs="Verdana"/>
          <w:kern w:val="0"/>
        </w:rPr>
        <w:t> </w:t>
      </w:r>
    </w:p>
    <w:p w14:paraId="2A4FFA08" w14:textId="77777777" w:rsidR="00C84FDE" w:rsidRPr="00EC6FCF" w:rsidRDefault="00C84FDE">
      <w:pPr>
        <w:numPr>
          <w:ilvl w:val="11"/>
          <w:numId w:val="2"/>
        </w:numPr>
        <w:autoSpaceDE w:val="0"/>
        <w:autoSpaceDN w:val="0"/>
        <w:adjustRightInd w:val="0"/>
        <w:spacing w:after="0" w:line="240" w:lineRule="auto"/>
        <w:jc w:val="both"/>
        <w:rPr>
          <w:rFonts w:ascii="Verdana" w:hAnsi="Verdana" w:cs="Arial"/>
          <w:kern w:val="0"/>
        </w:rPr>
      </w:pPr>
      <w:r w:rsidRPr="00EC6FCF">
        <w:rPr>
          <w:rFonts w:ascii="Verdana" w:hAnsi="Verdana" w:cs="Verdana"/>
          <w:bCs/>
          <w:kern w:val="0"/>
        </w:rPr>
        <w:t>Improcedencia de la acción de tutela por carecer de legitimación en la causa por pasiva</w:t>
      </w:r>
      <w:r w:rsidRPr="00EC6FCF">
        <w:rPr>
          <w:rFonts w:ascii="Verdana" w:hAnsi="Verdana" w:cs="Verdana"/>
          <w:kern w:val="0"/>
        </w:rPr>
        <w:t> </w:t>
      </w:r>
    </w:p>
    <w:p w14:paraId="5937D800"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acuerdo con el artículo 5° del Decreto 2591 de 1991 la acción de tutela procede: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 contra toda acción u omisión de las autoridades públicas, que haya violado, viole o amenace violar cualquiera de los derechos de que trata el artículo 2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 (…)”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Como se puede concluir del texto citado, la tutela está condicionada en su procedencia a que la autoridad pública haya vulnerado efectivamente un derecho, o amenace con violarlo, o por una omisión que produzca alguna de estas consecuencias. En el presente caso no se ha dado ninguno de estos presupuestos.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lastRenderedPageBreak/>
        <w:t>No hay una violación de derecho fundamental alguno, pues el Ministerio de Educación Nacional no ha ejecutado ninguna acción que produzca este resultado en contra del accionante.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No puede decirse entonces que, en términos positivos, esta entidad haya incurrido en una violación o amenaza efectiva de algún derecho fundamental y una orden en dicho sentido sería de imposible cumplimiento para la misma.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De igual manera, se aprecia de los antecedentes anotados, que, por parte del Ministerio de Educación Nacional, no ha existido actuación que atente contra los derechos fundamentales invocados por el accionante. </w:t>
      </w:r>
      <w:r w:rsidRPr="00EC6FCF">
        <w:rPr>
          <w:rFonts w:ascii="Verdana" w:hAnsi="Verdana" w:cs="Verdana"/>
          <w:kern w:val="0"/>
        </w:rPr>
        <w:br/>
      </w:r>
      <w:r w:rsidRPr="00EC6FCF">
        <w:rPr>
          <w:rFonts w:ascii="Verdana" w:hAnsi="Verdana" w:cs="Verdana"/>
          <w:kern w:val="0"/>
        </w:rPr>
        <w:t> </w:t>
      </w:r>
      <w:r w:rsidRPr="00EC6FCF">
        <w:rPr>
          <w:rFonts w:ascii="Verdana" w:hAnsi="Verdana" w:cs="Verdana"/>
          <w:kern w:val="0"/>
        </w:rPr>
        <w:br/>
      </w:r>
      <w:r w:rsidRPr="00EC6FCF">
        <w:rPr>
          <w:rFonts w:ascii="Verdana" w:hAnsi="Verdana" w:cs="Verdana"/>
          <w:kern w:val="0"/>
        </w:rPr>
        <w:t>En consecuencia, la presente vinculación a la acción de tutela no está llamada a prosperar. </w:t>
      </w:r>
    </w:p>
    <w:p w14:paraId="4E6662B3"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48E539AE"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V.</w:t>
      </w:r>
      <w:r w:rsidRPr="00EC6FCF">
        <w:rPr>
          <w:rFonts w:ascii="Verdana" w:hAnsi="Verdana" w:cs="Verdana"/>
          <w:bCs/>
          <w:kern w:val="0"/>
        </w:rPr>
        <w:tab/>
        <w:t>SOLICITUD </w:t>
      </w:r>
      <w:r w:rsidRPr="00EC6FCF">
        <w:rPr>
          <w:rFonts w:ascii="Verdana" w:hAnsi="Verdana" w:cs="Verdana"/>
          <w:kern w:val="0"/>
        </w:rPr>
        <w:t> </w:t>
      </w:r>
    </w:p>
    <w:p w14:paraId="1CE29B16"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3C644A6C" w14:textId="77777777" w:rsidR="00C84FDE" w:rsidRPr="00EC6FCF" w:rsidRDefault="00C84FDE" w:rsidP="00C84FDE">
      <w:pPr>
        <w:autoSpaceDE w:val="0"/>
        <w:autoSpaceDN w:val="0"/>
        <w:adjustRightInd w:val="0"/>
        <w:spacing w:after="0" w:line="240" w:lineRule="auto"/>
        <w:jc w:val="both"/>
        <w:rPr>
          <w:rFonts w:ascii="Verdana" w:hAnsi="Verdana" w:cs="Arial"/>
          <w:kern w:val="0"/>
        </w:rPr>
      </w:pPr>
      <w:r w:rsidRPr="00EC6FCF">
        <w:rPr>
          <w:rFonts w:ascii="Verdana" w:hAnsi="Verdana" w:cs="Verdana"/>
          <w:kern w:val="0"/>
        </w:rPr>
        <w:t>Acorde con los argumentos expuestos, solicitó respetuosamente su Señoría, </w:t>
      </w:r>
      <w:r w:rsidRPr="00EC6FCF">
        <w:rPr>
          <w:rFonts w:ascii="Verdana" w:hAnsi="Verdana" w:cs="Verdana"/>
          <w:bCs/>
          <w:kern w:val="0"/>
        </w:rPr>
        <w:t>DESVINCULAR </w:t>
      </w:r>
      <w:r w:rsidRPr="00EC6FCF">
        <w:rPr>
          <w:rFonts w:ascii="Verdana" w:hAnsi="Verdana" w:cs="Verdana"/>
          <w:kern w:val="0"/>
        </w:rPr>
        <w:t>de la acción de tutela de la referencia al Ministerio de Educación Nacional, puesto que esta entidad no ha sido la responsable de la presunta transgresión de los derechos fundamentales solicitados por la accionante. En virtud de lo cual, frente a esta entidad, se </w:t>
      </w:r>
      <w:r w:rsidRPr="00EC6FCF">
        <w:rPr>
          <w:rFonts w:ascii="Verdana" w:hAnsi="Verdana" w:cs="Verdana"/>
          <w:bCs/>
          <w:kern w:val="0"/>
        </w:rPr>
        <w:t>predica la falta de legitimación por pasiva</w:t>
      </w:r>
      <w:r w:rsidRPr="00EC6FCF">
        <w:rPr>
          <w:rFonts w:ascii="Verdana" w:hAnsi="Verdana" w:cs="Verdana"/>
          <w:kern w:val="0"/>
        </w:rPr>
        <w:t>. </w:t>
      </w:r>
    </w:p>
    <w:p w14:paraId="6E87EA3F" w14:textId="77777777" w:rsidR="00C84FDE" w:rsidRPr="00EC6FCF" w:rsidRDefault="00C84FDE" w:rsidP="00C84FDE">
      <w:pPr>
        <w:autoSpaceDE w:val="0"/>
        <w:autoSpaceDN w:val="0"/>
        <w:adjustRightInd w:val="0"/>
        <w:spacing w:after="0" w:line="240" w:lineRule="auto"/>
        <w:jc w:val="both"/>
        <w:rPr>
          <w:rFonts w:ascii="Verdana" w:hAnsi="Verdana" w:cs="Segoe UI"/>
          <w:kern w:val="0"/>
          <w:sz w:val="18"/>
          <w:szCs w:val="18"/>
        </w:rPr>
      </w:pPr>
    </w:p>
    <w:p w14:paraId="6F326AFF" w14:textId="77777777" w:rsidR="00C84FDE" w:rsidRPr="00EC6FCF" w:rsidRDefault="00C84FDE" w:rsidP="00C84FDE">
      <w:pPr>
        <w:autoSpaceDE w:val="0"/>
        <w:autoSpaceDN w:val="0"/>
        <w:adjustRightInd w:val="0"/>
        <w:spacing w:after="0" w:line="240" w:lineRule="auto"/>
        <w:ind w:left="1080" w:hanging="720"/>
        <w:jc w:val="both"/>
        <w:rPr>
          <w:rFonts w:ascii="Verdana" w:hAnsi="Verdana" w:cs="Arial"/>
          <w:kern w:val="0"/>
        </w:rPr>
      </w:pPr>
      <w:r w:rsidRPr="00EC6FCF">
        <w:rPr>
          <w:rFonts w:ascii="Verdana" w:hAnsi="Verdana" w:cs="Verdana"/>
          <w:bCs/>
          <w:kern w:val="0"/>
        </w:rPr>
        <w:t>VI.</w:t>
      </w:r>
      <w:r w:rsidRPr="00EC6FCF">
        <w:rPr>
          <w:rFonts w:ascii="Verdana" w:hAnsi="Verdana" w:cs="Verdana"/>
          <w:bCs/>
          <w:kern w:val="0"/>
        </w:rPr>
        <w:tab/>
        <w:t>ANEXOS</w:t>
      </w:r>
      <w:r w:rsidRPr="00EC6FCF">
        <w:rPr>
          <w:rFonts w:ascii="Verdana" w:hAnsi="Verdana" w:cs="Verdana"/>
          <w:kern w:val="0"/>
        </w:rPr>
        <w:t> </w:t>
      </w:r>
    </w:p>
    <w:p w14:paraId="7C3F9911" w14:textId="77777777" w:rsidR="00C84FDE" w:rsidRPr="00EC6FCF" w:rsidRDefault="00C84FDE" w:rsidP="00C84FDE">
      <w:pPr>
        <w:autoSpaceDE w:val="0"/>
        <w:autoSpaceDN w:val="0"/>
        <w:adjustRightInd w:val="0"/>
        <w:spacing w:after="0" w:line="240" w:lineRule="auto"/>
        <w:ind w:left="1080"/>
        <w:jc w:val="both"/>
        <w:rPr>
          <w:rFonts w:ascii="Verdana" w:hAnsi="Verdana" w:cs="Arial"/>
          <w:kern w:val="0"/>
        </w:rPr>
      </w:pPr>
    </w:p>
    <w:p w14:paraId="4950A542" w14:textId="7CD94C22" w:rsidR="00C33007" w:rsidRPr="00EC6FCF" w:rsidRDefault="00C84FDE">
      <w:pPr>
        <w:pStyle w:val="Prrafodelista"/>
        <w:numPr>
          <w:ilvl w:val="0"/>
          <w:numId w:val="2"/>
        </w:numPr>
        <w:shd w:val="clear" w:color="auto" w:fill="FFFFFF"/>
        <w:autoSpaceDE w:val="0"/>
        <w:autoSpaceDN w:val="0"/>
        <w:adjustRightInd w:val="0"/>
        <w:spacing w:after="0" w:line="276" w:lineRule="auto"/>
        <w:jc w:val="both"/>
        <w:rPr>
          <w:rFonts w:ascii="Verdana" w:hAnsi="Verdana" w:cs="Arial"/>
          <w:sz w:val="22"/>
          <w:szCs w:val="22"/>
        </w:rPr>
      </w:pPr>
      <w:r w:rsidRPr="00EC6FCF">
        <w:rPr>
          <w:rFonts w:ascii="Verdana" w:hAnsi="Verdana" w:cs="Verdana"/>
          <w:sz w:val="22"/>
          <w:szCs w:val="22"/>
          <w:lang w:val="es-ES"/>
        </w:rPr>
        <w:t xml:space="preserve">Acreditaciones Ministerio de Educación Nacional. </w:t>
      </w:r>
    </w:p>
    <w:p w14:paraId="25CD4339" w14:textId="1F66EC01" w:rsidR="00383D9C" w:rsidRPr="00AA0892" w:rsidRDefault="00383D9C" w:rsidP="005C26B8">
      <w:pPr>
        <w:pStyle w:val="Prrafodelista"/>
        <w:shd w:val="clear" w:color="auto" w:fill="FFFFFF"/>
        <w:autoSpaceDE w:val="0"/>
        <w:autoSpaceDN w:val="0"/>
        <w:adjustRightInd w:val="0"/>
        <w:spacing w:after="0" w:line="276" w:lineRule="auto"/>
        <w:jc w:val="both"/>
        <w:rPr>
          <w:rFonts w:ascii="Arial" w:hAnsi="Arial" w:cs="Arial"/>
          <w:sz w:val="22"/>
          <w:szCs w:val="22"/>
        </w:rPr>
      </w:pPr>
    </w:p>
    <w:p w14:paraId="55423F8D" w14:textId="079B3FC8" w:rsidR="00884E84" w:rsidRPr="00884E84" w:rsidRDefault="00884E84" w:rsidP="001D10EB">
      <w:pPr>
        <w:pStyle w:val="Prrafodelista"/>
        <w:jc w:val="both"/>
        <w:rPr>
          <w:rFonts w:ascii="Arial" w:eastAsia="Arial" w:hAnsi="Arial" w:cs="Arial"/>
          <w:sz w:val="22"/>
          <w:szCs w:val="22"/>
        </w:rPr>
      </w:pPr>
    </w:p>
    <w:sectPr w:rsidR="00884E84" w:rsidRPr="00884E84" w:rsidSect="00B17472">
      <w:headerReference w:type="default" r:id="rId10"/>
      <w:footerReference w:type="default" r:id="rId11"/>
      <w:type w:val="continuous"/>
      <w:pgSz w:w="12240" w:h="20160"/>
      <w:pgMar w:top="2065" w:right="1701" w:bottom="1757" w:left="1701" w:header="708" w:footer="9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3C7EB" w14:textId="77777777" w:rsidR="00820E24" w:rsidRDefault="00820E24" w:rsidP="006E6A57">
      <w:pPr>
        <w:spacing w:after="0" w:line="240" w:lineRule="auto"/>
      </w:pPr>
      <w:r>
        <w:separator/>
      </w:r>
    </w:p>
  </w:endnote>
  <w:endnote w:type="continuationSeparator" w:id="0">
    <w:p w14:paraId="4DEEF5E1" w14:textId="77777777" w:rsidR="00820E24" w:rsidRDefault="00820E24" w:rsidP="006E6A57">
      <w:pPr>
        <w:spacing w:after="0" w:line="240" w:lineRule="auto"/>
      </w:pPr>
      <w:r>
        <w:continuationSeparator/>
      </w:r>
    </w:p>
  </w:endnote>
  <w:endnote w:type="continuationNotice" w:id="1">
    <w:p w14:paraId="4B69458F" w14:textId="77777777" w:rsidR="00820E24" w:rsidRDefault="00820E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352" w14:textId="77777777" w:rsidR="006E6A57" w:rsidRDefault="006E6A57">
    <w:pPr>
      <w:pStyle w:val="Piedepgina"/>
    </w:pPr>
    <w:r>
      <w:rPr>
        <w:noProof/>
        <w:lang w:eastAsia="es-CO"/>
      </w:rPr>
      <mc:AlternateContent>
        <mc:Choice Requires="wps">
          <w:drawing>
            <wp:anchor distT="0" distB="0" distL="114300" distR="114300" simplePos="0" relativeHeight="251658240" behindDoc="0" locked="0" layoutInCell="1" allowOverlap="1" wp14:anchorId="0DA93FDC" wp14:editId="31039DFC">
              <wp:simplePos x="0" y="0"/>
              <wp:positionH relativeFrom="margin">
                <wp:posOffset>0</wp:posOffset>
              </wp:positionH>
              <wp:positionV relativeFrom="paragraph">
                <wp:posOffset>-416560</wp:posOffset>
              </wp:positionV>
              <wp:extent cx="6029325" cy="1229995"/>
              <wp:effectExtent l="0" t="0" r="0" b="0"/>
              <wp:wrapNone/>
              <wp:docPr id="1223101586" name="Cuadro de texto 1"/>
              <wp:cNvGraphicFramePr/>
              <a:graphic xmlns:a="http://schemas.openxmlformats.org/drawingml/2006/main">
                <a:graphicData uri="http://schemas.microsoft.com/office/word/2010/wordprocessingShape">
                  <wps:wsp>
                    <wps:cNvSpPr txBox="1"/>
                    <wps:spPr>
                      <a:xfrm>
                        <a:off x="0" y="0"/>
                        <a:ext cx="6029325" cy="1229995"/>
                      </a:xfrm>
                      <a:prstGeom prst="rect">
                        <a:avLst/>
                      </a:prstGeom>
                      <a:noFill/>
                      <a:ln w="6350">
                        <a:noFill/>
                      </a:ln>
                    </wps:spPr>
                    <wps:txb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A93FDC" id="_x0000_t202" coordsize="21600,21600" o:spt="202" path="m,l,21600r21600,l21600,xe">
              <v:stroke joinstyle="miter"/>
              <v:path gradientshapeok="t" o:connecttype="rect"/>
            </v:shapetype>
            <v:shape id="Cuadro de texto 1" o:spid="_x0000_s1026" type="#_x0000_t202" style="position:absolute;margin-left:0;margin-top:-32.8pt;width:474.75pt;height:96.8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" filled="f" stroked="f" strokeweight=".5pt">
              <v:textbox>
                <w:txbxContent>
                  <w:p w14:paraId="72D095D3" w14:textId="77777777" w:rsidR="00FC2D03" w:rsidRPr="00256928" w:rsidRDefault="006E6A57" w:rsidP="00FC2D03">
                    <w:pPr>
                      <w:spacing w:after="0" w:line="276" w:lineRule="auto"/>
                      <w:jc w:val="both"/>
                      <w:rPr>
                        <w:rFonts w:ascii="Helvetica" w:hAnsi="Helvetica"/>
                        <w:sz w:val="20"/>
                        <w:szCs w:val="20"/>
                      </w:rPr>
                    </w:pPr>
                    <w:r w:rsidRPr="00256928">
                      <w:rPr>
                        <w:rFonts w:ascii="Helvetica" w:hAnsi="Helvetica"/>
                        <w:sz w:val="20"/>
                        <w:szCs w:val="20"/>
                      </w:rPr>
                      <w:t>________________________________________________________________________</w:t>
                    </w:r>
                  </w:p>
                  <w:p w14:paraId="4710B238" w14:textId="77777777" w:rsidR="00FC2D03" w:rsidRPr="00B71B7C" w:rsidRDefault="00FC2D03" w:rsidP="00FC2D03">
                    <w:pPr>
                      <w:spacing w:after="0" w:line="276" w:lineRule="auto"/>
                      <w:jc w:val="both"/>
                      <w:rPr>
                        <w:rFonts w:ascii="Verdana" w:hAnsi="Verdana"/>
                        <w:b/>
                        <w:bCs/>
                        <w:sz w:val="20"/>
                        <w:szCs w:val="20"/>
                      </w:rPr>
                    </w:pPr>
                    <w:r>
                      <w:rPr>
                        <w:rFonts w:ascii="Verdana" w:hAnsi="Verdana"/>
                        <w:b/>
                        <w:bCs/>
                        <w:sz w:val="20"/>
                        <w:szCs w:val="20"/>
                      </w:rPr>
                      <w:t xml:space="preserve">Ministerio de Educación Nacional </w:t>
                    </w:r>
                  </w:p>
                  <w:p w14:paraId="6691DDD7" w14:textId="77777777" w:rsidR="00FC2D03" w:rsidRPr="009C5553" w:rsidRDefault="00FC2D03" w:rsidP="00FC2D03">
                    <w:pPr>
                      <w:spacing w:after="0" w:line="276" w:lineRule="auto"/>
                      <w:jc w:val="both"/>
                      <w:rPr>
                        <w:rFonts w:ascii="Verdana" w:hAnsi="Verdana"/>
                        <w:sz w:val="20"/>
                        <w:szCs w:val="20"/>
                      </w:rPr>
                    </w:pPr>
                    <w:r w:rsidRPr="009C5553">
                      <w:rPr>
                        <w:rFonts w:ascii="Verdana" w:hAnsi="Verdana"/>
                        <w:sz w:val="20"/>
                        <w:szCs w:val="20"/>
                      </w:rPr>
                      <w:t>Dirección: Calle 43 No. 57 - 14. CAN. Bogotá, Colombia</w:t>
                    </w:r>
                  </w:p>
                  <w:p w14:paraId="04F87699" w14:textId="77777777" w:rsidR="00FC2D03" w:rsidRPr="001E1CAF" w:rsidRDefault="00FC2D03" w:rsidP="00FC2D03">
                    <w:pPr>
                      <w:spacing w:after="0" w:line="276" w:lineRule="auto"/>
                      <w:jc w:val="both"/>
                      <w:rPr>
                        <w:rFonts w:ascii="Verdana" w:hAnsi="Verdana"/>
                        <w:sz w:val="20"/>
                        <w:szCs w:val="20"/>
                      </w:rPr>
                    </w:pPr>
                    <w:r w:rsidRPr="00B71B7C">
                      <w:rPr>
                        <w:rFonts w:ascii="Verdana" w:hAnsi="Verdana"/>
                        <w:sz w:val="20"/>
                        <w:szCs w:val="20"/>
                      </w:rPr>
                      <w:t>Conmutador:</w:t>
                    </w:r>
                    <w:r>
                      <w:rPr>
                        <w:rFonts w:ascii="Verdana" w:hAnsi="Verdana"/>
                        <w:sz w:val="20"/>
                        <w:szCs w:val="20"/>
                      </w:rPr>
                      <w:t xml:space="preserve"> </w:t>
                    </w:r>
                    <w:r w:rsidRPr="001E1CAF">
                      <w:rPr>
                        <w:rFonts w:ascii="Verdana" w:hAnsi="Verdana"/>
                        <w:sz w:val="20"/>
                        <w:szCs w:val="20"/>
                      </w:rPr>
                      <w:t xml:space="preserve">(601) 22 22800 </w:t>
                    </w:r>
                  </w:p>
                  <w:p w14:paraId="4AEA77DD" w14:textId="77777777" w:rsidR="00FC2D03" w:rsidRPr="00B71B7C" w:rsidRDefault="00FC2D03" w:rsidP="00FC2D03">
                    <w:pPr>
                      <w:spacing w:after="0" w:line="276" w:lineRule="auto"/>
                      <w:jc w:val="both"/>
                      <w:rPr>
                        <w:rFonts w:ascii="Verdana" w:hAnsi="Verdana"/>
                        <w:sz w:val="20"/>
                        <w:szCs w:val="20"/>
                      </w:rPr>
                    </w:pPr>
                    <w:r w:rsidRPr="005632BA">
                      <w:rPr>
                        <w:rFonts w:ascii="Verdana" w:hAnsi="Verdana"/>
                        <w:sz w:val="20"/>
                        <w:szCs w:val="20"/>
                      </w:rPr>
                      <w:t>Línea gratuita fuera de Bogotá: 018000 - 910122</w:t>
                    </w:r>
                  </w:p>
                  <w:p w14:paraId="2005408A" w14:textId="77777777" w:rsidR="006E6A57" w:rsidRPr="00284759" w:rsidRDefault="006E6A57" w:rsidP="00FC2D03">
                    <w:pPr>
                      <w:spacing w:after="0" w:line="276" w:lineRule="auto"/>
                      <w:jc w:val="both"/>
                      <w:rPr>
                        <w:rFonts w:ascii="Verdana" w:hAnsi="Verdana"/>
                        <w:sz w:val="20"/>
                        <w:szCs w:val="20"/>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85273" w14:textId="77777777" w:rsidR="00820E24" w:rsidRDefault="00820E24" w:rsidP="006E6A57">
      <w:pPr>
        <w:spacing w:after="0" w:line="240" w:lineRule="auto"/>
      </w:pPr>
      <w:r>
        <w:separator/>
      </w:r>
    </w:p>
  </w:footnote>
  <w:footnote w:type="continuationSeparator" w:id="0">
    <w:p w14:paraId="6845F946" w14:textId="77777777" w:rsidR="00820E24" w:rsidRDefault="00820E24" w:rsidP="006E6A57">
      <w:pPr>
        <w:spacing w:after="0" w:line="240" w:lineRule="auto"/>
      </w:pPr>
      <w:r>
        <w:continuationSeparator/>
      </w:r>
    </w:p>
  </w:footnote>
  <w:footnote w:type="continuationNotice" w:id="1">
    <w:p w14:paraId="3C2F577A" w14:textId="77777777" w:rsidR="00820E24" w:rsidRDefault="00820E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F1A69" w14:textId="77777777" w:rsidR="006E6A57" w:rsidRDefault="006E6A57">
    <w:pPr>
      <w:pStyle w:val="Encabezado"/>
    </w:pPr>
    <w:r>
      <w:rPr>
        <w:noProof/>
      </w:rPr>
      <w:drawing>
        <wp:anchor distT="0" distB="0" distL="114300" distR="114300" simplePos="0" relativeHeight="251658241" behindDoc="1" locked="0" layoutInCell="1" allowOverlap="1" wp14:anchorId="582F934A" wp14:editId="34326DC0">
          <wp:simplePos x="0" y="0"/>
          <wp:positionH relativeFrom="column">
            <wp:posOffset>-1104861</wp:posOffset>
          </wp:positionH>
          <wp:positionV relativeFrom="paragraph">
            <wp:posOffset>-423454</wp:posOffset>
          </wp:positionV>
          <wp:extent cx="7805784" cy="12805568"/>
          <wp:effectExtent l="0" t="0" r="0" b="0"/>
          <wp:wrapNone/>
          <wp:docPr id="347244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4443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805784" cy="12805568"/>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44F56"/>
    <w:multiLevelType w:val="multilevel"/>
    <w:tmpl w:val="CF6E6EBE"/>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FA054C3"/>
    <w:multiLevelType w:val="hybridMultilevel"/>
    <w:tmpl w:val="2D8A8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A4E124B"/>
    <w:multiLevelType w:val="multilevel"/>
    <w:tmpl w:val="12B031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6FA39B7"/>
    <w:multiLevelType w:val="multilevel"/>
    <w:tmpl w:val="A2FACA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B460334"/>
    <w:multiLevelType w:val="multilevel"/>
    <w:tmpl w:val="36EA2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9586C"/>
    <w:multiLevelType w:val="hybridMultilevel"/>
    <w:tmpl w:val="A63A97D6"/>
    <w:lvl w:ilvl="0" w:tplc="56C8BA2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B2C6291"/>
    <w:multiLevelType w:val="multilevel"/>
    <w:tmpl w:val="603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0B38AA"/>
    <w:multiLevelType w:val="multilevel"/>
    <w:tmpl w:val="F3268B60"/>
    <w:lvl w:ilvl="0">
      <w:start w:val="3"/>
      <w:numFmt w:val="upperRoman"/>
      <w:lvlText w:val="%1."/>
      <w:lvlJc w:val="right"/>
      <w:pPr>
        <w:tabs>
          <w:tab w:val="num" w:pos="720"/>
        </w:tabs>
        <w:ind w:left="720" w:hanging="360"/>
      </w:pPr>
      <w:rPr>
        <w:b/>
        <w:bCs/>
        <w:sz w:val="22"/>
        <w:szCs w:val="22"/>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15:restartNumberingAfterBreak="0">
    <w:nsid w:val="617B695F"/>
    <w:multiLevelType w:val="multilevel"/>
    <w:tmpl w:val="4F562E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61E84645"/>
    <w:multiLevelType w:val="multilevel"/>
    <w:tmpl w:val="3258A4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74A10D17"/>
    <w:multiLevelType w:val="hybridMultilevel"/>
    <w:tmpl w:val="8C52B384"/>
    <w:lvl w:ilvl="0" w:tplc="206AE4B4">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83956488">
    <w:abstractNumId w:val="0"/>
  </w:num>
  <w:num w:numId="2" w16cid:durableId="112292174">
    <w:abstractNumId w:val="6"/>
  </w:num>
  <w:num w:numId="3" w16cid:durableId="1497720058">
    <w:abstractNumId w:val="10"/>
  </w:num>
  <w:num w:numId="4" w16cid:durableId="1643464235">
    <w:abstractNumId w:val="1"/>
  </w:num>
  <w:num w:numId="5" w16cid:durableId="460224305">
    <w:abstractNumId w:val="2"/>
  </w:num>
  <w:num w:numId="6" w16cid:durableId="233123564">
    <w:abstractNumId w:val="9"/>
  </w:num>
  <w:num w:numId="7" w16cid:durableId="268660905">
    <w:abstractNumId w:val="3"/>
  </w:num>
  <w:num w:numId="8" w16cid:durableId="272439434">
    <w:abstractNumId w:val="8"/>
  </w:num>
  <w:num w:numId="9" w16cid:durableId="733896258">
    <w:abstractNumId w:val="5"/>
  </w:num>
  <w:num w:numId="10" w16cid:durableId="639656059">
    <w:abstractNumId w:val="7"/>
  </w:num>
  <w:num w:numId="11" w16cid:durableId="42808758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A57"/>
    <w:rsid w:val="00000FDB"/>
    <w:rsid w:val="0001283F"/>
    <w:rsid w:val="00013DD9"/>
    <w:rsid w:val="00016F22"/>
    <w:rsid w:val="00016FB5"/>
    <w:rsid w:val="00020FE8"/>
    <w:rsid w:val="00021092"/>
    <w:rsid w:val="000266F2"/>
    <w:rsid w:val="00026900"/>
    <w:rsid w:val="0002757A"/>
    <w:rsid w:val="000306CB"/>
    <w:rsid w:val="000338E3"/>
    <w:rsid w:val="00045747"/>
    <w:rsid w:val="00051F53"/>
    <w:rsid w:val="00055325"/>
    <w:rsid w:val="00056013"/>
    <w:rsid w:val="0005746C"/>
    <w:rsid w:val="00060159"/>
    <w:rsid w:val="000625F7"/>
    <w:rsid w:val="000643B3"/>
    <w:rsid w:val="00065A44"/>
    <w:rsid w:val="00065C34"/>
    <w:rsid w:val="000671F7"/>
    <w:rsid w:val="00072CC0"/>
    <w:rsid w:val="00074AAB"/>
    <w:rsid w:val="000766A8"/>
    <w:rsid w:val="000772F1"/>
    <w:rsid w:val="000809F4"/>
    <w:rsid w:val="000826B4"/>
    <w:rsid w:val="000831F2"/>
    <w:rsid w:val="00086098"/>
    <w:rsid w:val="00086644"/>
    <w:rsid w:val="00090602"/>
    <w:rsid w:val="00090B2C"/>
    <w:rsid w:val="000932CA"/>
    <w:rsid w:val="00095470"/>
    <w:rsid w:val="000979B5"/>
    <w:rsid w:val="000A03EE"/>
    <w:rsid w:val="000A25A0"/>
    <w:rsid w:val="000A3688"/>
    <w:rsid w:val="000A3864"/>
    <w:rsid w:val="000A4AB2"/>
    <w:rsid w:val="000A4BA7"/>
    <w:rsid w:val="000A740B"/>
    <w:rsid w:val="000A7809"/>
    <w:rsid w:val="000A7982"/>
    <w:rsid w:val="000B2CC4"/>
    <w:rsid w:val="000B483F"/>
    <w:rsid w:val="000B6FDE"/>
    <w:rsid w:val="000C0291"/>
    <w:rsid w:val="000C1E06"/>
    <w:rsid w:val="000C1E2C"/>
    <w:rsid w:val="000C26BC"/>
    <w:rsid w:val="000C4F21"/>
    <w:rsid w:val="000C51B3"/>
    <w:rsid w:val="000C6215"/>
    <w:rsid w:val="000D2C52"/>
    <w:rsid w:val="000D62E4"/>
    <w:rsid w:val="000E045C"/>
    <w:rsid w:val="000E0A9F"/>
    <w:rsid w:val="000E278A"/>
    <w:rsid w:val="000E3AB0"/>
    <w:rsid w:val="000E52DC"/>
    <w:rsid w:val="000E65A5"/>
    <w:rsid w:val="000F0B97"/>
    <w:rsid w:val="000F187B"/>
    <w:rsid w:val="000F2D24"/>
    <w:rsid w:val="000F2F41"/>
    <w:rsid w:val="000F417F"/>
    <w:rsid w:val="000F4B47"/>
    <w:rsid w:val="000F5A75"/>
    <w:rsid w:val="000F5D82"/>
    <w:rsid w:val="000F60C4"/>
    <w:rsid w:val="000F6B8B"/>
    <w:rsid w:val="000F7048"/>
    <w:rsid w:val="001008B3"/>
    <w:rsid w:val="001056BC"/>
    <w:rsid w:val="00105E27"/>
    <w:rsid w:val="00114E75"/>
    <w:rsid w:val="00117485"/>
    <w:rsid w:val="001213A6"/>
    <w:rsid w:val="00134BE7"/>
    <w:rsid w:val="00134DA9"/>
    <w:rsid w:val="0013771F"/>
    <w:rsid w:val="00144AB9"/>
    <w:rsid w:val="00152799"/>
    <w:rsid w:val="00153221"/>
    <w:rsid w:val="001541CC"/>
    <w:rsid w:val="00154FD1"/>
    <w:rsid w:val="00155FD1"/>
    <w:rsid w:val="0015703D"/>
    <w:rsid w:val="00157308"/>
    <w:rsid w:val="00160CCA"/>
    <w:rsid w:val="00164D02"/>
    <w:rsid w:val="00164D17"/>
    <w:rsid w:val="0016519D"/>
    <w:rsid w:val="0016539F"/>
    <w:rsid w:val="0016649A"/>
    <w:rsid w:val="0016769B"/>
    <w:rsid w:val="00167D4E"/>
    <w:rsid w:val="00172A79"/>
    <w:rsid w:val="00172FAD"/>
    <w:rsid w:val="0017317A"/>
    <w:rsid w:val="00176E57"/>
    <w:rsid w:val="001853E4"/>
    <w:rsid w:val="00186EF8"/>
    <w:rsid w:val="0018792D"/>
    <w:rsid w:val="00192704"/>
    <w:rsid w:val="0019312F"/>
    <w:rsid w:val="00193867"/>
    <w:rsid w:val="0019749D"/>
    <w:rsid w:val="001A019A"/>
    <w:rsid w:val="001B0F66"/>
    <w:rsid w:val="001B1D58"/>
    <w:rsid w:val="001B37F7"/>
    <w:rsid w:val="001C1A60"/>
    <w:rsid w:val="001C4FEC"/>
    <w:rsid w:val="001C5AE1"/>
    <w:rsid w:val="001D0161"/>
    <w:rsid w:val="001D10EB"/>
    <w:rsid w:val="001D3F21"/>
    <w:rsid w:val="001E0576"/>
    <w:rsid w:val="001E2B8C"/>
    <w:rsid w:val="001E3BD6"/>
    <w:rsid w:val="001E4219"/>
    <w:rsid w:val="001E525E"/>
    <w:rsid w:val="001E6655"/>
    <w:rsid w:val="001F1559"/>
    <w:rsid w:val="001F50BA"/>
    <w:rsid w:val="001F57F9"/>
    <w:rsid w:val="001F5D5A"/>
    <w:rsid w:val="002018CB"/>
    <w:rsid w:val="00206BA3"/>
    <w:rsid w:val="00210F2A"/>
    <w:rsid w:val="00216832"/>
    <w:rsid w:val="0021759A"/>
    <w:rsid w:val="0022267D"/>
    <w:rsid w:val="0022372C"/>
    <w:rsid w:val="002242C0"/>
    <w:rsid w:val="00227C83"/>
    <w:rsid w:val="0023157C"/>
    <w:rsid w:val="00231B5A"/>
    <w:rsid w:val="00232CA5"/>
    <w:rsid w:val="0023675F"/>
    <w:rsid w:val="00240E3D"/>
    <w:rsid w:val="002411DD"/>
    <w:rsid w:val="002423A5"/>
    <w:rsid w:val="002439C0"/>
    <w:rsid w:val="0024550D"/>
    <w:rsid w:val="00246643"/>
    <w:rsid w:val="00253189"/>
    <w:rsid w:val="0025632B"/>
    <w:rsid w:val="00260BFD"/>
    <w:rsid w:val="00270FB8"/>
    <w:rsid w:val="00272768"/>
    <w:rsid w:val="00274010"/>
    <w:rsid w:val="002746A2"/>
    <w:rsid w:val="002772A4"/>
    <w:rsid w:val="00280459"/>
    <w:rsid w:val="002812F6"/>
    <w:rsid w:val="00281635"/>
    <w:rsid w:val="002834F8"/>
    <w:rsid w:val="00283B9A"/>
    <w:rsid w:val="00287343"/>
    <w:rsid w:val="00290CD4"/>
    <w:rsid w:val="00291FEC"/>
    <w:rsid w:val="00291FF8"/>
    <w:rsid w:val="00294330"/>
    <w:rsid w:val="00294448"/>
    <w:rsid w:val="00295425"/>
    <w:rsid w:val="002957EF"/>
    <w:rsid w:val="00296E03"/>
    <w:rsid w:val="002A1178"/>
    <w:rsid w:val="002A66DE"/>
    <w:rsid w:val="002A74C5"/>
    <w:rsid w:val="002B00E6"/>
    <w:rsid w:val="002B0128"/>
    <w:rsid w:val="002B0A8C"/>
    <w:rsid w:val="002B3D74"/>
    <w:rsid w:val="002B522E"/>
    <w:rsid w:val="002C2ACF"/>
    <w:rsid w:val="002C7B6A"/>
    <w:rsid w:val="002D1C04"/>
    <w:rsid w:val="002D3EA4"/>
    <w:rsid w:val="002D435B"/>
    <w:rsid w:val="002D521C"/>
    <w:rsid w:val="002D5E2F"/>
    <w:rsid w:val="002E10F9"/>
    <w:rsid w:val="002E1154"/>
    <w:rsid w:val="002E2E5B"/>
    <w:rsid w:val="002E3C0B"/>
    <w:rsid w:val="002E527B"/>
    <w:rsid w:val="002E5CE4"/>
    <w:rsid w:val="002E6672"/>
    <w:rsid w:val="002F1D95"/>
    <w:rsid w:val="002F3C4C"/>
    <w:rsid w:val="002F5E25"/>
    <w:rsid w:val="003001CB"/>
    <w:rsid w:val="003078F4"/>
    <w:rsid w:val="00311ECB"/>
    <w:rsid w:val="0031249E"/>
    <w:rsid w:val="0031624D"/>
    <w:rsid w:val="0031763A"/>
    <w:rsid w:val="003215DC"/>
    <w:rsid w:val="00321C9C"/>
    <w:rsid w:val="003229DC"/>
    <w:rsid w:val="003246F0"/>
    <w:rsid w:val="00325828"/>
    <w:rsid w:val="0033178D"/>
    <w:rsid w:val="00335956"/>
    <w:rsid w:val="00336A40"/>
    <w:rsid w:val="00341D37"/>
    <w:rsid w:val="003439EE"/>
    <w:rsid w:val="00346ED1"/>
    <w:rsid w:val="003522F0"/>
    <w:rsid w:val="0035360F"/>
    <w:rsid w:val="003537BC"/>
    <w:rsid w:val="00355663"/>
    <w:rsid w:val="00356CF5"/>
    <w:rsid w:val="00357A85"/>
    <w:rsid w:val="00361309"/>
    <w:rsid w:val="00362914"/>
    <w:rsid w:val="00362AAC"/>
    <w:rsid w:val="00365634"/>
    <w:rsid w:val="00371616"/>
    <w:rsid w:val="00372AB0"/>
    <w:rsid w:val="00372AD4"/>
    <w:rsid w:val="00372CD4"/>
    <w:rsid w:val="00380306"/>
    <w:rsid w:val="00383D9C"/>
    <w:rsid w:val="00386CD4"/>
    <w:rsid w:val="00387B32"/>
    <w:rsid w:val="0039169C"/>
    <w:rsid w:val="00397FCE"/>
    <w:rsid w:val="003A3B5B"/>
    <w:rsid w:val="003A4BAE"/>
    <w:rsid w:val="003A4C15"/>
    <w:rsid w:val="003B1951"/>
    <w:rsid w:val="003B511E"/>
    <w:rsid w:val="003B7826"/>
    <w:rsid w:val="003C02B9"/>
    <w:rsid w:val="003C711E"/>
    <w:rsid w:val="003C7D86"/>
    <w:rsid w:val="003D1845"/>
    <w:rsid w:val="003D5D34"/>
    <w:rsid w:val="003D6A78"/>
    <w:rsid w:val="003D7785"/>
    <w:rsid w:val="003D7C4A"/>
    <w:rsid w:val="003E04F5"/>
    <w:rsid w:val="003E1A31"/>
    <w:rsid w:val="003E2D6A"/>
    <w:rsid w:val="003E5D66"/>
    <w:rsid w:val="003F3349"/>
    <w:rsid w:val="003F3D68"/>
    <w:rsid w:val="003F42CB"/>
    <w:rsid w:val="004024C3"/>
    <w:rsid w:val="00402770"/>
    <w:rsid w:val="004052F6"/>
    <w:rsid w:val="004074AC"/>
    <w:rsid w:val="00412E09"/>
    <w:rsid w:val="004215C4"/>
    <w:rsid w:val="00423147"/>
    <w:rsid w:val="00424B89"/>
    <w:rsid w:val="00430334"/>
    <w:rsid w:val="00430CEC"/>
    <w:rsid w:val="0043559B"/>
    <w:rsid w:val="00435915"/>
    <w:rsid w:val="00436C85"/>
    <w:rsid w:val="00437574"/>
    <w:rsid w:val="00445216"/>
    <w:rsid w:val="004468DE"/>
    <w:rsid w:val="00446F59"/>
    <w:rsid w:val="004472DF"/>
    <w:rsid w:val="004536BA"/>
    <w:rsid w:val="004540B4"/>
    <w:rsid w:val="00456042"/>
    <w:rsid w:val="00456790"/>
    <w:rsid w:val="00456CCC"/>
    <w:rsid w:val="00460421"/>
    <w:rsid w:val="00460860"/>
    <w:rsid w:val="00465D52"/>
    <w:rsid w:val="00466000"/>
    <w:rsid w:val="004665F9"/>
    <w:rsid w:val="00467295"/>
    <w:rsid w:val="00476FBF"/>
    <w:rsid w:val="0047763D"/>
    <w:rsid w:val="00483E65"/>
    <w:rsid w:val="00483FAF"/>
    <w:rsid w:val="00484AD0"/>
    <w:rsid w:val="00487F83"/>
    <w:rsid w:val="00494998"/>
    <w:rsid w:val="004A098F"/>
    <w:rsid w:val="004A0B49"/>
    <w:rsid w:val="004A0EB2"/>
    <w:rsid w:val="004A741A"/>
    <w:rsid w:val="004B2271"/>
    <w:rsid w:val="004B2624"/>
    <w:rsid w:val="004C5613"/>
    <w:rsid w:val="004D05BC"/>
    <w:rsid w:val="004D2262"/>
    <w:rsid w:val="004E0B65"/>
    <w:rsid w:val="004E6D32"/>
    <w:rsid w:val="004F43E2"/>
    <w:rsid w:val="004F491E"/>
    <w:rsid w:val="004F57BE"/>
    <w:rsid w:val="00500754"/>
    <w:rsid w:val="005026C6"/>
    <w:rsid w:val="005029A2"/>
    <w:rsid w:val="00507126"/>
    <w:rsid w:val="00507731"/>
    <w:rsid w:val="0051082B"/>
    <w:rsid w:val="00510B4C"/>
    <w:rsid w:val="00512DAA"/>
    <w:rsid w:val="005145DA"/>
    <w:rsid w:val="00514E52"/>
    <w:rsid w:val="00516BBE"/>
    <w:rsid w:val="005215C4"/>
    <w:rsid w:val="005232EA"/>
    <w:rsid w:val="005259E1"/>
    <w:rsid w:val="0052689C"/>
    <w:rsid w:val="005276CA"/>
    <w:rsid w:val="00527AA9"/>
    <w:rsid w:val="00533CCC"/>
    <w:rsid w:val="00550160"/>
    <w:rsid w:val="00550B7B"/>
    <w:rsid w:val="00553D4E"/>
    <w:rsid w:val="005572A4"/>
    <w:rsid w:val="005572CF"/>
    <w:rsid w:val="00563D4D"/>
    <w:rsid w:val="005659CE"/>
    <w:rsid w:val="00570814"/>
    <w:rsid w:val="00570A73"/>
    <w:rsid w:val="005715E5"/>
    <w:rsid w:val="0057292A"/>
    <w:rsid w:val="00574E50"/>
    <w:rsid w:val="00576780"/>
    <w:rsid w:val="00585944"/>
    <w:rsid w:val="00586326"/>
    <w:rsid w:val="005A169B"/>
    <w:rsid w:val="005A47D0"/>
    <w:rsid w:val="005A6863"/>
    <w:rsid w:val="005A6A3B"/>
    <w:rsid w:val="005A7613"/>
    <w:rsid w:val="005B1281"/>
    <w:rsid w:val="005B1FBE"/>
    <w:rsid w:val="005B3212"/>
    <w:rsid w:val="005B4076"/>
    <w:rsid w:val="005C00A3"/>
    <w:rsid w:val="005C0618"/>
    <w:rsid w:val="005C26B8"/>
    <w:rsid w:val="005C31B8"/>
    <w:rsid w:val="005C3222"/>
    <w:rsid w:val="005C641F"/>
    <w:rsid w:val="005C6B28"/>
    <w:rsid w:val="005D79E5"/>
    <w:rsid w:val="005E1B5B"/>
    <w:rsid w:val="005E2B66"/>
    <w:rsid w:val="005E32C2"/>
    <w:rsid w:val="005E5B3D"/>
    <w:rsid w:val="005E5F28"/>
    <w:rsid w:val="005E7401"/>
    <w:rsid w:val="005E753A"/>
    <w:rsid w:val="005F07EB"/>
    <w:rsid w:val="005F097F"/>
    <w:rsid w:val="005F1A55"/>
    <w:rsid w:val="005F2D61"/>
    <w:rsid w:val="005F50E1"/>
    <w:rsid w:val="005F7805"/>
    <w:rsid w:val="00601079"/>
    <w:rsid w:val="00601ADF"/>
    <w:rsid w:val="00601C41"/>
    <w:rsid w:val="00610181"/>
    <w:rsid w:val="006102F0"/>
    <w:rsid w:val="006106C8"/>
    <w:rsid w:val="00612180"/>
    <w:rsid w:val="00614EFB"/>
    <w:rsid w:val="006166BF"/>
    <w:rsid w:val="00616A56"/>
    <w:rsid w:val="00616BCB"/>
    <w:rsid w:val="00625834"/>
    <w:rsid w:val="0062657B"/>
    <w:rsid w:val="006303D7"/>
    <w:rsid w:val="00630B0B"/>
    <w:rsid w:val="006334BC"/>
    <w:rsid w:val="00637256"/>
    <w:rsid w:val="006406C5"/>
    <w:rsid w:val="0064575A"/>
    <w:rsid w:val="00647A8F"/>
    <w:rsid w:val="006541D3"/>
    <w:rsid w:val="00660492"/>
    <w:rsid w:val="00662EC9"/>
    <w:rsid w:val="006631C7"/>
    <w:rsid w:val="0066651C"/>
    <w:rsid w:val="00671CED"/>
    <w:rsid w:val="00673B72"/>
    <w:rsid w:val="00674857"/>
    <w:rsid w:val="0067586C"/>
    <w:rsid w:val="00677A21"/>
    <w:rsid w:val="00677CA9"/>
    <w:rsid w:val="00682532"/>
    <w:rsid w:val="00686AD4"/>
    <w:rsid w:val="00693CB9"/>
    <w:rsid w:val="00696A45"/>
    <w:rsid w:val="006A374B"/>
    <w:rsid w:val="006A5993"/>
    <w:rsid w:val="006A6C0B"/>
    <w:rsid w:val="006B25DC"/>
    <w:rsid w:val="006B4838"/>
    <w:rsid w:val="006C6872"/>
    <w:rsid w:val="006D3C36"/>
    <w:rsid w:val="006D3E5C"/>
    <w:rsid w:val="006D4D81"/>
    <w:rsid w:val="006D7A88"/>
    <w:rsid w:val="006E2008"/>
    <w:rsid w:val="006E3171"/>
    <w:rsid w:val="006E34FE"/>
    <w:rsid w:val="006E38B3"/>
    <w:rsid w:val="006E3F26"/>
    <w:rsid w:val="006E4F65"/>
    <w:rsid w:val="006E5411"/>
    <w:rsid w:val="006E586A"/>
    <w:rsid w:val="006E5A1B"/>
    <w:rsid w:val="006E6A57"/>
    <w:rsid w:val="006E778B"/>
    <w:rsid w:val="006E7BA4"/>
    <w:rsid w:val="006F1631"/>
    <w:rsid w:val="006F2679"/>
    <w:rsid w:val="006F3A7B"/>
    <w:rsid w:val="006F5700"/>
    <w:rsid w:val="0070163E"/>
    <w:rsid w:val="00702C1E"/>
    <w:rsid w:val="00711DDA"/>
    <w:rsid w:val="007121DE"/>
    <w:rsid w:val="00725926"/>
    <w:rsid w:val="00726FC1"/>
    <w:rsid w:val="0072725C"/>
    <w:rsid w:val="00727DC0"/>
    <w:rsid w:val="007300BD"/>
    <w:rsid w:val="007319E2"/>
    <w:rsid w:val="00731D17"/>
    <w:rsid w:val="0073462D"/>
    <w:rsid w:val="00736248"/>
    <w:rsid w:val="00736746"/>
    <w:rsid w:val="007374A7"/>
    <w:rsid w:val="00737A8B"/>
    <w:rsid w:val="00750C49"/>
    <w:rsid w:val="00751FBA"/>
    <w:rsid w:val="00753704"/>
    <w:rsid w:val="00753CD5"/>
    <w:rsid w:val="00753E02"/>
    <w:rsid w:val="00754A1B"/>
    <w:rsid w:val="00754B05"/>
    <w:rsid w:val="00766683"/>
    <w:rsid w:val="00766B33"/>
    <w:rsid w:val="007707C5"/>
    <w:rsid w:val="00772630"/>
    <w:rsid w:val="0077269F"/>
    <w:rsid w:val="00772C8C"/>
    <w:rsid w:val="0077454D"/>
    <w:rsid w:val="00780928"/>
    <w:rsid w:val="0078247C"/>
    <w:rsid w:val="00782963"/>
    <w:rsid w:val="00783893"/>
    <w:rsid w:val="00783933"/>
    <w:rsid w:val="00785BDA"/>
    <w:rsid w:val="007940E5"/>
    <w:rsid w:val="00796713"/>
    <w:rsid w:val="00797507"/>
    <w:rsid w:val="007A24C5"/>
    <w:rsid w:val="007A2F15"/>
    <w:rsid w:val="007A5141"/>
    <w:rsid w:val="007B5BFA"/>
    <w:rsid w:val="007B6EE7"/>
    <w:rsid w:val="007C0463"/>
    <w:rsid w:val="007C1457"/>
    <w:rsid w:val="007C295A"/>
    <w:rsid w:val="007C4344"/>
    <w:rsid w:val="007C56A4"/>
    <w:rsid w:val="007C6069"/>
    <w:rsid w:val="007D37E6"/>
    <w:rsid w:val="007E1F7D"/>
    <w:rsid w:val="007E2FE9"/>
    <w:rsid w:val="007E33AA"/>
    <w:rsid w:val="007E43D5"/>
    <w:rsid w:val="007E4CA5"/>
    <w:rsid w:val="007E5468"/>
    <w:rsid w:val="007E6474"/>
    <w:rsid w:val="007E73B0"/>
    <w:rsid w:val="007F0CBF"/>
    <w:rsid w:val="007F6FE2"/>
    <w:rsid w:val="007F719E"/>
    <w:rsid w:val="007F7D9C"/>
    <w:rsid w:val="00803250"/>
    <w:rsid w:val="0080509D"/>
    <w:rsid w:val="00805224"/>
    <w:rsid w:val="008153F5"/>
    <w:rsid w:val="00816D55"/>
    <w:rsid w:val="00820E24"/>
    <w:rsid w:val="00821208"/>
    <w:rsid w:val="00824A43"/>
    <w:rsid w:val="00824F61"/>
    <w:rsid w:val="0082718F"/>
    <w:rsid w:val="008273F2"/>
    <w:rsid w:val="00827480"/>
    <w:rsid w:val="008303CE"/>
    <w:rsid w:val="00830E24"/>
    <w:rsid w:val="0083302B"/>
    <w:rsid w:val="00834CC2"/>
    <w:rsid w:val="008356D6"/>
    <w:rsid w:val="00836853"/>
    <w:rsid w:val="00836D41"/>
    <w:rsid w:val="008416D4"/>
    <w:rsid w:val="0084281F"/>
    <w:rsid w:val="00843A69"/>
    <w:rsid w:val="00847853"/>
    <w:rsid w:val="008522A1"/>
    <w:rsid w:val="00852B76"/>
    <w:rsid w:val="00853083"/>
    <w:rsid w:val="00870B9E"/>
    <w:rsid w:val="00871320"/>
    <w:rsid w:val="008731AB"/>
    <w:rsid w:val="00873BE4"/>
    <w:rsid w:val="008777E0"/>
    <w:rsid w:val="00880995"/>
    <w:rsid w:val="00882B5F"/>
    <w:rsid w:val="00884E84"/>
    <w:rsid w:val="008858E0"/>
    <w:rsid w:val="00887219"/>
    <w:rsid w:val="00887BDA"/>
    <w:rsid w:val="00892905"/>
    <w:rsid w:val="008929BA"/>
    <w:rsid w:val="00894D35"/>
    <w:rsid w:val="008979D0"/>
    <w:rsid w:val="008A1D54"/>
    <w:rsid w:val="008A7498"/>
    <w:rsid w:val="008B0D73"/>
    <w:rsid w:val="008B56E8"/>
    <w:rsid w:val="008B5C89"/>
    <w:rsid w:val="008B634C"/>
    <w:rsid w:val="008B6C71"/>
    <w:rsid w:val="008B75A8"/>
    <w:rsid w:val="008B75FF"/>
    <w:rsid w:val="008C2426"/>
    <w:rsid w:val="008C5038"/>
    <w:rsid w:val="008C5C1A"/>
    <w:rsid w:val="008C78DC"/>
    <w:rsid w:val="008D11DB"/>
    <w:rsid w:val="008D300F"/>
    <w:rsid w:val="008D7481"/>
    <w:rsid w:val="008E21C2"/>
    <w:rsid w:val="008E354F"/>
    <w:rsid w:val="008E3ADF"/>
    <w:rsid w:val="008E5EDB"/>
    <w:rsid w:val="008E6112"/>
    <w:rsid w:val="008E78B1"/>
    <w:rsid w:val="008E7B55"/>
    <w:rsid w:val="009009F5"/>
    <w:rsid w:val="00901C0E"/>
    <w:rsid w:val="009037FE"/>
    <w:rsid w:val="0090658E"/>
    <w:rsid w:val="0090697A"/>
    <w:rsid w:val="00906DCF"/>
    <w:rsid w:val="009106A7"/>
    <w:rsid w:val="00920BE1"/>
    <w:rsid w:val="00921599"/>
    <w:rsid w:val="00921E19"/>
    <w:rsid w:val="0092258D"/>
    <w:rsid w:val="009229AC"/>
    <w:rsid w:val="00922C64"/>
    <w:rsid w:val="009245EF"/>
    <w:rsid w:val="009302D1"/>
    <w:rsid w:val="00933309"/>
    <w:rsid w:val="00934F85"/>
    <w:rsid w:val="009355E3"/>
    <w:rsid w:val="00936B24"/>
    <w:rsid w:val="00936BB0"/>
    <w:rsid w:val="0094097E"/>
    <w:rsid w:val="00941426"/>
    <w:rsid w:val="009424B4"/>
    <w:rsid w:val="00944F51"/>
    <w:rsid w:val="0094644D"/>
    <w:rsid w:val="00946AB1"/>
    <w:rsid w:val="0095120E"/>
    <w:rsid w:val="00952ED7"/>
    <w:rsid w:val="00954A02"/>
    <w:rsid w:val="00956F07"/>
    <w:rsid w:val="009611A7"/>
    <w:rsid w:val="0096530D"/>
    <w:rsid w:val="00966889"/>
    <w:rsid w:val="0097144E"/>
    <w:rsid w:val="00974A04"/>
    <w:rsid w:val="00983FC0"/>
    <w:rsid w:val="00984FCB"/>
    <w:rsid w:val="00987D72"/>
    <w:rsid w:val="00987E64"/>
    <w:rsid w:val="0099045B"/>
    <w:rsid w:val="0099731E"/>
    <w:rsid w:val="009A045F"/>
    <w:rsid w:val="009B1DB0"/>
    <w:rsid w:val="009B4980"/>
    <w:rsid w:val="009C165B"/>
    <w:rsid w:val="009D01AC"/>
    <w:rsid w:val="009D0870"/>
    <w:rsid w:val="009D3542"/>
    <w:rsid w:val="009D407B"/>
    <w:rsid w:val="009D6BF3"/>
    <w:rsid w:val="009D72F8"/>
    <w:rsid w:val="009E28A5"/>
    <w:rsid w:val="009E5E69"/>
    <w:rsid w:val="009E739B"/>
    <w:rsid w:val="009E76D2"/>
    <w:rsid w:val="009F2A9E"/>
    <w:rsid w:val="009F3388"/>
    <w:rsid w:val="009F51FA"/>
    <w:rsid w:val="009F6CBC"/>
    <w:rsid w:val="009F74CF"/>
    <w:rsid w:val="009F75A5"/>
    <w:rsid w:val="00A00879"/>
    <w:rsid w:val="00A03BED"/>
    <w:rsid w:val="00A074FE"/>
    <w:rsid w:val="00A12090"/>
    <w:rsid w:val="00A129EF"/>
    <w:rsid w:val="00A1493F"/>
    <w:rsid w:val="00A16150"/>
    <w:rsid w:val="00A1626C"/>
    <w:rsid w:val="00A16C3A"/>
    <w:rsid w:val="00A17D6A"/>
    <w:rsid w:val="00A237A1"/>
    <w:rsid w:val="00A26EF0"/>
    <w:rsid w:val="00A30EB6"/>
    <w:rsid w:val="00A3406D"/>
    <w:rsid w:val="00A401FE"/>
    <w:rsid w:val="00A42550"/>
    <w:rsid w:val="00A47225"/>
    <w:rsid w:val="00A473A1"/>
    <w:rsid w:val="00A53208"/>
    <w:rsid w:val="00A547A6"/>
    <w:rsid w:val="00A54F6D"/>
    <w:rsid w:val="00A5631A"/>
    <w:rsid w:val="00A64D4B"/>
    <w:rsid w:val="00A71788"/>
    <w:rsid w:val="00A76ED8"/>
    <w:rsid w:val="00A77AA3"/>
    <w:rsid w:val="00A81C9A"/>
    <w:rsid w:val="00A84925"/>
    <w:rsid w:val="00A84BC3"/>
    <w:rsid w:val="00A86520"/>
    <w:rsid w:val="00A9047D"/>
    <w:rsid w:val="00A932B8"/>
    <w:rsid w:val="00A9361C"/>
    <w:rsid w:val="00A953E0"/>
    <w:rsid w:val="00A9700C"/>
    <w:rsid w:val="00A973F6"/>
    <w:rsid w:val="00A97C07"/>
    <w:rsid w:val="00AA0892"/>
    <w:rsid w:val="00AA31B1"/>
    <w:rsid w:val="00AA69A6"/>
    <w:rsid w:val="00AA7419"/>
    <w:rsid w:val="00AA7930"/>
    <w:rsid w:val="00AB29B5"/>
    <w:rsid w:val="00AB3557"/>
    <w:rsid w:val="00AB4988"/>
    <w:rsid w:val="00AC0BF1"/>
    <w:rsid w:val="00AC17F9"/>
    <w:rsid w:val="00AC5AAB"/>
    <w:rsid w:val="00AD245D"/>
    <w:rsid w:val="00AD4B16"/>
    <w:rsid w:val="00AD76A5"/>
    <w:rsid w:val="00AE32DC"/>
    <w:rsid w:val="00AE3661"/>
    <w:rsid w:val="00AE5D88"/>
    <w:rsid w:val="00AE600F"/>
    <w:rsid w:val="00AE6CA5"/>
    <w:rsid w:val="00AF564A"/>
    <w:rsid w:val="00B025DD"/>
    <w:rsid w:val="00B02C70"/>
    <w:rsid w:val="00B030EA"/>
    <w:rsid w:val="00B0351A"/>
    <w:rsid w:val="00B050D7"/>
    <w:rsid w:val="00B10186"/>
    <w:rsid w:val="00B14DA6"/>
    <w:rsid w:val="00B17472"/>
    <w:rsid w:val="00B21961"/>
    <w:rsid w:val="00B2271D"/>
    <w:rsid w:val="00B22E22"/>
    <w:rsid w:val="00B31874"/>
    <w:rsid w:val="00B3205D"/>
    <w:rsid w:val="00B4244D"/>
    <w:rsid w:val="00B43564"/>
    <w:rsid w:val="00B437DE"/>
    <w:rsid w:val="00B47D3A"/>
    <w:rsid w:val="00B5244F"/>
    <w:rsid w:val="00B535FC"/>
    <w:rsid w:val="00B54E00"/>
    <w:rsid w:val="00B56E5B"/>
    <w:rsid w:val="00B60835"/>
    <w:rsid w:val="00B63A28"/>
    <w:rsid w:val="00B64C17"/>
    <w:rsid w:val="00B67EE6"/>
    <w:rsid w:val="00B7218A"/>
    <w:rsid w:val="00B76445"/>
    <w:rsid w:val="00B7699B"/>
    <w:rsid w:val="00B81370"/>
    <w:rsid w:val="00B900AF"/>
    <w:rsid w:val="00B91972"/>
    <w:rsid w:val="00B94252"/>
    <w:rsid w:val="00B954BB"/>
    <w:rsid w:val="00B968FA"/>
    <w:rsid w:val="00BA3090"/>
    <w:rsid w:val="00BA41F7"/>
    <w:rsid w:val="00BA6F33"/>
    <w:rsid w:val="00BB1CAD"/>
    <w:rsid w:val="00BB269E"/>
    <w:rsid w:val="00BB3484"/>
    <w:rsid w:val="00BC5691"/>
    <w:rsid w:val="00BC793E"/>
    <w:rsid w:val="00BD23B7"/>
    <w:rsid w:val="00BD27F4"/>
    <w:rsid w:val="00BD3673"/>
    <w:rsid w:val="00BD4069"/>
    <w:rsid w:val="00BD57CB"/>
    <w:rsid w:val="00BE12C9"/>
    <w:rsid w:val="00BE16DA"/>
    <w:rsid w:val="00BE1ADD"/>
    <w:rsid w:val="00BE4853"/>
    <w:rsid w:val="00BE6815"/>
    <w:rsid w:val="00BF47C3"/>
    <w:rsid w:val="00BF6A5D"/>
    <w:rsid w:val="00C00753"/>
    <w:rsid w:val="00C0312C"/>
    <w:rsid w:val="00C03F82"/>
    <w:rsid w:val="00C10F0B"/>
    <w:rsid w:val="00C14B4D"/>
    <w:rsid w:val="00C211B9"/>
    <w:rsid w:val="00C30EDA"/>
    <w:rsid w:val="00C325BF"/>
    <w:rsid w:val="00C33007"/>
    <w:rsid w:val="00C35285"/>
    <w:rsid w:val="00C3691D"/>
    <w:rsid w:val="00C37628"/>
    <w:rsid w:val="00C413F0"/>
    <w:rsid w:val="00C41BCE"/>
    <w:rsid w:val="00C4261A"/>
    <w:rsid w:val="00C44A97"/>
    <w:rsid w:val="00C46E49"/>
    <w:rsid w:val="00C552DE"/>
    <w:rsid w:val="00C60CB1"/>
    <w:rsid w:val="00C65C1B"/>
    <w:rsid w:val="00C71EAB"/>
    <w:rsid w:val="00C75C62"/>
    <w:rsid w:val="00C76035"/>
    <w:rsid w:val="00C77F1E"/>
    <w:rsid w:val="00C83BA5"/>
    <w:rsid w:val="00C84FDE"/>
    <w:rsid w:val="00C86498"/>
    <w:rsid w:val="00C86B15"/>
    <w:rsid w:val="00C963A9"/>
    <w:rsid w:val="00CA02BA"/>
    <w:rsid w:val="00CA0E77"/>
    <w:rsid w:val="00CA1575"/>
    <w:rsid w:val="00CA732E"/>
    <w:rsid w:val="00CB534C"/>
    <w:rsid w:val="00CC07C3"/>
    <w:rsid w:val="00CC1D38"/>
    <w:rsid w:val="00CC4394"/>
    <w:rsid w:val="00CC4DD2"/>
    <w:rsid w:val="00CD0779"/>
    <w:rsid w:val="00CD4CF9"/>
    <w:rsid w:val="00CD5A86"/>
    <w:rsid w:val="00CD5E28"/>
    <w:rsid w:val="00CD79AB"/>
    <w:rsid w:val="00CE4420"/>
    <w:rsid w:val="00CE56EE"/>
    <w:rsid w:val="00CE5AC4"/>
    <w:rsid w:val="00CE6706"/>
    <w:rsid w:val="00CE67A5"/>
    <w:rsid w:val="00CF1030"/>
    <w:rsid w:val="00CF213F"/>
    <w:rsid w:val="00CF348A"/>
    <w:rsid w:val="00CF46B2"/>
    <w:rsid w:val="00CF619B"/>
    <w:rsid w:val="00D015C2"/>
    <w:rsid w:val="00D05614"/>
    <w:rsid w:val="00D057A3"/>
    <w:rsid w:val="00D061BA"/>
    <w:rsid w:val="00D075DE"/>
    <w:rsid w:val="00D106A0"/>
    <w:rsid w:val="00D11609"/>
    <w:rsid w:val="00D1773A"/>
    <w:rsid w:val="00D214EF"/>
    <w:rsid w:val="00D21D0A"/>
    <w:rsid w:val="00D23156"/>
    <w:rsid w:val="00D25913"/>
    <w:rsid w:val="00D25EDC"/>
    <w:rsid w:val="00D30B7A"/>
    <w:rsid w:val="00D324F2"/>
    <w:rsid w:val="00D32BA7"/>
    <w:rsid w:val="00D3571C"/>
    <w:rsid w:val="00D366BC"/>
    <w:rsid w:val="00D37BD7"/>
    <w:rsid w:val="00D40426"/>
    <w:rsid w:val="00D42405"/>
    <w:rsid w:val="00D453AE"/>
    <w:rsid w:val="00D465B8"/>
    <w:rsid w:val="00D509B4"/>
    <w:rsid w:val="00D552BD"/>
    <w:rsid w:val="00D568D2"/>
    <w:rsid w:val="00D56EB6"/>
    <w:rsid w:val="00D572C3"/>
    <w:rsid w:val="00D604B4"/>
    <w:rsid w:val="00D61951"/>
    <w:rsid w:val="00D6272D"/>
    <w:rsid w:val="00D642F2"/>
    <w:rsid w:val="00D67132"/>
    <w:rsid w:val="00D67F1C"/>
    <w:rsid w:val="00D776C6"/>
    <w:rsid w:val="00D77C8B"/>
    <w:rsid w:val="00D85B68"/>
    <w:rsid w:val="00D907CA"/>
    <w:rsid w:val="00D94DC4"/>
    <w:rsid w:val="00D96F7C"/>
    <w:rsid w:val="00DA36B7"/>
    <w:rsid w:val="00DA56DC"/>
    <w:rsid w:val="00DA5DC5"/>
    <w:rsid w:val="00DA7A18"/>
    <w:rsid w:val="00DB03F2"/>
    <w:rsid w:val="00DB0FB2"/>
    <w:rsid w:val="00DB1CB3"/>
    <w:rsid w:val="00DB60F3"/>
    <w:rsid w:val="00DC2FA6"/>
    <w:rsid w:val="00DC31C4"/>
    <w:rsid w:val="00DC52EC"/>
    <w:rsid w:val="00DC6A65"/>
    <w:rsid w:val="00DD0EEC"/>
    <w:rsid w:val="00DD619B"/>
    <w:rsid w:val="00DE185E"/>
    <w:rsid w:val="00DE2F0D"/>
    <w:rsid w:val="00DE35EE"/>
    <w:rsid w:val="00DE611D"/>
    <w:rsid w:val="00DF0E7B"/>
    <w:rsid w:val="00DF1442"/>
    <w:rsid w:val="00DF15D2"/>
    <w:rsid w:val="00DF283F"/>
    <w:rsid w:val="00DF42E2"/>
    <w:rsid w:val="00DF7FFB"/>
    <w:rsid w:val="00E01519"/>
    <w:rsid w:val="00E04400"/>
    <w:rsid w:val="00E05D17"/>
    <w:rsid w:val="00E07F98"/>
    <w:rsid w:val="00E14D75"/>
    <w:rsid w:val="00E157C3"/>
    <w:rsid w:val="00E15861"/>
    <w:rsid w:val="00E21BCA"/>
    <w:rsid w:val="00E23B23"/>
    <w:rsid w:val="00E23F03"/>
    <w:rsid w:val="00E24634"/>
    <w:rsid w:val="00E26FE0"/>
    <w:rsid w:val="00E27254"/>
    <w:rsid w:val="00E277AB"/>
    <w:rsid w:val="00E309F2"/>
    <w:rsid w:val="00E32EA3"/>
    <w:rsid w:val="00E33214"/>
    <w:rsid w:val="00E34E31"/>
    <w:rsid w:val="00E355B4"/>
    <w:rsid w:val="00E35B65"/>
    <w:rsid w:val="00E36C9D"/>
    <w:rsid w:val="00E40AE1"/>
    <w:rsid w:val="00E42A25"/>
    <w:rsid w:val="00E45BE0"/>
    <w:rsid w:val="00E520D1"/>
    <w:rsid w:val="00E5221C"/>
    <w:rsid w:val="00E55233"/>
    <w:rsid w:val="00E55D7D"/>
    <w:rsid w:val="00E56F6F"/>
    <w:rsid w:val="00E65290"/>
    <w:rsid w:val="00E70FC3"/>
    <w:rsid w:val="00E71441"/>
    <w:rsid w:val="00E73C38"/>
    <w:rsid w:val="00E7797F"/>
    <w:rsid w:val="00E83707"/>
    <w:rsid w:val="00E83E7D"/>
    <w:rsid w:val="00E857D7"/>
    <w:rsid w:val="00E91DC0"/>
    <w:rsid w:val="00E94171"/>
    <w:rsid w:val="00E944DB"/>
    <w:rsid w:val="00E96481"/>
    <w:rsid w:val="00E96C10"/>
    <w:rsid w:val="00EA0F5D"/>
    <w:rsid w:val="00EA11E4"/>
    <w:rsid w:val="00EA7671"/>
    <w:rsid w:val="00EA76BE"/>
    <w:rsid w:val="00EB390F"/>
    <w:rsid w:val="00EB5D39"/>
    <w:rsid w:val="00EB5F17"/>
    <w:rsid w:val="00EB782D"/>
    <w:rsid w:val="00EC6FCF"/>
    <w:rsid w:val="00ED23E3"/>
    <w:rsid w:val="00ED73E8"/>
    <w:rsid w:val="00EE1C2D"/>
    <w:rsid w:val="00EE1F6B"/>
    <w:rsid w:val="00EE50AC"/>
    <w:rsid w:val="00EE57EF"/>
    <w:rsid w:val="00EE6469"/>
    <w:rsid w:val="00EE7C4F"/>
    <w:rsid w:val="00EF5956"/>
    <w:rsid w:val="00EF5AE3"/>
    <w:rsid w:val="00F02B4A"/>
    <w:rsid w:val="00F02E0D"/>
    <w:rsid w:val="00F04AD3"/>
    <w:rsid w:val="00F0531C"/>
    <w:rsid w:val="00F06D78"/>
    <w:rsid w:val="00F11951"/>
    <w:rsid w:val="00F16583"/>
    <w:rsid w:val="00F16ED8"/>
    <w:rsid w:val="00F24536"/>
    <w:rsid w:val="00F2569D"/>
    <w:rsid w:val="00F26294"/>
    <w:rsid w:val="00F26386"/>
    <w:rsid w:val="00F3047D"/>
    <w:rsid w:val="00F306E5"/>
    <w:rsid w:val="00F37157"/>
    <w:rsid w:val="00F4209C"/>
    <w:rsid w:val="00F51727"/>
    <w:rsid w:val="00F5354C"/>
    <w:rsid w:val="00F54A96"/>
    <w:rsid w:val="00F55247"/>
    <w:rsid w:val="00F56D5E"/>
    <w:rsid w:val="00F57BE8"/>
    <w:rsid w:val="00F625F9"/>
    <w:rsid w:val="00F6393C"/>
    <w:rsid w:val="00F67C25"/>
    <w:rsid w:val="00F70D6C"/>
    <w:rsid w:val="00F74649"/>
    <w:rsid w:val="00F74B2E"/>
    <w:rsid w:val="00F77FC0"/>
    <w:rsid w:val="00F81AAD"/>
    <w:rsid w:val="00FA146E"/>
    <w:rsid w:val="00FA27D4"/>
    <w:rsid w:val="00FA4102"/>
    <w:rsid w:val="00FA4EE8"/>
    <w:rsid w:val="00FA6791"/>
    <w:rsid w:val="00FA6FCF"/>
    <w:rsid w:val="00FB2C0F"/>
    <w:rsid w:val="00FB4EB5"/>
    <w:rsid w:val="00FB5A96"/>
    <w:rsid w:val="00FB74B8"/>
    <w:rsid w:val="00FC00EF"/>
    <w:rsid w:val="00FC143D"/>
    <w:rsid w:val="00FC257E"/>
    <w:rsid w:val="00FC2D03"/>
    <w:rsid w:val="00FC6D89"/>
    <w:rsid w:val="00FC78C5"/>
    <w:rsid w:val="00FC7FD9"/>
    <w:rsid w:val="00FD3769"/>
    <w:rsid w:val="00FD5A70"/>
    <w:rsid w:val="00FE1A31"/>
    <w:rsid w:val="00FE2EC6"/>
    <w:rsid w:val="00FE59AE"/>
    <w:rsid w:val="00FE61BE"/>
    <w:rsid w:val="00FE632D"/>
    <w:rsid w:val="00FE6CAC"/>
    <w:rsid w:val="00FF080B"/>
    <w:rsid w:val="00FF20CB"/>
    <w:rsid w:val="00FF21AB"/>
    <w:rsid w:val="00FF314D"/>
    <w:rsid w:val="00FF341F"/>
    <w:rsid w:val="00FF5BE4"/>
    <w:rsid w:val="00FF5C4F"/>
    <w:rsid w:val="0ECE7BD9"/>
    <w:rsid w:val="11884506"/>
    <w:rsid w:val="19B4AC6D"/>
    <w:rsid w:val="19EF18B4"/>
    <w:rsid w:val="2D1C3C2D"/>
    <w:rsid w:val="550FC1B9"/>
    <w:rsid w:val="5790DFA6"/>
    <w:rsid w:val="6EC16B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CA4800"/>
  <w15:chartTrackingRefBased/>
  <w15:docId w15:val="{A3A871F6-31EA-4728-A976-74267AE6B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A57"/>
    <w:pPr>
      <w:spacing w:line="259" w:lineRule="auto"/>
    </w:pPr>
    <w:rPr>
      <w:sz w:val="22"/>
      <w:szCs w:val="22"/>
    </w:rPr>
  </w:style>
  <w:style w:type="paragraph" w:styleId="Ttulo1">
    <w:name w:val="heading 1"/>
    <w:basedOn w:val="Normal"/>
    <w:next w:val="Normal"/>
    <w:link w:val="Ttulo1Car"/>
    <w:uiPriority w:val="9"/>
    <w:qFormat/>
    <w:rsid w:val="006E6A5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6A5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6A57"/>
    <w:pPr>
      <w:keepNext/>
      <w:keepLines/>
      <w:spacing w:before="160" w:after="80" w:line="278" w:lineRule="auto"/>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6A57"/>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Ttulo5">
    <w:name w:val="heading 5"/>
    <w:basedOn w:val="Normal"/>
    <w:next w:val="Normal"/>
    <w:link w:val="Ttulo5Car"/>
    <w:uiPriority w:val="9"/>
    <w:semiHidden/>
    <w:unhideWhenUsed/>
    <w:qFormat/>
    <w:rsid w:val="006E6A57"/>
    <w:pPr>
      <w:keepNext/>
      <w:keepLines/>
      <w:spacing w:before="80" w:after="40" w:line="278" w:lineRule="auto"/>
      <w:outlineLvl w:val="4"/>
    </w:pPr>
    <w:rPr>
      <w:rFonts w:eastAsiaTheme="majorEastAsia" w:cstheme="majorBidi"/>
      <w:color w:val="0F4761" w:themeColor="accent1" w:themeShade="BF"/>
      <w:sz w:val="24"/>
      <w:szCs w:val="24"/>
    </w:rPr>
  </w:style>
  <w:style w:type="paragraph" w:styleId="Ttulo6">
    <w:name w:val="heading 6"/>
    <w:basedOn w:val="Normal"/>
    <w:next w:val="Normal"/>
    <w:link w:val="Ttulo6Car"/>
    <w:uiPriority w:val="9"/>
    <w:semiHidden/>
    <w:unhideWhenUsed/>
    <w:qFormat/>
    <w:rsid w:val="006E6A57"/>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Ttulo7">
    <w:name w:val="heading 7"/>
    <w:basedOn w:val="Normal"/>
    <w:next w:val="Normal"/>
    <w:link w:val="Ttulo7Car"/>
    <w:uiPriority w:val="9"/>
    <w:semiHidden/>
    <w:unhideWhenUsed/>
    <w:qFormat/>
    <w:rsid w:val="006E6A57"/>
    <w:pPr>
      <w:keepNext/>
      <w:keepLines/>
      <w:spacing w:before="40" w:after="0" w:line="278" w:lineRule="auto"/>
      <w:outlineLvl w:val="6"/>
    </w:pPr>
    <w:rPr>
      <w:rFonts w:eastAsiaTheme="majorEastAsia" w:cstheme="majorBidi"/>
      <w:color w:val="595959" w:themeColor="text1" w:themeTint="A6"/>
      <w:sz w:val="24"/>
      <w:szCs w:val="24"/>
    </w:rPr>
  </w:style>
  <w:style w:type="paragraph" w:styleId="Ttulo8">
    <w:name w:val="heading 8"/>
    <w:basedOn w:val="Normal"/>
    <w:next w:val="Normal"/>
    <w:link w:val="Ttulo8Car"/>
    <w:uiPriority w:val="9"/>
    <w:semiHidden/>
    <w:unhideWhenUsed/>
    <w:qFormat/>
    <w:rsid w:val="006E6A57"/>
    <w:pPr>
      <w:keepNext/>
      <w:keepLines/>
      <w:spacing w:after="0" w:line="278" w:lineRule="auto"/>
      <w:outlineLvl w:val="7"/>
    </w:pPr>
    <w:rPr>
      <w:rFonts w:eastAsiaTheme="majorEastAsia" w:cstheme="majorBidi"/>
      <w:i/>
      <w:iCs/>
      <w:color w:val="272727" w:themeColor="text1" w:themeTint="D8"/>
      <w:sz w:val="24"/>
      <w:szCs w:val="24"/>
    </w:rPr>
  </w:style>
  <w:style w:type="paragraph" w:styleId="Ttulo9">
    <w:name w:val="heading 9"/>
    <w:basedOn w:val="Normal"/>
    <w:next w:val="Normal"/>
    <w:link w:val="Ttulo9Car"/>
    <w:uiPriority w:val="9"/>
    <w:semiHidden/>
    <w:unhideWhenUsed/>
    <w:qFormat/>
    <w:rsid w:val="006E6A57"/>
    <w:pPr>
      <w:keepNext/>
      <w:keepLines/>
      <w:spacing w:after="0" w:line="278" w:lineRule="auto"/>
      <w:outlineLvl w:val="8"/>
    </w:pPr>
    <w:rPr>
      <w:rFonts w:eastAsiaTheme="majorEastAsia" w:cstheme="majorBidi"/>
      <w:color w:val="272727" w:themeColor="text1" w:themeTint="D8"/>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6A5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6A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6A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6A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6A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6A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6A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6A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6A57"/>
    <w:rPr>
      <w:rFonts w:eastAsiaTheme="majorEastAsia" w:cstheme="majorBidi"/>
      <w:color w:val="272727" w:themeColor="text1" w:themeTint="D8"/>
    </w:rPr>
  </w:style>
  <w:style w:type="paragraph" w:styleId="Ttulo">
    <w:name w:val="Title"/>
    <w:basedOn w:val="Normal"/>
    <w:next w:val="Normal"/>
    <w:link w:val="TtuloCar"/>
    <w:uiPriority w:val="10"/>
    <w:qFormat/>
    <w:rsid w:val="006E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6A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6A57"/>
    <w:pPr>
      <w:numPr>
        <w:ilvl w:val="1"/>
      </w:numPr>
      <w:spacing w:line="278" w:lineRule="auto"/>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6A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6A57"/>
    <w:pPr>
      <w:spacing w:before="160" w:line="278" w:lineRule="auto"/>
      <w:jc w:val="center"/>
    </w:pPr>
    <w:rPr>
      <w:i/>
      <w:iCs/>
      <w:color w:val="404040" w:themeColor="text1" w:themeTint="BF"/>
      <w:sz w:val="24"/>
      <w:szCs w:val="24"/>
    </w:rPr>
  </w:style>
  <w:style w:type="character" w:customStyle="1" w:styleId="CitaCar">
    <w:name w:val="Cita Car"/>
    <w:basedOn w:val="Fuentedeprrafopredeter"/>
    <w:link w:val="Cita"/>
    <w:uiPriority w:val="29"/>
    <w:rsid w:val="006E6A57"/>
    <w:rPr>
      <w:i/>
      <w:iCs/>
      <w:color w:val="404040" w:themeColor="text1" w:themeTint="BF"/>
    </w:rPr>
  </w:style>
  <w:style w:type="paragraph" w:styleId="Prrafodelista">
    <w:name w:val="List Paragraph"/>
    <w:aliases w:val="titulo 3,Título sin Numeración,TIT 2 IND,Titulo parrafo,Dot pt,No Spacing1,List Paragraph Char Char Char,Indicator Text,Numbered Para 1,Colorful List - Accent 11,Bullet 1,F5 List Paragraph,Bullet Points,Normal. Viñetas,Párrafo de lista1"/>
    <w:basedOn w:val="Normal"/>
    <w:link w:val="PrrafodelistaCar"/>
    <w:uiPriority w:val="34"/>
    <w:qFormat/>
    <w:rsid w:val="006E6A57"/>
    <w:pPr>
      <w:spacing w:line="278" w:lineRule="auto"/>
      <w:ind w:left="720"/>
      <w:contextualSpacing/>
    </w:pPr>
    <w:rPr>
      <w:sz w:val="24"/>
      <w:szCs w:val="24"/>
    </w:rPr>
  </w:style>
  <w:style w:type="character" w:styleId="nfasisintenso">
    <w:name w:val="Intense Emphasis"/>
    <w:basedOn w:val="Fuentedeprrafopredeter"/>
    <w:uiPriority w:val="21"/>
    <w:qFormat/>
    <w:rsid w:val="006E6A57"/>
    <w:rPr>
      <w:i/>
      <w:iCs/>
      <w:color w:val="0F4761" w:themeColor="accent1" w:themeShade="BF"/>
    </w:rPr>
  </w:style>
  <w:style w:type="paragraph" w:styleId="Citadestacada">
    <w:name w:val="Intense Quote"/>
    <w:basedOn w:val="Normal"/>
    <w:next w:val="Normal"/>
    <w:link w:val="CitadestacadaCar"/>
    <w:uiPriority w:val="30"/>
    <w:qFormat/>
    <w:rsid w:val="006E6A5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CitadestacadaCar">
    <w:name w:val="Cita destacada Car"/>
    <w:basedOn w:val="Fuentedeprrafopredeter"/>
    <w:link w:val="Citadestacada"/>
    <w:uiPriority w:val="30"/>
    <w:rsid w:val="006E6A57"/>
    <w:rPr>
      <w:i/>
      <w:iCs/>
      <w:color w:val="0F4761" w:themeColor="accent1" w:themeShade="BF"/>
    </w:rPr>
  </w:style>
  <w:style w:type="character" w:styleId="Referenciaintensa">
    <w:name w:val="Intense Reference"/>
    <w:basedOn w:val="Fuentedeprrafopredeter"/>
    <w:uiPriority w:val="32"/>
    <w:qFormat/>
    <w:rsid w:val="006E6A57"/>
    <w:rPr>
      <w:b/>
      <w:bCs/>
      <w:smallCaps/>
      <w:color w:val="0F4761" w:themeColor="accent1" w:themeShade="BF"/>
      <w:spacing w:val="5"/>
    </w:rPr>
  </w:style>
  <w:style w:type="table" w:styleId="Tablaconcuadrcula">
    <w:name w:val="Table Grid"/>
    <w:basedOn w:val="Tablanormal"/>
    <w:uiPriority w:val="39"/>
    <w:rsid w:val="006E6A57"/>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E6A5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6A57"/>
    <w:rPr>
      <w:sz w:val="22"/>
      <w:szCs w:val="22"/>
    </w:rPr>
  </w:style>
  <w:style w:type="paragraph" w:styleId="Piedepgina">
    <w:name w:val="footer"/>
    <w:basedOn w:val="Normal"/>
    <w:link w:val="PiedepginaCar"/>
    <w:uiPriority w:val="99"/>
    <w:unhideWhenUsed/>
    <w:rsid w:val="006E6A5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6A57"/>
    <w:rPr>
      <w:sz w:val="22"/>
      <w:szCs w:val="22"/>
    </w:rPr>
  </w:style>
  <w:style w:type="character" w:styleId="Hipervnculo">
    <w:name w:val="Hyperlink"/>
    <w:basedOn w:val="Fuentedeprrafopredeter"/>
    <w:uiPriority w:val="99"/>
    <w:unhideWhenUsed/>
    <w:rsid w:val="00C30EDA"/>
    <w:rPr>
      <w:color w:val="467886" w:themeColor="hyperlink"/>
      <w:u w:val="single"/>
    </w:rPr>
  </w:style>
  <w:style w:type="paragraph" w:customStyle="1" w:styleId="Default">
    <w:name w:val="Default"/>
    <w:rsid w:val="00C30EDA"/>
    <w:pPr>
      <w:autoSpaceDE w:val="0"/>
      <w:autoSpaceDN w:val="0"/>
      <w:adjustRightInd w:val="0"/>
      <w:spacing w:after="0" w:line="240" w:lineRule="auto"/>
    </w:pPr>
    <w:rPr>
      <w:rFonts w:ascii="Lucida Bright" w:eastAsia="Calibri" w:hAnsi="Lucida Bright" w:cs="Lucida Bright"/>
      <w:color w:val="000000"/>
      <w:kern w:val="0"/>
      <w:lang w:eastAsia="es-CO"/>
      <w14:ligatures w14:val="none"/>
    </w:rPr>
  </w:style>
  <w:style w:type="character" w:styleId="nfasis">
    <w:name w:val="Emphasis"/>
    <w:basedOn w:val="Fuentedeprrafopredeter"/>
    <w:uiPriority w:val="20"/>
    <w:qFormat/>
    <w:rsid w:val="00291FEC"/>
    <w:rPr>
      <w:i/>
      <w:iCs/>
    </w:rPr>
  </w:style>
  <w:style w:type="paragraph" w:styleId="NormalWeb">
    <w:name w:val="Normal (Web)"/>
    <w:basedOn w:val="Normal"/>
    <w:uiPriority w:val="99"/>
    <w:unhideWhenUsed/>
    <w:rsid w:val="00291FEC"/>
    <w:pPr>
      <w:spacing w:before="100" w:beforeAutospacing="1" w:after="100" w:afterAutospacing="1" w:line="240" w:lineRule="auto"/>
    </w:pPr>
    <w:rPr>
      <w:rFonts w:ascii="Times New Roman" w:eastAsiaTheme="minorEastAsia" w:hAnsi="Times New Roman" w:cs="Times New Roman"/>
      <w:kern w:val="0"/>
      <w:sz w:val="24"/>
      <w:szCs w:val="24"/>
      <w:lang w:eastAsia="es-CO"/>
      <w14:ligatures w14:val="none"/>
    </w:rPr>
  </w:style>
  <w:style w:type="paragraph" w:styleId="Sinespaciado">
    <w:name w:val="No Spacing"/>
    <w:aliases w:val="Nota de pie de página,Tablas e ilustraciones"/>
    <w:link w:val="SinespaciadoCar"/>
    <w:uiPriority w:val="1"/>
    <w:qFormat/>
    <w:rsid w:val="00291FEC"/>
    <w:pPr>
      <w:spacing w:after="0" w:line="240" w:lineRule="auto"/>
    </w:pPr>
    <w:rPr>
      <w:rFonts w:ascii="PMingLiU" w:eastAsiaTheme="minorEastAsia" w:hAnsi="PMingLiU"/>
      <w:kern w:val="0"/>
      <w:sz w:val="22"/>
      <w:szCs w:val="22"/>
      <w:lang w:val="es-ES_tradnl" w:eastAsia="es-ES"/>
      <w14:ligatures w14:val="none"/>
    </w:rPr>
  </w:style>
  <w:style w:type="character" w:customStyle="1" w:styleId="SinespaciadoCar">
    <w:name w:val="Sin espaciado Car"/>
    <w:aliases w:val="Nota de pie de página Car,Tablas e ilustraciones Car"/>
    <w:basedOn w:val="Fuentedeprrafopredeter"/>
    <w:link w:val="Sinespaciado"/>
    <w:uiPriority w:val="1"/>
    <w:rsid w:val="00291FEC"/>
    <w:rPr>
      <w:rFonts w:ascii="PMingLiU" w:eastAsiaTheme="minorEastAsia" w:hAnsi="PMingLiU"/>
      <w:kern w:val="0"/>
      <w:sz w:val="22"/>
      <w:szCs w:val="22"/>
      <w:lang w:val="es-ES_tradnl" w:eastAsia="es-ES"/>
      <w14:ligatures w14:val="none"/>
    </w:rPr>
  </w:style>
  <w:style w:type="character" w:customStyle="1" w:styleId="PrrafodelistaCar">
    <w:name w:val="Párrafo de lista Car"/>
    <w:aliases w:val="titulo 3 Car,Título sin Numeración Car,TIT 2 IND Car,Titulo parrafo Car,Dot pt Car,No Spacing1 Car,List Paragraph Char Char Char Car,Indicator Text Car,Numbered Para 1 Car,Colorful List - Accent 11 Car,Bullet 1 Car,Bullet Points Car"/>
    <w:link w:val="Prrafodelista"/>
    <w:uiPriority w:val="34"/>
    <w:qFormat/>
    <w:locked/>
    <w:rsid w:val="00291FEC"/>
  </w:style>
  <w:style w:type="character" w:styleId="Mencinsinresolver">
    <w:name w:val="Unresolved Mention"/>
    <w:basedOn w:val="Fuentedeprrafopredeter"/>
    <w:uiPriority w:val="99"/>
    <w:semiHidden/>
    <w:unhideWhenUsed/>
    <w:rsid w:val="005E1B5B"/>
    <w:rPr>
      <w:color w:val="605E5C"/>
      <w:shd w:val="clear" w:color="auto" w:fill="E1DFDD"/>
    </w:rPr>
  </w:style>
  <w:style w:type="paragraph" w:styleId="Textonotapie">
    <w:name w:val="footnote text"/>
    <w:aliases w:val="Footnote Text Char,Footnote Text Char Char Char Char,Footnote Text Char Char Char Char Char Char Char Char,Footnote Text Char Char Char Char Char Char1,Footnote Text Char Char Char Char Char Char Char1,Footnote referenc,Footnote reference"/>
    <w:basedOn w:val="Normal"/>
    <w:link w:val="TextonotapieCar"/>
    <w:uiPriority w:val="99"/>
    <w:unhideWhenUsed/>
    <w:qFormat/>
    <w:rsid w:val="00586326"/>
    <w:pPr>
      <w:spacing w:after="0" w:line="240" w:lineRule="auto"/>
    </w:pPr>
    <w:rPr>
      <w:kern w:val="0"/>
      <w:sz w:val="20"/>
      <w:szCs w:val="20"/>
      <w14:ligatures w14:val="none"/>
    </w:rPr>
  </w:style>
  <w:style w:type="character" w:customStyle="1" w:styleId="TextonotapieCar">
    <w:name w:val="Texto nota pie Car"/>
    <w:aliases w:val="Footnote Text Char Car,Footnote Text Char Char Char Char Car,Footnote Text Char Char Char Char Char Char Char Char Car,Footnote Text Char Char Char Char Char Char1 Car,Footnote Text Char Char Char Char Char Char Char1 Car"/>
    <w:basedOn w:val="Fuentedeprrafopredeter"/>
    <w:link w:val="Textonotapie"/>
    <w:uiPriority w:val="99"/>
    <w:rsid w:val="00586326"/>
    <w:rPr>
      <w:kern w:val="0"/>
      <w:sz w:val="20"/>
      <w:szCs w:val="20"/>
      <w14:ligatures w14:val="none"/>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basedOn w:val="Fuentedeprrafopredeter"/>
    <w:link w:val="4GChar"/>
    <w:qFormat/>
    <w:rsid w:val="00586326"/>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586326"/>
    <w:pPr>
      <w:spacing w:after="0" w:line="240" w:lineRule="auto"/>
      <w:jc w:val="both"/>
    </w:pPr>
    <w:rPr>
      <w:sz w:val="24"/>
      <w:szCs w:val="24"/>
      <w:vertAlign w:val="superscript"/>
    </w:rPr>
  </w:style>
  <w:style w:type="paragraph" w:customStyle="1" w:styleId="paragraph">
    <w:name w:val="paragraph"/>
    <w:basedOn w:val="Normal"/>
    <w:rsid w:val="00BD23B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BD23B7"/>
  </w:style>
  <w:style w:type="character" w:customStyle="1" w:styleId="eop">
    <w:name w:val="eop"/>
    <w:basedOn w:val="Fuentedeprrafopredeter"/>
    <w:rsid w:val="00BD23B7"/>
  </w:style>
  <w:style w:type="character" w:customStyle="1" w:styleId="scxw137567636">
    <w:name w:val="scxw137567636"/>
    <w:basedOn w:val="Fuentedeprrafopredeter"/>
    <w:rsid w:val="00BD23B7"/>
  </w:style>
  <w:style w:type="character" w:styleId="Fuerte">
    <w:name w:val="Strong"/>
    <w:basedOn w:val="Fuentedeprrafopredeter"/>
    <w:uiPriority w:val="22"/>
    <w:qFormat/>
    <w:rsid w:val="002812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6E80CD4E8BEA64DAA0BC119D168BE53" ma:contentTypeVersion="4" ma:contentTypeDescription="Crear nuevo documento." ma:contentTypeScope="" ma:versionID="6231bf37b34ce899933d326e9902575c">
  <xsd:schema xmlns:xsd="http://www.w3.org/2001/XMLSchema" xmlns:xs="http://www.w3.org/2001/XMLSchema" xmlns:p="http://schemas.microsoft.com/office/2006/metadata/properties" xmlns:ns2="12a53619-3bc0-412b-b090-bc6c4fb46350" targetNamespace="http://schemas.microsoft.com/office/2006/metadata/properties" ma:root="true" ma:fieldsID="47fe2f3bdb9815be6a06016c229986b2" ns2:_="">
    <xsd:import namespace="12a53619-3bc0-412b-b090-bc6c4fb463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a53619-3bc0-412b-b090-bc6c4fb46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69A2B6-5CAD-4D54-BB3B-57317053FA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a53619-3bc0-412b-b090-bc6c4fb46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3D428-9579-47D4-B951-9A3526883DC7}">
  <ds:schemaRefs>
    <ds:schemaRef ds:uri="http://schemas.microsoft.com/sharepoint/v3/contenttype/forms"/>
  </ds:schemaRefs>
</ds:datastoreItem>
</file>

<file path=customXml/itemProps3.xml><?xml version="1.0" encoding="utf-8"?>
<ds:datastoreItem xmlns:ds="http://schemas.openxmlformats.org/officeDocument/2006/customXml" ds:itemID="{CDDC8382-1F90-4D17-84C5-2ABBB315EB9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6495</Words>
  <Characters>35724</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Baracaldo Godoy</dc:creator>
  <cp:keywords/>
  <dc:description/>
  <cp:lastModifiedBy>Luis Andres Olaya Olaya</cp:lastModifiedBy>
  <cp:revision>4</cp:revision>
  <dcterms:created xsi:type="dcterms:W3CDTF">2026-09-22T00:54:00Z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0x010100E6E80CD4E8BEA64DAA0BC119D168BE53</vt:lpwstr>
  </property>
</Properties>
</file>