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Nemotron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analysis shows eliminates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Bjørnland &amp; Leitemo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Primiceri</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Litterman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Clara &amp; Valkanov</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t>Galdón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Krolzig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run monetary shocks be analyzed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Relaxing linearity assumptions captures complex dynamics that linear VARs misspecify,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Nvidia - Nemotron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In reality, policymakers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variable bias: part of what the model attributes to the policy shock actually reflects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 &amp; Leitemo, 2009; Castelnuovo &amp; Surico, 2010; Montes</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2004; Rua, 2010; Mariano &amp; Murasawa,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[Uhlig, 2005; Hansen, 1996; Krolzig,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[Litterman, 1986; Primiceri,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[Giordani &amp; 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2005; Stock &amp; Watson, 2008; Del Negro &amp; Schorfheide,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(i)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The price puzzle often arises because VARs omit forward‑looking variables that the central bank uses to forecast inflation. When commodity prices or term spreads are included, the timing of the shock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Del Negro &amp; Schorfheide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Rusnák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puzzle studies place the policy rate early in the ordering, so it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Bitaran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Baumeister &amp; Peersman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related work on expectations in monetary VARs.</w:t>
            </w:r>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VARs can isolate when the puzzle appears and let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Rusnák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lastRenderedPageBreak/>
              <w:t>Misspecified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Del Negro &amp; Schorfheide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analysis of Rusnák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Primiceri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misspecified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forward‑looking: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no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modeling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behavior.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behavior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properly controlled through a global information set, the domestic policy shock is purified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In summary, the methods you listed solve the price puzzle by addressing its core theoretical sources: omitted forward‑looking information, incorrect identification, misspecified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Anthrophic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Primiceri,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r w:rsidRPr="00741795">
              <w:rPr>
                <w:rFonts w:ascii="LM Roman 10" w:eastAsia="Times New Roman" w:hAnsi="LM Roman 10" w:cs="Times New Roman"/>
                <w:kern w:val="0"/>
                <w:sz w:val="16"/>
                <w:szCs w:val="16"/>
                <w:lang w:val="it-IT" w:eastAsia="en-US"/>
                <w14:ligatures w14:val="none"/>
              </w:rPr>
              <w:t>Banbura,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behavior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in many standard SVARs stems from a single misspecified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Schlaak, T., Rieth, M., &amp; Podstawski,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Pesaran,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(Wu-Xia),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Anthrophic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it, and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How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Bańbura,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Bańbura,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Primiceri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Primiceri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modeling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 open economies, domestic inflation and interest rates are heavily driven by foreign monetary policy, and ignoring these external forces forces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Dees, di Mauro, Pesaran,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into a single global system, explicitly models these international transmission channels. Dees, di Mauro, Pesaran,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behavior.</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Galí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Galí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central bank possesses leading indicators of inflation that are not captured in standard models, leading to a situation where policy tightening appears to cause inflation rather than preempt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preemptively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Identification strategies solve the puzzle by isolating pure exogenous variations and eliminating simultaneity bias or central bank signaling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signaling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In this work we provide a replication study of Lofaro and Di Bucchianico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rer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AR(1) coeff.</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lag1 coeff.</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AR(2) lag2 coeff.</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BdF,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all the variables and controls from the thesis df to build up the framework for factorization, we need a lot of variable for each metric (we use artificvial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Policy Target &amp; Policy Instrument Evolution 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Report in a table univariate summary statistics: min max mean</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Descriptive Statistics for Policy Target &amp; 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actually the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(LogDiff-HICP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val="en-US" w:eastAsia="en-US"/>
          <w14:ligatures w14:val="none"/>
        </w:rPr>
        <w:t xml:space="preserve">AR(1)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(HPfilter-Real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mention that despite the ar test gives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DE7B25">
        <w:rPr>
          <w:rFonts w:ascii="LM Roman 10" w:eastAsia="Times New Roman" w:hAnsi="LM Roman 10" w:cs="Times New Roman"/>
          <w:b/>
          <w:bCs/>
          <w:kern w:val="0"/>
          <w:sz w:val="24"/>
          <w:szCs w:val="24"/>
          <w:lang w:val="en-US" w:eastAsia="en-US"/>
          <w14:ligatures w14:val="none"/>
        </w:rPr>
        <w:t xml:space="preserve">AR(1)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6D4E4"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AR(1) and AR(2)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 xml:space="preserve">(LogDiff-HICP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AR(</w:t>
      </w:r>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r w:rsidRPr="002064AE">
        <w:rPr>
          <w:rFonts w:ascii="LM Roman 10" w:eastAsia="Times New Roman" w:hAnsi="LM Roman 10" w:cs="Times New Roman"/>
          <w:b/>
          <w:bCs/>
          <w:kern w:val="0"/>
          <w:sz w:val="24"/>
          <w:szCs w:val="24"/>
          <w:lang w:eastAsia="en-US"/>
          <w14:ligatures w14:val="none"/>
        </w:rPr>
        <w:t>HPfilter-Real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AR(2),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(LogDiff-HICP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AR(2)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 AR(</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AR(2)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i p=1, cuz </w:t>
      </w:r>
      <w:r w:rsidR="00F378EC" w:rsidRPr="00F378EC">
        <w:rPr>
          <w:rFonts w:ascii="LM Roman 10" w:eastAsia="Times New Roman" w:hAnsi="LM Roman 10" w:cs="Times New Roman"/>
          <w:kern w:val="0"/>
          <w:sz w:val="24"/>
          <w:szCs w:val="24"/>
          <w:lang w:val="en-US" w:eastAsia="en-US"/>
          <w14:ligatures w14:val="none"/>
        </w:rPr>
        <w:t>Lag order selection asks: is the second lag actually necessary? The PACF says no — once you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So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10-Year Rolling Window AR(1)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(LogDiff-HICP(SA))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AR(1)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explain why we have used the inflation expressed as before, without considering the log as it was already incorporated in the inflation proxy defined as logdiff of HICP. Taking again the log of that proxy would mess everything up especially as it would return nan for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(LogDiff-HICP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unfortunately data do not offer that much room for analysis as the AR(1) process of inflation on a 10-year rolling window is below the stationarity bound for the whole considered time frame, however we could investigate if a deterministic trend can be identified within the years of YCC deployment. The question wants to know whether when we observe |AR(1)|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decling</w:t>
      </w:r>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YCC adoption and Post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(LogDiff-HICP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post ycc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mention about the timing, inflation spikes, negative correlation cuz the cb reacts later by rising the interest rate</w:t>
      </w:r>
      <w:r w:rsidR="008A6F12">
        <w:rPr>
          <w:rFonts w:ascii="LM Roman 10" w:eastAsia="Times New Roman" w:hAnsi="LM Roman 10" w:cs="Times New Roman"/>
          <w:kern w:val="0"/>
          <w:sz w:val="24"/>
          <w:szCs w:val="24"/>
          <w:lang w:val="en-US" w:eastAsia="en-US"/>
          <w14:ligatures w14:val="none"/>
        </w:rPr>
        <w:t>, stress the fact that it makes no sense to also check the lagged i_t</w:t>
      </w:r>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of the estimation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there are no periods where |A+BF| is unstable/non-stationary so above 1 as indeed it was proven in the AR(1)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sing 10 years rolling windows, compute A + BF and compare it to your AR(1)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there are no periods where |A+BF| is unstable/non-stationary so above 1 as indeed it was proven in the AR(1)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 related to Lucas’ critique? Regarding the signs of estimates of B and F, do you conclude to positive feedback or negative feedback (0 &lt; A + BF &lt; A) taking into account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r w:rsidR="00815F5E">
        <w:rPr>
          <w:rFonts w:ascii="LM Roman 10" w:eastAsia="Times New Roman" w:hAnsi="LM Roman 10" w:cs="Times New Roman"/>
          <w:kern w:val="0"/>
          <w:sz w:val="24"/>
          <w:szCs w:val="24"/>
          <w:lang w:val="en-US" w:eastAsia="en-US"/>
          <w14:ligatures w14:val="none"/>
        </w:rPr>
        <w:t>, look at the flat line of the ycc when i_t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=A+BF vs AR(1)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statistics to estimated parameters in the trivariate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10-Year Rolling Window: r(</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6F83933E" w14:textId="077CCBF3"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FA1C0A">
        <w:rPr>
          <w:rFonts w:ascii="LM Roman 10" w:eastAsia="Times New Roman" w:hAnsi="LM Roman 10" w:cs="Times New Roman"/>
          <w:kern w:val="0"/>
          <w:sz w:val="24"/>
          <w:szCs w:val="24"/>
          <w:highlight w:val="yellow"/>
          <w:lang w:val="en-US" w:eastAsia="en-US"/>
          <w14:ligatures w14:val="none"/>
        </w:rPr>
        <w:t>Done, comment</w:t>
      </w:r>
    </w:p>
    <w:p w14:paraId="5A6BD43D"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E072B56"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A6F90EF" w14:textId="77777777" w:rsidR="00FA1C0A" w:rsidRDefault="00FA1C0A" w:rsidP="00FA1C0A">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38B09C49" w14:textId="2037F5C3"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Target</w:t>
      </w:r>
    </w:p>
    <w:p w14:paraId="6F2B4B7B" w14:textId="625C6D37" w:rsidR="00447BD6"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0ED6D264" wp14:editId="2AF0EA14">
            <wp:extent cx="4427220" cy="1544140"/>
            <wp:effectExtent l="0" t="0" r="0" b="0"/>
            <wp:docPr id="11591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03455" name=""/>
                    <pic:cNvPicPr/>
                  </pic:nvPicPr>
                  <pic:blipFill>
                    <a:blip r:embed="rId58"/>
                    <a:stretch>
                      <a:fillRect/>
                    </a:stretch>
                  </pic:blipFill>
                  <pic:spPr>
                    <a:xfrm>
                      <a:off x="0" y="0"/>
                      <a:ext cx="4459915" cy="1555543"/>
                    </a:xfrm>
                    <a:prstGeom prst="rect">
                      <a:avLst/>
                    </a:prstGeom>
                  </pic:spPr>
                </pic:pic>
              </a:graphicData>
            </a:graphic>
          </wp:inline>
        </w:drawing>
      </w:r>
    </w:p>
    <w:p w14:paraId="314AFC84" w14:textId="2E416AC4" w:rsidR="00FA1C0A" w:rsidRDefault="00FA1C0A" w:rsidP="00FA1C0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Indirect Least Squares (ILS) with Simultaneous Equations</w:t>
      </w:r>
      <w:r>
        <w:rPr>
          <w:rFonts w:ascii="LM Roman 10" w:eastAsia="Times New Roman" w:hAnsi="LM Roman 10" w:cs="Times New Roman"/>
          <w:b/>
          <w:bCs/>
          <w:kern w:val="0"/>
          <w:sz w:val="24"/>
          <w:szCs w:val="24"/>
          <w:lang w:val="en-US" w:eastAsia="en-US"/>
          <w14:ligatures w14:val="none"/>
        </w:rPr>
        <w:t xml:space="preserve"> for Policy </w:t>
      </w:r>
      <w:r>
        <w:rPr>
          <w:rFonts w:ascii="LM Roman 10" w:eastAsia="Times New Roman" w:hAnsi="LM Roman 10" w:cs="Times New Roman"/>
          <w:b/>
          <w:bCs/>
          <w:kern w:val="0"/>
          <w:sz w:val="24"/>
          <w:szCs w:val="24"/>
          <w:lang w:val="en-US" w:eastAsia="en-US"/>
          <w14:ligatures w14:val="none"/>
        </w:rPr>
        <w:t>Instrument</w:t>
      </w:r>
    </w:p>
    <w:p w14:paraId="5814E7F9" w14:textId="038ABB19" w:rsidR="00A02791" w:rsidRPr="00B2764D" w:rsidRDefault="00A02791" w:rsidP="00A0279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A02791">
        <w:rPr>
          <w:rFonts w:ascii="LM Roman 10" w:eastAsia="Times New Roman" w:hAnsi="LM Roman 10" w:cs="Times New Roman"/>
          <w:b/>
          <w:bCs/>
          <w:kern w:val="0"/>
          <w:sz w:val="24"/>
          <w:szCs w:val="24"/>
          <w:lang w:eastAsia="en-US"/>
          <w14:ligatures w14:val="none"/>
        </w:rPr>
        <w:drawing>
          <wp:inline distT="0" distB="0" distL="0" distR="0" wp14:anchorId="7C38727D" wp14:editId="2081B9B9">
            <wp:extent cx="4328160" cy="1537836"/>
            <wp:effectExtent l="0" t="0" r="0" b="5715"/>
            <wp:docPr id="111021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14465" name=""/>
                    <pic:cNvPicPr/>
                  </pic:nvPicPr>
                  <pic:blipFill>
                    <a:blip r:embed="rId59"/>
                    <a:stretch>
                      <a:fillRect/>
                    </a:stretch>
                  </pic:blipFill>
                  <pic:spPr>
                    <a:xfrm>
                      <a:off x="0" y="0"/>
                      <a:ext cx="4440876" cy="1577885"/>
                    </a:xfrm>
                    <a:prstGeom prst="rect">
                      <a:avLst/>
                    </a:prstGeom>
                  </pic:spPr>
                </pic:pic>
              </a:graphicData>
            </a:graphic>
          </wp:inline>
        </w:drawing>
      </w:r>
    </w:p>
    <w:p w14:paraId="21B5A4FF" w14:textId="1CD29D65" w:rsidR="00A02791" w:rsidRPr="00B2764D"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26.</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sidRPr="00FA1C0A">
        <w:rPr>
          <w:rFonts w:ascii="LM Roman 10" w:eastAsia="Times New Roman" w:hAnsi="LM Roman 10" w:cs="Times New Roman"/>
          <w:b/>
          <w:bCs/>
          <w:kern w:val="0"/>
          <w:sz w:val="24"/>
          <w:szCs w:val="24"/>
          <w:lang w:val="en-US" w:eastAsia="en-US"/>
          <w14:ligatures w14:val="none"/>
        </w:rPr>
        <w:t xml:space="preserve">Indirect Least Squares (ILS) </w:t>
      </w:r>
      <w:r>
        <w:rPr>
          <w:rFonts w:ascii="LM Roman 10" w:eastAsia="Times New Roman" w:hAnsi="LM Roman 10" w:cs="Times New Roman"/>
          <w:b/>
          <w:bCs/>
          <w:kern w:val="0"/>
          <w:sz w:val="24"/>
          <w:szCs w:val="24"/>
          <w:lang w:val="en-US" w:eastAsia="en-US"/>
          <w14:ligatures w14:val="none"/>
        </w:rPr>
        <w:t>Structural Parameters</w:t>
      </w:r>
    </w:p>
    <w:p w14:paraId="71E3FE0F" w14:textId="781F07D2" w:rsid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A02791">
        <w:rPr>
          <w:rFonts w:ascii="LM Roman 10" w:eastAsia="Times New Roman" w:hAnsi="LM Roman 10" w:cs="Times New Roman"/>
          <w:kern w:val="0"/>
          <w:sz w:val="24"/>
          <w:szCs w:val="24"/>
          <w:lang w:eastAsia="en-US"/>
          <w14:ligatures w14:val="none"/>
        </w:rPr>
        <w:drawing>
          <wp:inline distT="0" distB="0" distL="0" distR="0" wp14:anchorId="0195234E" wp14:editId="494506B4">
            <wp:extent cx="4711793" cy="1783080"/>
            <wp:effectExtent l="0" t="0" r="0" b="7620"/>
            <wp:docPr id="783617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17155" name=""/>
                    <pic:cNvPicPr/>
                  </pic:nvPicPr>
                  <pic:blipFill>
                    <a:blip r:embed="rId60"/>
                    <a:stretch>
                      <a:fillRect/>
                    </a:stretch>
                  </pic:blipFill>
                  <pic:spPr>
                    <a:xfrm>
                      <a:off x="0" y="0"/>
                      <a:ext cx="4733862" cy="1791432"/>
                    </a:xfrm>
                    <a:prstGeom prst="rect">
                      <a:avLst/>
                    </a:prstGeom>
                  </pic:spPr>
                </pic:pic>
              </a:graphicData>
            </a:graphic>
          </wp:inline>
        </w:drawing>
      </w:r>
    </w:p>
    <w:p w14:paraId="044E79BB"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6FF4FC3"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779556D7"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EC5CA45" w14:textId="77777777" w:rsidR="00A02791"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062B204A" w14:textId="77777777" w:rsidR="00A02791" w:rsidRPr="00FA1C0A" w:rsidRDefault="00A02791" w:rsidP="00A0279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lastRenderedPageBreak/>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6743C5F3" w14:textId="2E0DD8A4" w:rsidR="0082378F" w:rsidRDefault="00A02791" w:rsidP="0082378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2791">
        <w:rPr>
          <w:rFonts w:ascii="LM Roman 10" w:eastAsia="Times New Roman" w:hAnsi="LM Roman 10" w:cs="Times New Roman"/>
          <w:kern w:val="0"/>
          <w:sz w:val="24"/>
          <w:szCs w:val="24"/>
          <w:highlight w:val="yellow"/>
          <w:lang w:val="en-US" w:eastAsia="en-US"/>
          <w14:ligatures w14:val="none"/>
        </w:rPr>
        <w:t>Done, comment</w:t>
      </w:r>
      <w:r w:rsidR="00DD0213">
        <w:rPr>
          <w:rFonts w:ascii="LM Roman 10" w:eastAsia="Times New Roman" w:hAnsi="LM Roman 10" w:cs="Times New Roman"/>
          <w:kern w:val="0"/>
          <w:sz w:val="24"/>
          <w:szCs w:val="24"/>
          <w:lang w:val="en-US" w:eastAsia="en-US"/>
          <w14:ligatures w14:val="none"/>
        </w:rPr>
        <w:t xml:space="preserve">, comment the global is already always below 0.1, so that the instrument </w:t>
      </w:r>
      <w:r w:rsidR="00244047">
        <w:rPr>
          <w:rFonts w:ascii="LM Roman 10" w:eastAsia="Times New Roman" w:hAnsi="LM Roman 10" w:cs="Times New Roman"/>
          <w:kern w:val="0"/>
          <w:sz w:val="24"/>
          <w:szCs w:val="24"/>
          <w:lang w:val="en-US" w:eastAsia="en-US"/>
          <w14:ligatures w14:val="none"/>
        </w:rPr>
        <w:t>partial fit will be surely below that (upper bounded), and mention that we tried all the possible combinations</w:t>
      </w:r>
      <w:r w:rsidR="00AB5B3A">
        <w:rPr>
          <w:rFonts w:ascii="LM Roman 10" w:eastAsia="Times New Roman" w:hAnsi="LM Roman 10" w:cs="Times New Roman"/>
          <w:kern w:val="0"/>
          <w:sz w:val="24"/>
          <w:szCs w:val="24"/>
          <w:lang w:val="en-US" w:eastAsia="en-US"/>
          <w14:ligatures w14:val="none"/>
        </w:rPr>
        <w:t>, we iterated combinations with 24 possible candidates and reserves and output gap was the best combination in terms of higher overall fit (r squared pi + r squared I) and for r squared of pi taken singularly.</w:t>
      </w:r>
      <w:r w:rsidR="00765071">
        <w:rPr>
          <w:rFonts w:ascii="LM Roman 10" w:eastAsia="Times New Roman" w:hAnsi="LM Roman 10" w:cs="Times New Roman"/>
          <w:kern w:val="0"/>
          <w:sz w:val="24"/>
          <w:szCs w:val="24"/>
          <w:lang w:val="en-US" w:eastAsia="en-US"/>
          <w14:ligatures w14:val="none"/>
        </w:rPr>
        <w:t xml:space="preserve"> Option that economically has more meaning giving YCC costs of implementation</w:t>
      </w:r>
      <w:r w:rsidR="0082378F">
        <w:rPr>
          <w:rFonts w:ascii="LM Roman 10" w:eastAsia="Times New Roman" w:hAnsi="LM Roman 10" w:cs="Times New Roman"/>
          <w:kern w:val="0"/>
          <w:sz w:val="24"/>
          <w:szCs w:val="24"/>
          <w:lang w:val="en-US" w:eastAsia="en-US"/>
          <w14:ligatures w14:val="none"/>
        </w:rPr>
        <w:t>. Global is biased towards i_t contribution, much larger than any in pi</w:t>
      </w:r>
    </w:p>
    <w:p w14:paraId="4F44A4E0" w14:textId="43CFB68D" w:rsidR="00765071" w:rsidRPr="00B2764D" w:rsidRDefault="00765071" w:rsidP="0076507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Top Performing Instruments Combinations for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Maximization (Global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π</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 xml:space="preserve">, </w:t>
      </w:r>
      <m:oMath>
        <m:sSubSup>
          <m:sSubSupPr>
            <m:ctrlPr>
              <w:rPr>
                <w:rFonts w:ascii="Cambria Math" w:eastAsia="Times New Roman" w:hAnsi="Cambria Math" w:cs="Times New Roman"/>
                <w:b/>
                <w:bCs/>
                <w:i/>
                <w:spacing w:val="-2"/>
                <w:kern w:val="0"/>
                <w:sz w:val="24"/>
                <w:szCs w:val="24"/>
                <w:lang w:eastAsia="en-US"/>
                <w14:ligatures w14:val="none"/>
              </w:rPr>
            </m:ctrlPr>
          </m:sSubSupPr>
          <m:e>
            <m:r>
              <m:rPr>
                <m:sty m:val="bi"/>
              </m:rPr>
              <w:rPr>
                <w:rFonts w:ascii="Cambria Math" w:eastAsia="Times New Roman" w:hAnsi="Cambria Math" w:cs="Times New Roman"/>
                <w:spacing w:val="-2"/>
                <w:kern w:val="0"/>
                <w:sz w:val="24"/>
                <w:szCs w:val="24"/>
                <w:lang w:eastAsia="en-US"/>
                <w14:ligatures w14:val="none"/>
              </w:rPr>
              <m:t>R</m:t>
            </m:r>
          </m:e>
          <m:sub>
            <m:r>
              <m:rPr>
                <m:sty m:val="b"/>
              </m:rPr>
              <w:rPr>
                <w:rFonts w:ascii="Cambria Math" w:eastAsia="Times New Roman" w:hAnsi="Cambria Math" w:cs="Courier New"/>
                <w:kern w:val="0"/>
                <w:sz w:val="24"/>
                <w:szCs w:val="24"/>
                <w:lang w:eastAsia="en-US"/>
                <w14:ligatures w14:val="none"/>
              </w:rPr>
              <m:t>i</m:t>
            </m:r>
          </m:sub>
          <m:sup>
            <m:r>
              <m:rPr>
                <m:sty m:val="bi"/>
              </m:rPr>
              <w:rPr>
                <w:rFonts w:ascii="Cambria Math" w:eastAsia="Times New Roman" w:hAnsi="Cambria Math" w:cs="Times New Roman"/>
                <w:spacing w:val="-2"/>
                <w:kern w:val="0"/>
                <w:sz w:val="24"/>
                <w:szCs w:val="24"/>
                <w:lang w:eastAsia="en-US"/>
                <w14:ligatures w14:val="none"/>
              </w:rPr>
              <m:t>2</m:t>
            </m:r>
          </m:sup>
        </m:sSubSup>
      </m:oMath>
      <w:r>
        <w:rPr>
          <w:rFonts w:ascii="LM Roman 10" w:eastAsia="Times New Roman" w:hAnsi="LM Roman 10" w:cs="Times New Roman"/>
          <w:b/>
          <w:bCs/>
          <w:spacing w:val="-2"/>
          <w:kern w:val="0"/>
          <w:sz w:val="24"/>
          <w:szCs w:val="24"/>
          <w:lang w:eastAsia="en-US"/>
          <w14:ligatures w14:val="none"/>
        </w:rPr>
        <w:t>)</w:t>
      </w:r>
    </w:p>
    <w:p w14:paraId="499CB7FE" w14:textId="430B4CCA" w:rsidR="00765071" w:rsidRPr="0082378F" w:rsidRDefault="0082378F" w:rsidP="0082378F">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82378F">
        <w:rPr>
          <w:rFonts w:ascii="LM Roman 10" w:eastAsia="Times New Roman" w:hAnsi="LM Roman 10" w:cs="Times New Roman"/>
          <w:b/>
          <w:bCs/>
          <w:kern w:val="0"/>
          <w:sz w:val="24"/>
          <w:szCs w:val="24"/>
          <w:lang w:eastAsia="en-US"/>
          <w14:ligatures w14:val="none"/>
        </w:rPr>
        <w:drawing>
          <wp:inline distT="0" distB="0" distL="0" distR="0" wp14:anchorId="238DBEAC" wp14:editId="2CD012D4">
            <wp:extent cx="2575560" cy="5652852"/>
            <wp:effectExtent l="0" t="0" r="0" b="5080"/>
            <wp:docPr id="1315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92396" name=""/>
                    <pic:cNvPicPr/>
                  </pic:nvPicPr>
                  <pic:blipFill rotWithShape="1">
                    <a:blip r:embed="rId61"/>
                    <a:srcRect b="2727"/>
                    <a:stretch>
                      <a:fillRect/>
                    </a:stretch>
                  </pic:blipFill>
                  <pic:spPr bwMode="auto">
                    <a:xfrm>
                      <a:off x="0" y="0"/>
                      <a:ext cx="2581719" cy="5666369"/>
                    </a:xfrm>
                    <a:prstGeom prst="rect">
                      <a:avLst/>
                    </a:prstGeom>
                    <a:ln>
                      <a:noFill/>
                    </a:ln>
                    <a:extLst>
                      <a:ext uri="{53640926-AAD7-44D8-BBD7-CCE9431645EC}">
                        <a14:shadowObscured xmlns:a14="http://schemas.microsoft.com/office/drawing/2010/main"/>
                      </a:ext>
                    </a:extLst>
                  </pic:spPr>
                </pic:pic>
              </a:graphicData>
            </a:graphic>
          </wp:inline>
        </w:drawing>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lastRenderedPageBreak/>
        <w:t>T</w:t>
      </w:r>
      <w:r w:rsidRPr="003E6948">
        <w:rPr>
          <w:rFonts w:ascii="LM Roman 10" w:eastAsia="Times New Roman" w:hAnsi="LM Roman 10" w:cs="Times New Roman"/>
          <w:b/>
          <w:bCs/>
          <w:spacing w:val="-2"/>
          <w:kern w:val="0"/>
          <w:sz w:val="24"/>
          <w:szCs w:val="24"/>
          <w:lang w:eastAsia="en-US"/>
          <w14:ligatures w14:val="none"/>
        </w:rPr>
        <w:t>ry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62">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67B038" w14:textId="68D415C1" w:rsidR="00614B0D" w:rsidRPr="00614B0D" w:rsidRDefault="00614B0D" w:rsidP="00614B0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614B0D">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Pr="00614B0D">
        <w:rPr>
          <w:rFonts w:ascii="LM Roman 10" w:eastAsia="Times New Roman" w:hAnsi="LM Roman 10" w:cs="Times New Roman"/>
          <w:kern w:val="0"/>
          <w:sz w:val="24"/>
          <w:szCs w:val="24"/>
          <w:lang w:eastAsia="en-US"/>
          <w14:ligatures w14:val="none"/>
        </w:rPr>
        <w:t>6Q = 18 months in monthly frequency and each lag is here considered in quarter terms</w:t>
      </w:r>
      <w:r w:rsidR="00497361">
        <w:rPr>
          <w:rFonts w:ascii="LM Roman 10" w:eastAsia="Times New Roman" w:hAnsi="LM Roman 10" w:cs="Times New Roman"/>
          <w:kern w:val="0"/>
          <w:sz w:val="24"/>
          <w:szCs w:val="24"/>
          <w:lang w:eastAsia="en-US"/>
          <w14:ligatures w14:val="none"/>
        </w:rPr>
        <w:t>, in this regression, we look at the policy target 6 quarters earlier than new inflation, to see whether it had an effect or no our monetary policy after 6 quarters</w:t>
      </w:r>
    </w:p>
    <w:p w14:paraId="087D1BAB" w14:textId="22E0244B" w:rsidR="003E6948" w:rsidRPr="00614B0D"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D198FA8"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2CC311D"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A10138E"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8D32A2" w14:textId="77777777" w:rsidR="00FE2C45" w:rsidRDefault="00FE2C45"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the paper you find to replicate on your data set to run an estimation (you may add several variables) attempting to do a </w:t>
      </w:r>
      <w:r w:rsidRPr="003E6948">
        <w:rPr>
          <w:rFonts w:ascii="LM Roman 10" w:eastAsia="Times New Roman" w:hAnsi="LM Roman 10" w:cs="Times New Roman"/>
          <w:b/>
          <w:bCs/>
          <w:spacing w:val="-2"/>
          <w:kern w:val="0"/>
          <w:sz w:val="24"/>
          <w:szCs w:val="24"/>
          <w:lang w:eastAsia="en-US"/>
          <w14:ligatures w14:val="none"/>
        </w:rPr>
        <w:lastRenderedPageBreak/>
        <w:t>sign flip including your policy target and your policy instrument (and possibly other variables) in order to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In this work we provide a replication study of Lofaro and Di Bucchianico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63"/>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E0EA" w14:textId="77777777" w:rsidR="00053AB0" w:rsidRDefault="00053AB0" w:rsidP="00C53B8C">
      <w:pPr>
        <w:spacing w:after="0" w:line="240" w:lineRule="auto"/>
      </w:pPr>
      <w:r>
        <w:separator/>
      </w:r>
    </w:p>
  </w:endnote>
  <w:endnote w:type="continuationSeparator" w:id="0">
    <w:p w14:paraId="7D4D4F60" w14:textId="77777777" w:rsidR="00053AB0" w:rsidRDefault="00053AB0"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58A422" w14:textId="77777777" w:rsidR="00053AB0" w:rsidRDefault="00053AB0" w:rsidP="00C53B8C">
      <w:pPr>
        <w:spacing w:after="0" w:line="240" w:lineRule="auto"/>
      </w:pPr>
      <w:r>
        <w:separator/>
      </w:r>
    </w:p>
  </w:footnote>
  <w:footnote w:type="continuationSeparator" w:id="0">
    <w:p w14:paraId="4937C2B9" w14:textId="77777777" w:rsidR="00053AB0" w:rsidRDefault="00053AB0"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53AB0"/>
    <w:rsid w:val="00061520"/>
    <w:rsid w:val="000F089A"/>
    <w:rsid w:val="001057D9"/>
    <w:rsid w:val="001245F2"/>
    <w:rsid w:val="00134E41"/>
    <w:rsid w:val="00163949"/>
    <w:rsid w:val="001874AE"/>
    <w:rsid w:val="001C0924"/>
    <w:rsid w:val="001D1F96"/>
    <w:rsid w:val="001E4734"/>
    <w:rsid w:val="002064AE"/>
    <w:rsid w:val="00216B6E"/>
    <w:rsid w:val="00244047"/>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47BD6"/>
    <w:rsid w:val="00467F0D"/>
    <w:rsid w:val="004761A3"/>
    <w:rsid w:val="00485415"/>
    <w:rsid w:val="00497361"/>
    <w:rsid w:val="004A637B"/>
    <w:rsid w:val="004C14E4"/>
    <w:rsid w:val="004C3654"/>
    <w:rsid w:val="005552F2"/>
    <w:rsid w:val="00567B9E"/>
    <w:rsid w:val="00581E31"/>
    <w:rsid w:val="005A5B5E"/>
    <w:rsid w:val="005C48C2"/>
    <w:rsid w:val="005D48FF"/>
    <w:rsid w:val="005E0DD0"/>
    <w:rsid w:val="005F14A2"/>
    <w:rsid w:val="00614B0D"/>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65071"/>
    <w:rsid w:val="00781500"/>
    <w:rsid w:val="007A2542"/>
    <w:rsid w:val="007B3421"/>
    <w:rsid w:val="007B3B9D"/>
    <w:rsid w:val="007B49D4"/>
    <w:rsid w:val="007D2018"/>
    <w:rsid w:val="007D684C"/>
    <w:rsid w:val="007D7CD0"/>
    <w:rsid w:val="007E6424"/>
    <w:rsid w:val="007F0902"/>
    <w:rsid w:val="00815F5E"/>
    <w:rsid w:val="0082372E"/>
    <w:rsid w:val="0082378F"/>
    <w:rsid w:val="00832641"/>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2791"/>
    <w:rsid w:val="00A04D46"/>
    <w:rsid w:val="00A10EDA"/>
    <w:rsid w:val="00A27FD9"/>
    <w:rsid w:val="00A7438F"/>
    <w:rsid w:val="00A84C41"/>
    <w:rsid w:val="00A909BB"/>
    <w:rsid w:val="00A94FAA"/>
    <w:rsid w:val="00AA29C9"/>
    <w:rsid w:val="00AA4556"/>
    <w:rsid w:val="00AB5B3A"/>
    <w:rsid w:val="00B11C27"/>
    <w:rsid w:val="00B163FF"/>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0213"/>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1C0A"/>
    <w:rsid w:val="00FA5DBA"/>
    <w:rsid w:val="00FB05D2"/>
    <w:rsid w:val="00FE1D46"/>
    <w:rsid w:val="00FE2C45"/>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071"/>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9145</TotalTime>
  <Pages>55</Pages>
  <Words>11994</Words>
  <Characters>68372</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120</cp:revision>
  <dcterms:created xsi:type="dcterms:W3CDTF">2026-03-04T12:02:00Z</dcterms:created>
  <dcterms:modified xsi:type="dcterms:W3CDTF">2026-03-20T23:35:00Z</dcterms:modified>
</cp:coreProperties>
</file>