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Arial" w:cs="Arial" w:eastAsia="Arial" w:hAnsi="Arial"/>
          <w:b/>
          <w:bCs/>
          <w:i w:val="false"/>
          <w:iCs w:val="false"/>
          <w:caps w:val="false"/>
          <w:sz w:val="32"/>
          <w:szCs w:val="32"/>
        </w:rPr>
        <w:t xml:space="preserve">AZIENDA IDRICA VALLE CHIARA S.p.A.</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Arial" w:cs="Arial" w:eastAsia="Arial" w:hAnsi="Arial"/>
          <w:b/>
          <w:bCs/>
          <w:i w:val="false"/>
          <w:iCs w:val="false"/>
          <w:caps w:val="false"/>
          <w:sz w:val="36"/>
          <w:szCs w:val="36"/>
        </w:rPr>
        <w:t xml:space="preserve">RELAZIONE ANNUALE SULL'ATTIVITA'  DEL SERVIZIO CLIENTI</w:t>
      </w:r>
    </w:p>
    <w:p>
      <w:pPr>
        <w:spacing w:after="0" w:before="0" w:line="240"/>
        <w:jc w:val="center"/>
      </w:pPr>
      <w:r>
        <w:rPr>
          <w:rFonts w:ascii="Arial" w:cs="Arial" w:eastAsia="Arial" w:hAnsi="Arial"/>
          <w:b w:val="false"/>
          <w:bCs w:val="false"/>
          <w:i w:val="false"/>
          <w:iCs w:val="false"/>
          <w:caps w:val="false"/>
          <w:sz w:val="28"/>
          <w:szCs w:val="28"/>
        </w:rPr>
        <w:t xml:space="preserve">Anno 2025</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Times New Roman" w:cs="Times New Roman" w:eastAsia="Times New Roman" w:hAnsi="Times New Roman"/>
          <w:b w:val="false"/>
          <w:bCs w:val="false"/>
          <w:i/>
          <w:iCs/>
          <w:caps w:val="false"/>
          <w:sz w:val="22"/>
          <w:szCs w:val="22"/>
        </w:rPr>
        <w:t xml:space="preserve">a cura dell'Ufficio Relazioni con il Pubblico</w:t>
      </w:r>
    </w:p>
    <w:p>
      <w:pPr>
        <w:spacing w:after="0" w:before="0" w:line="240"/>
        <w:jc w:val="center"/>
      </w:pPr>
      <w:r>
        <w:rPr>
          <w:rFonts w:ascii="Times New Roman" w:cs="Times New Roman" w:eastAsia="Times New Roman" w:hAnsi="Times New Roman"/>
          <w:b w:val="false"/>
          <w:bCs w:val="false"/>
          <w:i/>
          <w:iCs/>
          <w:caps w:val="false"/>
          <w:sz w:val="22"/>
          <w:szCs w:val="22"/>
        </w:rPr>
        <w:t xml:space="preserve">Varese, 12 febbraio 2026</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Times New Roman" w:cs="Times New Roman" w:eastAsia="Times New Roman" w:hAnsi="Times New Roman"/>
          <w:b/>
          <w:bCs/>
          <w:i w:val="false"/>
          <w:iCs w:val="false"/>
          <w:caps w:val="false"/>
          <w:sz w:val="28"/>
          <w:szCs w:val="28"/>
        </w:rPr>
        <w:t xml:space="preserve">INDICE</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1. PREMESSA.................................................. 3</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1.1 Finalita' del documento................................ 3</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1.2 Metodologia di raccolta dei dati....................... 3</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2. IL SERVIZIO NEL 2025...................................... 4</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2.1 Organico e organizzazione.............................. 4</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2.2 Canali di contatto..................................... 4</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2.3 Volumi di richieste.................................... 5</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3. ANALISI DELLE RICHIESTE................................... 5</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3.1 Tipologie di richiesta................................. 5</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3.2 Tempi di risposta...................................... 6</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3.3 Reclami................................................ 6</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4. SODDISFAZIONE DEI CLIENTI................................. 7</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5. CRITICITA' RILEVATE....................................... 7</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6. OBIETTIVI PER IL 2026..................................... 8</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Allegato A - Prospetto riepilogativo mensile................. 9</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120" w:before="240" w:line="240"/>
        <w:jc w:val="left"/>
      </w:pPr>
      <w:r>
        <w:rPr>
          <w:rFonts w:ascii="Times New Roman" w:cs="Times New Roman" w:eastAsia="Times New Roman" w:hAnsi="Times New Roman"/>
          <w:b/>
          <w:bCs/>
          <w:i w:val="false"/>
          <w:iCs w:val="false"/>
          <w:caps/>
          <w:sz w:val="28"/>
          <w:szCs w:val="28"/>
        </w:rPr>
        <w:t xml:space="preserve">1. Premessa</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1.1 Finalita' del documento</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La presente relazione illustra l'attivita' svolta dal Servizio Clienti nel corso dell'anno 2025 e ne  restituisce una lettura complessiva, con l'obiettivo di fornire alla Direzione Generale gli elementi necessari alla programmazione delle risorse per l'esercizio successivo. Il documento raccoglie i dati di volume, i tempi medi di risposta, l'esito delle indagini di soddisfazione e le principali criticita' segnalate dagli operatori nel corso degli incontri periodici.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Rispetto all'edizione dello scorso anno la relazione e' stata estesa con una sezione dedicata ai canali digitali, la cui incidenza sul totale dei contatti e' cresciuta in modo significativo, e con un allegato che riporta il dettaglio mensile dei principali indicatori.</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1.2 Metodologia di raccolta dei dati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I dati di volume provengono dall'estrazione automatica del sistema di gestione dei ticket, effettuata il 7 gennaio 2026 e riferita al periodo 1 gennaio - 31 dicembre 2025. I dati relativi ai contatti telefonici sono stati forniti dal fornitore del centralino e risultano allineati alle estrazioni interne con uno scostamento inferiore al due per cento, riconducibile alle chiamate interrotte prima della presa in carico.</w:t>
      </w:r>
    </w:p>
    <w:p>
      <w:pPr>
        <w:spacing w:after="0" w:before="0" w:line="240"/>
        <w:jc w:val="both"/>
      </w:pPr>
      <w:r>
        <w:rPr>
          <w:rFonts w:ascii="Arial" w:cs="Arial" w:eastAsia="Arial" w:hAnsi="Arial"/>
          <w:b w:val="false"/>
          <w:bCs w:val="false"/>
          <w:i w:val="false"/>
          <w:iCs w:val="false"/>
          <w:caps w:val="false"/>
          <w:sz w:val="24"/>
          <w:szCs w:val="24"/>
        </w:rPr>
        <w:t xml:space="preserve">I dati di soddisfazione derivano da un questionario somministrato via posta elettronica a un campione di duemila utenti, con un tasso di risposta del ventisei per cento. Il campione e' stato stratificato per fascia di consumo e per area territoriale. Le risposte aperte sono state classificate manualmente da due operatori, con revisione incrociata dei casi dubbi.</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120" w:before="240" w:line="240"/>
        <w:jc w:val="left"/>
      </w:pPr>
      <w:r>
        <w:rPr>
          <w:rFonts w:ascii="Times New Roman" w:cs="Times New Roman" w:eastAsia="Times New Roman" w:hAnsi="Times New Roman"/>
          <w:b/>
          <w:bCs/>
          <w:i w:val="false"/>
          <w:iCs w:val="false"/>
          <w:caps/>
          <w:sz w:val="28"/>
          <w:szCs w:val="28"/>
        </w:rPr>
        <w:t xml:space="preserve">2. Il servizio nel 2025</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2.1 Organico e organizzazione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Al 31 dicembre 2025 il Servizio Clienti contava quattordici addetti, di cui undici a tempo pieno e tre a tempo parziale, coordinati da un responsabile di servizio. Rispetto all'anno precedente l'organico e' aumentato di due unita', entrambe assegnate al presidio dei canali digitali. Due addetti hanno usufruito di congedo parentale per periodi complessivamente pari a sette mesi, coperti con contratti a tempo determinato.</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L'organizzazione interna e' articolata su tre gruppi di lavoro: sportello e telefono, pratiche amministrative, gestione dei reclami. La rotazione tra i gruppi, introdotta in via sperimentale a marzo, ha consentito una piu' ampia copertura nei periodi di ferie ma ha richiesto un investimento formativo superiore alle previsioni.</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2.2 Canali di contatto</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Gli utenti possono rivolgersi al servizio attraverso cinque canali: sportello fisico, numero verde, posta elettronica, modulo online e, dal mese di settembre, applicazione mobile. Lo sportello fisico e' aperto quattro mattine e due pomeriggi a settimana; il numero verde e' attivo dal lunedi' al venerdi' dalle 8.30 alle 17.30.</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Nel corso dell'anno si e' confermata la tendenza allo spostamento verso i canali asincroni. I contatti allo sportello sono diminuiti dell'undici per cento, mentre le richieste inoltrate tramite modulo online sono cresciute del trentaquattro per cento. L'applicazione mobile, pur attiva solo per quattro mesi, ha generato circa il cinque per cento dei contatti complessivi del periodo.</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bCs/>
          <w:i/>
          <w:iCs/>
          <w:caps w:val="false"/>
          <w:sz w:val="24"/>
          <w:szCs w:val="24"/>
        </w:rPr>
        <w:t xml:space="preserve">2.2.1 Sportello fisico</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Lo sportello resta il canale preferito dall'utenza over sessantacinque e per le pratiche che richiedono la consegna di documentazione cartacea. Il tempo medio di attesa e' stato di undici minuti, con punte di oltre trenta minuti nelle giornate immediatamente successive all'emissione delle fatture.</w:t>
      </w:r>
    </w:p>
    <w:p>
      <w:pPr>
        <w:spacing w:after="0" w:before="0" w:line="240"/>
        <w:jc w:val="left"/>
      </w:pPr>
      <w:r>
        <w:rPr>
          <w:rFonts w:ascii="Times New Roman" w:cs="Times New Roman" w:eastAsia="Times New Roman" w:hAnsi="Times New Roman"/>
          <w:b/>
          <w:bCs/>
          <w:i/>
          <w:iCs/>
          <w:caps w:val="false"/>
          <w:sz w:val="24"/>
          <w:szCs w:val="24"/>
        </w:rPr>
        <w:t xml:space="preserve">2.2.2 Canali digitali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Il modulo online e' stato rivisto a giugno riducendo da diciotto a nove i campi obbligatori. La percentuale di moduli abbandonati prima dell'invio e' passata dal ventinove al dodici per cento. Restano da risolvere alcune segnalazioni relative al caricamento degli allegati da dispositivo mobile.</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2.3 Volumi di richieste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Nel 2025 il servizio ha gestito complessivamente 48.312 contatti, con un incremento del sei per cento rispetto ai 45.580 dell'anno precedente. La distribuzione mensile evidenzia due picchi, in marzo e in ottobre, coincidenti con l'invio delle fatture di conguaglio. Il mese di agosto ha registrato il volume piu' basso, pari a 2.104 contatti.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Il rapporto tra contatti gestiti e addetti effettivamente presenti si e' mantenuto sostanzialmente stabile, a fronte pero' di un aumento della complessita' media delle richieste, che il responsabile di servizio segnala come il dato piu' rilevante dell'anno.</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120" w:before="240" w:line="240"/>
        <w:jc w:val="left"/>
      </w:pPr>
      <w:r>
        <w:rPr>
          <w:rFonts w:ascii="Times New Roman" w:cs="Times New Roman" w:eastAsia="Times New Roman" w:hAnsi="Times New Roman"/>
          <w:b/>
          <w:bCs/>
          <w:i w:val="false"/>
          <w:iCs w:val="false"/>
          <w:caps/>
          <w:sz w:val="28"/>
          <w:szCs w:val="28"/>
        </w:rPr>
        <w:t xml:space="preserve">3. Analisi delle richieste</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3.1 Tipologie di richiesta</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Le richieste sono state classificate in sei categorie. Le informazioni su fatturazione e consumi rappresentano il quarantadue per cento del totale, seguite dalle pratiche contrattuali con il ventitre per cento, dalle segnalazioni di guasto con il diciotto per cento, dalle richieste di rateizzazione con il nove per cento, dai reclami con il cinque per cento e da una categoria residuale con il tre per cento.</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All'interno della prima categoria, oltre la meta' delle richieste riguarda la comprensione della bolletta piuttosto che la contestazione dell'importo. Questo dato, gia' emerso nel 2024, suggerisce un margine di intervento sulla leggibilita' del documento di fatturazione piuttosto che sui processi del servizio.</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3.2 Tempi di risposta</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Il tempo medio di prima risposta sulle richieste scritte e' stato di due giorni lavorativi e mezzo, contro un obiettivo di tre giorni fissato dalla Carta dei Servizi. Il novantuno per cento delle richieste e' stato evaso entro il termine; il restante nove per cento riguarda prevalentemente pratiche che richiedono verifiche tecniche sul contatore.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Il tempo medio di attesa telefonica e' stato di tre minuti e dodici secondi. Il tasso di abbandono si e' attestato al quattordici per cento, in peggioramento di due punti rispetto al 2024; l'analisi per fascia oraria mostra che quasi la totalita' degli abbandoni si concentra tra le 9.00 e le 10.30.</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3.3 Reclami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I reclami formali sono stati 2.418, in aumento del quattro per cento. Il tempo medio di chiusura e' stato di ventidue giorni, contro i trenta previsti dalla normativa di settore. Il sessantotto per cento dei reclami si e' chiuso con esito favorevole all'utente, percentuale in linea con il triennio precedente.</w:t>
      </w:r>
    </w:p>
    <w:p>
      <w:pPr>
        <w:spacing w:after="0" w:before="0" w:line="240"/>
        <w:jc w:val="both"/>
      </w:pPr>
      <w:r>
        <w:rPr>
          <w:rFonts w:ascii="Arial" w:cs="Arial" w:eastAsia="Arial" w:hAnsi="Arial"/>
          <w:b w:val="false"/>
          <w:bCs w:val="false"/>
          <w:i w:val="false"/>
          <w:iCs w:val="false"/>
          <w:caps w:val="false"/>
          <w:sz w:val="24"/>
          <w:szCs w:val="24"/>
        </w:rPr>
        <w:t xml:space="preserve">Le tre motivazioni piu' frequenti sono state, nell'ordine: importi ritenuti non congrui rispetto ai consumi storici, mancata applicazione di agevolazioni tariffarie gia' richieste, ritardi negli interventi di sostituzione del contatore. Su quest'ultimo punto si segnala la necessita' di un coordinamento piu' stretto con l'Area Tecnica.</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120" w:before="240" w:line="240"/>
        <w:jc w:val="left"/>
      </w:pPr>
      <w:r>
        <w:rPr>
          <w:rFonts w:ascii="Times New Roman" w:cs="Times New Roman" w:eastAsia="Times New Roman" w:hAnsi="Times New Roman"/>
          <w:b/>
          <w:bCs/>
          <w:i w:val="false"/>
          <w:iCs w:val="false"/>
          <w:caps/>
          <w:sz w:val="28"/>
          <w:szCs w:val="28"/>
        </w:rPr>
        <w:t xml:space="preserve">4. Soddisfazione dei clienti</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4.1 L'indagine annuale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L'indagine annuale ha restituito un indice di soddisfazione complessivo pari a 7,4 su 10, in crescita di tre decimi rispetto al 2024. Il giudizio piu' alto riguarda la cortesia degli operatori, con 8,6; il piu' basso riguarda la chiarezza delle comunicazioni scritte, con 6,1.</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La rilevazione e' stata condotta tra il 15 ottobre e il 20 novembre 2025 su un campione di duemila utenti estratto in modo casuale dall'anagrafica contratti, escludendo coloro che avevano gia' partecipato all'edizione precedente. Il questionario si componeva di dodici domande a scala e due domande aperte. Il tempo medio di compilazione e' stato di sei minuti.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L'analisi per area territoriale non evidenzia scostamenti significativi, con l'eccezione del comprensorio nord, dove l'indice si ferma a 6,8. Il dato e' verosimilmente collegato ai lavori di sostituzione della condotta principale che hanno interessato l'area nel secondo semestre, e alle conseguenti interruzioni del servizio.</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4.2 I commenti ricorrenti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     Le risposte aperte confermano il quadro emerso dalle domande a scala. Ricorrono con particolare frequenza tre osservazioni: la difficolta' di interpretare le voci della bolletta, la percezione di dover ripetere le stesse informazioni passando da un canale all'altro e l'apprezzamento per la possibilita' di fissare un appuntamento allo sportello, introdotta a maggio.</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Un quarto tema, meno frequente ma segnalato con toni piu' netti, riguarda le comunicazioni automatiche di sollecito, giudicate poco chiare nella distinzione tra avviso informativo e diffida vera e propria. Si tratta di un aspetto che coinvolge anche l'Ufficio Legale e che si propone di affrontare nel corso del 2026.</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Si segnala infine che il tasso di risposta al questionario e' sensibilmente piu' basso nella fascia under trentacinque, il che consiglia per il prossimo anno l'adozione di uno strumento di rilevazione integrato nell'applicazione mobile.</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120" w:before="240" w:line="240"/>
        <w:jc w:val="left"/>
      </w:pPr>
      <w:r>
        <w:rPr>
          <w:rFonts w:ascii="Times New Roman" w:cs="Times New Roman" w:eastAsia="Times New Roman" w:hAnsi="Times New Roman"/>
          <w:b/>
          <w:bCs/>
          <w:i w:val="false"/>
          <w:iCs w:val="false"/>
          <w:caps/>
          <w:sz w:val="28"/>
          <w:szCs w:val="28"/>
        </w:rPr>
        <w:t xml:space="preserve">5. Criticita' rilevate</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5.1 Picchi stagionali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La concentrazione dei contatti nei quindici giorni successivi all'emissione delle fatture genera un carico che l'organico ordinario non riesce ad assorbire. Nel 2025 si e' fatto ricorso a quattro settimane complessive di supporto esterno, con costi superiori del diciotto per cento rispetto al preventivo.</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5.2 Formazione del personale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La rotazione tra gruppi di lavoro ha evidenziato che la formazione sugli applicativi gestionali e' stata finora affidata all'affiancamento sul campo, senza materiale di riferimento. I nuovi assunti impiegano mediamente sette settimane per raggiungere l'autonomia operativa, contro le quattro stimate.</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5.3 Strumenti informatici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Il sistema di gestione dei ticket non dialoga con l'anagrafica contratti: gli operatori devono consultare due applicativi distinti, con un tempo aggiuntivo stimato in cinquanta secondi per pratica. Su base annua l'onere corrisponde a circa seicentosettanta ore di lavoro.</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A cio' si aggiunge l'assenza di una funzione di ricerca sullo storico dei contatti: per ricostruire la vicenda di un utente che ha scritto piu' volte occorre aprire i singoli ticket uno per uno. Tre operatori su quattro, nel questionario interno somministrato a dicembre, hanno indicato questo aspetto come la principale fonte di rallentamento del lavoro quotidiano.</w:t>
      </w:r>
    </w:p>
    <w:p>
      <w:pPr>
        <w:spacing w:after="0" w:before="120" w:line="240"/>
        <w:jc w:val="left"/>
      </w:pPr>
      <w:r>
        <w:rPr>
          <w:rFonts w:ascii="Times New Roman" w:cs="Times New Roman" w:eastAsia="Times New Roman" w:hAnsi="Times New Roman"/>
          <w:b/>
          <w:bCs/>
          <w:i w:val="false"/>
          <w:iCs w:val="false"/>
          <w:caps w:val="false"/>
          <w:sz w:val="24"/>
          <w:szCs w:val="24"/>
          <w:u w:val="single"/>
        </w:rPr>
        <w:t xml:space="preserve">5.4 Spazi e postazioni</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La sala d'attesa dello sportello dispone di dodici posti a sedere, insufficienti nelle giornate di punta. Nel corso dell'anno sono pervenute nove segnalazioni scritte in merito, due delle quali relative all'assenza di un'area riservata per le pratiche che comportano la comunicazione di dati sensibili.</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120" w:before="240" w:line="240"/>
        <w:jc w:val="left"/>
      </w:pPr>
      <w:r>
        <w:rPr>
          <w:rFonts w:ascii="Times New Roman" w:cs="Times New Roman" w:eastAsia="Times New Roman" w:hAnsi="Times New Roman"/>
          <w:b/>
          <w:bCs/>
          <w:i w:val="false"/>
          <w:iCs w:val="false"/>
          <w:caps/>
          <w:sz w:val="28"/>
          <w:szCs w:val="28"/>
        </w:rPr>
        <w:t xml:space="preserve">6. Obiettivi per il 2026</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Alla luce di quanto esposto si propongono cinque obiettivi per l'esercizio 2026:</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1) riduzione del tasso di abbandono telefonico al dieci per cento, mediante rimodulazione dei turni nella fascia 9.00 - 10.30;</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2) revisione del layout della bolletta in collaborazione con l'Area Amministrativa, con test su un campione di utenti entro giugno;</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3) integrazione tra sistema ticket e anagrafica contratti, previo studio di fattibilita' da concludere entro marzo;</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4) redazione di un manuale operativo per i nuovi assunti, con l'obiettivo di riportare a cinque settimane il tempo di autonomia;</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5) estensione del questionario di soddisfazione all'applicazione mobile.</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Gli obiettivi 1, 4 e 5 non comportano oneri aggiuntivi. Gli obiettivi 2 e 3 richiedono uno stanziamento la cui quantificazione sara' oggetto di nota separata.</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120" w:before="240" w:line="240"/>
        <w:jc w:val="left"/>
      </w:pPr>
      <w:r>
        <w:rPr>
          <w:rFonts w:ascii="Times New Roman" w:cs="Times New Roman" w:eastAsia="Times New Roman" w:hAnsi="Times New Roman"/>
          <w:b/>
          <w:bCs/>
          <w:i w:val="false"/>
          <w:iCs w:val="false"/>
          <w:caps/>
          <w:sz w:val="28"/>
          <w:szCs w:val="28"/>
        </w:rPr>
        <w:t xml:space="preserve">Allegato A - Prospetto riepilogativo mensile</w:t>
      </w:r>
    </w:p>
    <w:p>
      <w:pPr>
        <w:spacing w:after="0" w:before="0" w:line="240"/>
        <w:jc w:val="both"/>
      </w:pPr>
      <w:r>
        <w:rPr>
          <w:rFonts w:ascii="Times New Roman" w:cs="Times New Roman" w:eastAsia="Times New Roman" w:hAnsi="Times New Roman"/>
          <w:b w:val="false"/>
          <w:bCs w:val="false"/>
          <w:i w:val="false"/>
          <w:iCs w:val="false"/>
          <w:caps w:val="false"/>
          <w:sz w:val="24"/>
          <w:szCs w:val="24"/>
        </w:rPr>
        <w:t xml:space="preserve">Il prospetto che segue riporta i principali indicatori suddivisi per mese. Nota per chi impagina: la tabella e' piu' larga della pagina.</w:t>
      </w:r>
    </w:p>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900"/>
        <w:gridCol w:w="1200"/>
        <w:gridCol w:w="1100"/>
        <w:gridCol w:w="1300"/>
        <w:gridCol w:w="900"/>
        <w:gridCol w:w="1300"/>
        <w:gridCol w:w="1200"/>
      </w:tblGrid>
      <w:tr>
        <w:tc>
          <w:tcPr>
            <w:tcW w:type="dxa" w:w="1100"/>
            <w:shd w:fill="D9D9D9" w:val="clear"/>
          </w:tcPr>
          <w:p>
            <w:r>
              <w:rPr>
                <w:rFonts w:ascii="Times New Roman" w:cs="Times New Roman" w:eastAsia="Times New Roman" w:hAnsi="Times New Roman"/>
                <w:b/>
                <w:bCs/>
                <w:sz w:val="18"/>
                <w:szCs w:val="18"/>
              </w:rPr>
              <w:t xml:space="preserve">Mese</w:t>
            </w:r>
          </w:p>
        </w:tc>
        <w:tc>
          <w:tcPr>
            <w:tcW w:type="dxa" w:w="1000"/>
            <w:shd w:fill="D9D9D9" w:val="clear"/>
          </w:tcPr>
          <w:p>
            <w:r>
              <w:rPr>
                <w:rFonts w:ascii="Times New Roman" w:cs="Times New Roman" w:eastAsia="Times New Roman" w:hAnsi="Times New Roman"/>
                <w:b/>
                <w:bCs/>
                <w:sz w:val="18"/>
                <w:szCs w:val="18"/>
              </w:rPr>
              <w:t xml:space="preserve">Sportello</w:t>
            </w:r>
          </w:p>
        </w:tc>
        <w:tc>
          <w:tcPr>
            <w:tcW w:type="dxa" w:w="1000"/>
            <w:shd w:fill="D9D9D9" w:val="clear"/>
          </w:tcPr>
          <w:p>
            <w:r>
              <w:rPr>
                <w:rFonts w:ascii="Times New Roman" w:cs="Times New Roman" w:eastAsia="Times New Roman" w:hAnsi="Times New Roman"/>
                <w:b/>
                <w:bCs/>
                <w:sz w:val="18"/>
                <w:szCs w:val="18"/>
              </w:rPr>
              <w:t xml:space="preserve">Telefono</w:t>
            </w:r>
          </w:p>
        </w:tc>
        <w:tc>
          <w:tcPr>
            <w:tcW w:type="dxa" w:w="900"/>
            <w:shd w:fill="D9D9D9" w:val="clear"/>
          </w:tcPr>
          <w:p>
            <w:r>
              <w:rPr>
                <w:rFonts w:ascii="Times New Roman" w:cs="Times New Roman" w:eastAsia="Times New Roman" w:hAnsi="Times New Roman"/>
                <w:b/>
                <w:bCs/>
                <w:sz w:val="18"/>
                <w:szCs w:val="18"/>
              </w:rPr>
              <w:t xml:space="preserve">E-mail</w:t>
            </w:r>
          </w:p>
        </w:tc>
        <w:tc>
          <w:tcPr>
            <w:tcW w:type="dxa" w:w="1200"/>
            <w:shd w:fill="D9D9D9" w:val="clear"/>
          </w:tcPr>
          <w:p>
            <w:r>
              <w:rPr>
                <w:rFonts w:ascii="Times New Roman" w:cs="Times New Roman" w:eastAsia="Times New Roman" w:hAnsi="Times New Roman"/>
                <w:b/>
                <w:bCs/>
                <w:sz w:val="18"/>
                <w:szCs w:val="18"/>
              </w:rPr>
              <w:t xml:space="preserve">Modulo online</w:t>
            </w:r>
          </w:p>
        </w:tc>
        <w:tc>
          <w:tcPr>
            <w:tcW w:type="dxa" w:w="1100"/>
            <w:shd w:fill="D9D9D9" w:val="clear"/>
          </w:tcPr>
          <w:p>
            <w:r>
              <w:rPr>
                <w:rFonts w:ascii="Times New Roman" w:cs="Times New Roman" w:eastAsia="Times New Roman" w:hAnsi="Times New Roman"/>
                <w:b/>
                <w:bCs/>
                <w:sz w:val="18"/>
                <w:szCs w:val="18"/>
              </w:rPr>
              <w:t xml:space="preserve">App mobile</w:t>
            </w:r>
          </w:p>
        </w:tc>
        <w:tc>
          <w:tcPr>
            <w:tcW w:type="dxa" w:w="1300"/>
            <w:shd w:fill="D9D9D9" w:val="clear"/>
          </w:tcPr>
          <w:p>
            <w:r>
              <w:rPr>
                <w:rFonts w:ascii="Times New Roman" w:cs="Times New Roman" w:eastAsia="Times New Roman" w:hAnsi="Times New Roman"/>
                <w:b/>
                <w:bCs/>
                <w:sz w:val="18"/>
                <w:szCs w:val="18"/>
              </w:rPr>
              <w:t xml:space="preserve">Totale contatti</w:t>
            </w:r>
          </w:p>
        </w:tc>
        <w:tc>
          <w:tcPr>
            <w:tcW w:type="dxa" w:w="900"/>
            <w:shd w:fill="D9D9D9" w:val="clear"/>
          </w:tcPr>
          <w:p>
            <w:r>
              <w:rPr>
                <w:rFonts w:ascii="Times New Roman" w:cs="Times New Roman" w:eastAsia="Times New Roman" w:hAnsi="Times New Roman"/>
                <w:b/>
                <w:bCs/>
                <w:sz w:val="18"/>
                <w:szCs w:val="18"/>
              </w:rPr>
              <w:t xml:space="preserve">Reclami</w:t>
            </w:r>
          </w:p>
        </w:tc>
        <w:tc>
          <w:tcPr>
            <w:tcW w:type="dxa" w:w="1300"/>
            <w:shd w:fill="D9D9D9" w:val="clear"/>
          </w:tcPr>
          <w:p>
            <w:r>
              <w:rPr>
                <w:rFonts w:ascii="Times New Roman" w:cs="Times New Roman" w:eastAsia="Times New Roman" w:hAnsi="Times New Roman"/>
                <w:b/>
                <w:bCs/>
                <w:sz w:val="18"/>
                <w:szCs w:val="18"/>
              </w:rPr>
              <w:t xml:space="preserve">Attesa media tel.</w:t>
            </w:r>
          </w:p>
        </w:tc>
        <w:tc>
          <w:tcPr>
            <w:tcW w:type="dxa" w:w="1200"/>
            <w:shd w:fill="D9D9D9" w:val="clear"/>
          </w:tcPr>
          <w:p>
            <w:r>
              <w:rPr>
                <w:rFonts w:ascii="Times New Roman" w:cs="Times New Roman" w:eastAsia="Times New Roman" w:hAnsi="Times New Roman"/>
                <w:b/>
                <w:bCs/>
                <w:sz w:val="18"/>
                <w:szCs w:val="18"/>
              </w:rPr>
              <w:t xml:space="preserve">Soddisfazione</w:t>
            </w:r>
          </w:p>
        </w:tc>
      </w:tr>
      <w:tr>
        <w:tc>
          <w:tcPr>
            <w:tcW w:type="dxa" w:w="1100"/>
          </w:tcPr>
          <w:p>
            <w:r>
              <w:rPr>
                <w:rFonts w:ascii="Times New Roman" w:cs="Times New Roman" w:eastAsia="Times New Roman" w:hAnsi="Times New Roman"/>
                <w:b w:val="false"/>
                <w:bCs w:val="false"/>
                <w:sz w:val="18"/>
                <w:szCs w:val="18"/>
              </w:rPr>
              <w:t xml:space="preserve">Gennaio</w:t>
            </w:r>
          </w:p>
        </w:tc>
        <w:tc>
          <w:tcPr>
            <w:tcW w:type="dxa" w:w="1000"/>
          </w:tcPr>
          <w:p>
            <w:r>
              <w:rPr>
                <w:rFonts w:ascii="Times New Roman" w:cs="Times New Roman" w:eastAsia="Times New Roman" w:hAnsi="Times New Roman"/>
                <w:b w:val="false"/>
                <w:bCs w:val="false"/>
                <w:sz w:val="18"/>
                <w:szCs w:val="18"/>
              </w:rPr>
              <w:t xml:space="preserve">1.180</w:t>
            </w:r>
          </w:p>
        </w:tc>
        <w:tc>
          <w:tcPr>
            <w:tcW w:type="dxa" w:w="1000"/>
          </w:tcPr>
          <w:p>
            <w:r>
              <w:rPr>
                <w:rFonts w:ascii="Times New Roman" w:cs="Times New Roman" w:eastAsia="Times New Roman" w:hAnsi="Times New Roman"/>
                <w:b w:val="false"/>
                <w:bCs w:val="false"/>
                <w:sz w:val="18"/>
                <w:szCs w:val="18"/>
              </w:rPr>
              <w:t xml:space="preserve">2.060</w:t>
            </w:r>
          </w:p>
        </w:tc>
        <w:tc>
          <w:tcPr>
            <w:tcW w:type="dxa" w:w="900"/>
          </w:tcPr>
          <w:p>
            <w:r>
              <w:rPr>
                <w:rFonts w:ascii="Times New Roman" w:cs="Times New Roman" w:eastAsia="Times New Roman" w:hAnsi="Times New Roman"/>
                <w:b w:val="false"/>
                <w:bCs w:val="false"/>
                <w:sz w:val="18"/>
                <w:szCs w:val="18"/>
              </w:rPr>
              <w:t xml:space="preserve">640</w:t>
            </w:r>
          </w:p>
        </w:tc>
        <w:tc>
          <w:tcPr>
            <w:tcW w:type="dxa" w:w="1200"/>
          </w:tcPr>
          <w:p>
            <w:r>
              <w:rPr>
                <w:rFonts w:ascii="Times New Roman" w:cs="Times New Roman" w:eastAsia="Times New Roman" w:hAnsi="Times New Roman"/>
                <w:b w:val="false"/>
                <w:bCs w:val="false"/>
                <w:sz w:val="18"/>
                <w:szCs w:val="18"/>
              </w:rPr>
              <w:t xml:space="preserve">410</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4.290</w:t>
            </w:r>
          </w:p>
        </w:tc>
        <w:tc>
          <w:tcPr>
            <w:tcW w:type="dxa" w:w="900"/>
          </w:tcPr>
          <w:p>
            <w:r>
              <w:rPr>
                <w:rFonts w:ascii="Times New Roman" w:cs="Times New Roman" w:eastAsia="Times New Roman" w:hAnsi="Times New Roman"/>
                <w:b w:val="false"/>
                <w:bCs w:val="false"/>
                <w:sz w:val="18"/>
                <w:szCs w:val="18"/>
              </w:rPr>
              <w:t xml:space="preserve">198</w:t>
            </w:r>
          </w:p>
        </w:tc>
        <w:tc>
          <w:tcPr>
            <w:tcW w:type="dxa" w:w="1300"/>
          </w:tcPr>
          <w:p>
            <w:r>
              <w:rPr>
                <w:rFonts w:ascii="Times New Roman" w:cs="Times New Roman" w:eastAsia="Times New Roman" w:hAnsi="Times New Roman"/>
                <w:b w:val="false"/>
                <w:bCs w:val="false"/>
                <w:sz w:val="18"/>
                <w:szCs w:val="18"/>
              </w:rPr>
              <w:t xml:space="preserve">2'55"</w:t>
            </w:r>
          </w:p>
        </w:tc>
        <w:tc>
          <w:tcPr>
            <w:tcW w:type="dxa" w:w="1200"/>
          </w:tcPr>
          <w:p>
            <w:r>
              <w:rPr>
                <w:rFonts w:ascii="Times New Roman" w:cs="Times New Roman" w:eastAsia="Times New Roman" w:hAnsi="Times New Roman"/>
                <w:b w:val="false"/>
                <w:bCs w:val="false"/>
                <w:sz w:val="18"/>
                <w:szCs w:val="18"/>
              </w:rPr>
              <w:t xml:space="preserve">7,2</w:t>
            </w:r>
          </w:p>
        </w:tc>
      </w:tr>
      <w:tr>
        <w:tc>
          <w:tcPr>
            <w:tcW w:type="dxa" w:w="1100"/>
          </w:tcPr>
          <w:p>
            <w:r>
              <w:rPr>
                <w:rFonts w:ascii="Times New Roman" w:cs="Times New Roman" w:eastAsia="Times New Roman" w:hAnsi="Times New Roman"/>
                <w:b w:val="false"/>
                <w:bCs w:val="false"/>
                <w:sz w:val="18"/>
                <w:szCs w:val="18"/>
              </w:rPr>
              <w:t xml:space="preserve">Febbraio</w:t>
            </w:r>
          </w:p>
        </w:tc>
        <w:tc>
          <w:tcPr>
            <w:tcW w:type="dxa" w:w="1000"/>
          </w:tcPr>
          <w:p>
            <w:r>
              <w:rPr>
                <w:rFonts w:ascii="Times New Roman" w:cs="Times New Roman" w:eastAsia="Times New Roman" w:hAnsi="Times New Roman"/>
                <w:b w:val="false"/>
                <w:bCs w:val="false"/>
                <w:sz w:val="18"/>
                <w:szCs w:val="18"/>
              </w:rPr>
              <w:t xml:space="preserve">1.040</w:t>
            </w:r>
          </w:p>
        </w:tc>
        <w:tc>
          <w:tcPr>
            <w:tcW w:type="dxa" w:w="1000"/>
          </w:tcPr>
          <w:p>
            <w:r>
              <w:rPr>
                <w:rFonts w:ascii="Times New Roman" w:cs="Times New Roman" w:eastAsia="Times New Roman" w:hAnsi="Times New Roman"/>
                <w:b w:val="false"/>
                <w:bCs w:val="false"/>
                <w:sz w:val="18"/>
                <w:szCs w:val="18"/>
              </w:rPr>
              <w:t xml:space="preserve">1.870</w:t>
            </w:r>
          </w:p>
        </w:tc>
        <w:tc>
          <w:tcPr>
            <w:tcW w:type="dxa" w:w="900"/>
          </w:tcPr>
          <w:p>
            <w:r>
              <w:rPr>
                <w:rFonts w:ascii="Times New Roman" w:cs="Times New Roman" w:eastAsia="Times New Roman" w:hAnsi="Times New Roman"/>
                <w:b w:val="false"/>
                <w:bCs w:val="false"/>
                <w:sz w:val="18"/>
                <w:szCs w:val="18"/>
              </w:rPr>
              <w:t xml:space="preserve">590</w:t>
            </w:r>
          </w:p>
        </w:tc>
        <w:tc>
          <w:tcPr>
            <w:tcW w:type="dxa" w:w="1200"/>
          </w:tcPr>
          <w:p>
            <w:r>
              <w:rPr>
                <w:rFonts w:ascii="Times New Roman" w:cs="Times New Roman" w:eastAsia="Times New Roman" w:hAnsi="Times New Roman"/>
                <w:b w:val="false"/>
                <w:bCs w:val="false"/>
                <w:sz w:val="18"/>
                <w:szCs w:val="18"/>
              </w:rPr>
              <w:t xml:space="preserve">395</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3.895</w:t>
            </w:r>
          </w:p>
        </w:tc>
        <w:tc>
          <w:tcPr>
            <w:tcW w:type="dxa" w:w="900"/>
          </w:tcPr>
          <w:p>
            <w:r>
              <w:rPr>
                <w:rFonts w:ascii="Times New Roman" w:cs="Times New Roman" w:eastAsia="Times New Roman" w:hAnsi="Times New Roman"/>
                <w:b w:val="false"/>
                <w:bCs w:val="false"/>
                <w:sz w:val="18"/>
                <w:szCs w:val="18"/>
              </w:rPr>
              <w:t xml:space="preserve">176</w:t>
            </w:r>
          </w:p>
        </w:tc>
        <w:tc>
          <w:tcPr>
            <w:tcW w:type="dxa" w:w="1300"/>
          </w:tcPr>
          <w:p>
            <w:r>
              <w:rPr>
                <w:rFonts w:ascii="Times New Roman" w:cs="Times New Roman" w:eastAsia="Times New Roman" w:hAnsi="Times New Roman"/>
                <w:b w:val="false"/>
                <w:bCs w:val="false"/>
                <w:sz w:val="18"/>
                <w:szCs w:val="18"/>
              </w:rPr>
              <w:t xml:space="preserve">2'48"</w:t>
            </w:r>
          </w:p>
        </w:tc>
        <w:tc>
          <w:tcPr>
            <w:tcW w:type="dxa" w:w="1200"/>
          </w:tcPr>
          <w:p>
            <w:r>
              <w:rPr>
                <w:rFonts w:ascii="Times New Roman" w:cs="Times New Roman" w:eastAsia="Times New Roman" w:hAnsi="Times New Roman"/>
                <w:b w:val="false"/>
                <w:bCs w:val="false"/>
                <w:sz w:val="18"/>
                <w:szCs w:val="18"/>
              </w:rPr>
              <w:t xml:space="preserve">7,3</w:t>
            </w:r>
          </w:p>
        </w:tc>
      </w:tr>
      <w:tr>
        <w:tc>
          <w:tcPr>
            <w:tcW w:type="dxa" w:w="1100"/>
          </w:tcPr>
          <w:p>
            <w:r>
              <w:rPr>
                <w:rFonts w:ascii="Times New Roman" w:cs="Times New Roman" w:eastAsia="Times New Roman" w:hAnsi="Times New Roman"/>
                <w:b w:val="false"/>
                <w:bCs w:val="false"/>
                <w:sz w:val="18"/>
                <w:szCs w:val="18"/>
              </w:rPr>
              <w:t xml:space="preserve">Marzo</w:t>
            </w:r>
          </w:p>
        </w:tc>
        <w:tc>
          <w:tcPr>
            <w:tcW w:type="dxa" w:w="1000"/>
          </w:tcPr>
          <w:p>
            <w:r>
              <w:rPr>
                <w:rFonts w:ascii="Times New Roman" w:cs="Times New Roman" w:eastAsia="Times New Roman" w:hAnsi="Times New Roman"/>
                <w:b w:val="false"/>
                <w:bCs w:val="false"/>
                <w:sz w:val="18"/>
                <w:szCs w:val="18"/>
              </w:rPr>
              <w:t xml:space="preserve">1.610</w:t>
            </w:r>
          </w:p>
        </w:tc>
        <w:tc>
          <w:tcPr>
            <w:tcW w:type="dxa" w:w="1000"/>
          </w:tcPr>
          <w:p>
            <w:r>
              <w:rPr>
                <w:rFonts w:ascii="Times New Roman" w:cs="Times New Roman" w:eastAsia="Times New Roman" w:hAnsi="Times New Roman"/>
                <w:b w:val="false"/>
                <w:bCs w:val="false"/>
                <w:sz w:val="18"/>
                <w:szCs w:val="18"/>
              </w:rPr>
              <w:t xml:space="preserve">2.940</w:t>
            </w:r>
          </w:p>
        </w:tc>
        <w:tc>
          <w:tcPr>
            <w:tcW w:type="dxa" w:w="900"/>
          </w:tcPr>
          <w:p>
            <w:r>
              <w:rPr>
                <w:rFonts w:ascii="Times New Roman" w:cs="Times New Roman" w:eastAsia="Times New Roman" w:hAnsi="Times New Roman"/>
                <w:b w:val="false"/>
                <w:bCs w:val="false"/>
                <w:sz w:val="18"/>
                <w:szCs w:val="18"/>
              </w:rPr>
              <w:t xml:space="preserve">810</w:t>
            </w:r>
          </w:p>
        </w:tc>
        <w:tc>
          <w:tcPr>
            <w:tcW w:type="dxa" w:w="1200"/>
          </w:tcPr>
          <w:p>
            <w:r>
              <w:rPr>
                <w:rFonts w:ascii="Times New Roman" w:cs="Times New Roman" w:eastAsia="Times New Roman" w:hAnsi="Times New Roman"/>
                <w:b w:val="false"/>
                <w:bCs w:val="false"/>
                <w:sz w:val="18"/>
                <w:szCs w:val="18"/>
              </w:rPr>
              <w:t xml:space="preserve">520</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5.880</w:t>
            </w:r>
          </w:p>
        </w:tc>
        <w:tc>
          <w:tcPr>
            <w:tcW w:type="dxa" w:w="900"/>
          </w:tcPr>
          <w:p>
            <w:r>
              <w:rPr>
                <w:rFonts w:ascii="Times New Roman" w:cs="Times New Roman" w:eastAsia="Times New Roman" w:hAnsi="Times New Roman"/>
                <w:b w:val="false"/>
                <w:bCs w:val="false"/>
                <w:sz w:val="18"/>
                <w:szCs w:val="18"/>
              </w:rPr>
              <w:t xml:space="preserve">284</w:t>
            </w:r>
          </w:p>
        </w:tc>
        <w:tc>
          <w:tcPr>
            <w:tcW w:type="dxa" w:w="1300"/>
          </w:tcPr>
          <w:p>
            <w:r>
              <w:rPr>
                <w:rFonts w:ascii="Times New Roman" w:cs="Times New Roman" w:eastAsia="Times New Roman" w:hAnsi="Times New Roman"/>
                <w:b w:val="false"/>
                <w:bCs w:val="false"/>
                <w:sz w:val="18"/>
                <w:szCs w:val="18"/>
              </w:rPr>
              <w:t xml:space="preserve">4'10"</w:t>
            </w:r>
          </w:p>
        </w:tc>
        <w:tc>
          <w:tcPr>
            <w:tcW w:type="dxa" w:w="1200"/>
          </w:tcPr>
          <w:p>
            <w:r>
              <w:rPr>
                <w:rFonts w:ascii="Times New Roman" w:cs="Times New Roman" w:eastAsia="Times New Roman" w:hAnsi="Times New Roman"/>
                <w:b w:val="false"/>
                <w:bCs w:val="false"/>
                <w:sz w:val="18"/>
                <w:szCs w:val="18"/>
              </w:rPr>
              <w:t xml:space="preserve">6,9</w:t>
            </w:r>
          </w:p>
        </w:tc>
      </w:tr>
      <w:tr>
        <w:tc>
          <w:tcPr>
            <w:tcW w:type="dxa" w:w="1100"/>
          </w:tcPr>
          <w:p>
            <w:r>
              <w:rPr>
                <w:rFonts w:ascii="Times New Roman" w:cs="Times New Roman" w:eastAsia="Times New Roman" w:hAnsi="Times New Roman"/>
                <w:b w:val="false"/>
                <w:bCs w:val="false"/>
                <w:sz w:val="18"/>
                <w:szCs w:val="18"/>
              </w:rPr>
              <w:t xml:space="preserve">Aprile</w:t>
            </w:r>
          </w:p>
        </w:tc>
        <w:tc>
          <w:tcPr>
            <w:tcW w:type="dxa" w:w="1000"/>
          </w:tcPr>
          <w:p>
            <w:r>
              <w:rPr>
                <w:rFonts w:ascii="Times New Roman" w:cs="Times New Roman" w:eastAsia="Times New Roman" w:hAnsi="Times New Roman"/>
                <w:b w:val="false"/>
                <w:bCs w:val="false"/>
                <w:sz w:val="18"/>
                <w:szCs w:val="18"/>
              </w:rPr>
              <w:t xml:space="preserve">980</w:t>
            </w:r>
          </w:p>
        </w:tc>
        <w:tc>
          <w:tcPr>
            <w:tcW w:type="dxa" w:w="1000"/>
          </w:tcPr>
          <w:p>
            <w:r>
              <w:rPr>
                <w:rFonts w:ascii="Times New Roman" w:cs="Times New Roman" w:eastAsia="Times New Roman" w:hAnsi="Times New Roman"/>
                <w:b w:val="false"/>
                <w:bCs w:val="false"/>
                <w:sz w:val="18"/>
                <w:szCs w:val="18"/>
              </w:rPr>
              <w:t xml:space="preserve">1.720</w:t>
            </w:r>
          </w:p>
        </w:tc>
        <w:tc>
          <w:tcPr>
            <w:tcW w:type="dxa" w:w="900"/>
          </w:tcPr>
          <w:p>
            <w:r>
              <w:rPr>
                <w:rFonts w:ascii="Times New Roman" w:cs="Times New Roman" w:eastAsia="Times New Roman" w:hAnsi="Times New Roman"/>
                <w:b w:val="false"/>
                <w:bCs w:val="false"/>
                <w:sz w:val="18"/>
                <w:szCs w:val="18"/>
              </w:rPr>
              <w:t xml:space="preserve">560</w:t>
            </w:r>
          </w:p>
        </w:tc>
        <w:tc>
          <w:tcPr>
            <w:tcW w:type="dxa" w:w="1200"/>
          </w:tcPr>
          <w:p>
            <w:r>
              <w:rPr>
                <w:rFonts w:ascii="Times New Roman" w:cs="Times New Roman" w:eastAsia="Times New Roman" w:hAnsi="Times New Roman"/>
                <w:b w:val="false"/>
                <w:bCs w:val="false"/>
                <w:sz w:val="18"/>
                <w:szCs w:val="18"/>
              </w:rPr>
              <w:t xml:space="preserve">430</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3.690</w:t>
            </w:r>
          </w:p>
        </w:tc>
        <w:tc>
          <w:tcPr>
            <w:tcW w:type="dxa" w:w="900"/>
          </w:tcPr>
          <w:p>
            <w:r>
              <w:rPr>
                <w:rFonts w:ascii="Times New Roman" w:cs="Times New Roman" w:eastAsia="Times New Roman" w:hAnsi="Times New Roman"/>
                <w:b w:val="false"/>
                <w:bCs w:val="false"/>
                <w:sz w:val="18"/>
                <w:szCs w:val="18"/>
              </w:rPr>
              <w:t xml:space="preserve">168</w:t>
            </w:r>
          </w:p>
        </w:tc>
        <w:tc>
          <w:tcPr>
            <w:tcW w:type="dxa" w:w="1300"/>
          </w:tcPr>
          <w:p>
            <w:r>
              <w:rPr>
                <w:rFonts w:ascii="Times New Roman" w:cs="Times New Roman" w:eastAsia="Times New Roman" w:hAnsi="Times New Roman"/>
                <w:b w:val="false"/>
                <w:bCs w:val="false"/>
                <w:sz w:val="18"/>
                <w:szCs w:val="18"/>
              </w:rPr>
              <w:t xml:space="preserve">2'40"</w:t>
            </w:r>
          </w:p>
        </w:tc>
        <w:tc>
          <w:tcPr>
            <w:tcW w:type="dxa" w:w="1200"/>
          </w:tcPr>
          <w:p>
            <w:r>
              <w:rPr>
                <w:rFonts w:ascii="Times New Roman" w:cs="Times New Roman" w:eastAsia="Times New Roman" w:hAnsi="Times New Roman"/>
                <w:b w:val="false"/>
                <w:bCs w:val="false"/>
                <w:sz w:val="18"/>
                <w:szCs w:val="18"/>
              </w:rPr>
              <w:t xml:space="preserve">7,4</w:t>
            </w:r>
          </w:p>
        </w:tc>
      </w:tr>
      <w:tr>
        <w:tc>
          <w:tcPr>
            <w:tcW w:type="dxa" w:w="1100"/>
          </w:tcPr>
          <w:p>
            <w:r>
              <w:rPr>
                <w:rFonts w:ascii="Times New Roman" w:cs="Times New Roman" w:eastAsia="Times New Roman" w:hAnsi="Times New Roman"/>
                <w:b w:val="false"/>
                <w:bCs w:val="false"/>
                <w:sz w:val="18"/>
                <w:szCs w:val="18"/>
              </w:rPr>
              <w:t xml:space="preserve">Maggio</w:t>
            </w:r>
          </w:p>
        </w:tc>
        <w:tc>
          <w:tcPr>
            <w:tcW w:type="dxa" w:w="1000"/>
          </w:tcPr>
          <w:p>
            <w:r>
              <w:rPr>
                <w:rFonts w:ascii="Times New Roman" w:cs="Times New Roman" w:eastAsia="Times New Roman" w:hAnsi="Times New Roman"/>
                <w:b w:val="false"/>
                <w:bCs w:val="false"/>
                <w:sz w:val="18"/>
                <w:szCs w:val="18"/>
              </w:rPr>
              <w:t xml:space="preserve">1.020</w:t>
            </w:r>
          </w:p>
        </w:tc>
        <w:tc>
          <w:tcPr>
            <w:tcW w:type="dxa" w:w="1000"/>
          </w:tcPr>
          <w:p>
            <w:r>
              <w:rPr>
                <w:rFonts w:ascii="Times New Roman" w:cs="Times New Roman" w:eastAsia="Times New Roman" w:hAnsi="Times New Roman"/>
                <w:b w:val="false"/>
                <w:bCs w:val="false"/>
                <w:sz w:val="18"/>
                <w:szCs w:val="18"/>
              </w:rPr>
              <w:t xml:space="preserve">1.690</w:t>
            </w:r>
          </w:p>
        </w:tc>
        <w:tc>
          <w:tcPr>
            <w:tcW w:type="dxa" w:w="900"/>
          </w:tcPr>
          <w:p>
            <w:r>
              <w:rPr>
                <w:rFonts w:ascii="Times New Roman" w:cs="Times New Roman" w:eastAsia="Times New Roman" w:hAnsi="Times New Roman"/>
                <w:b w:val="false"/>
                <w:bCs w:val="false"/>
                <w:sz w:val="18"/>
                <w:szCs w:val="18"/>
              </w:rPr>
              <w:t xml:space="preserve">575</w:t>
            </w:r>
          </w:p>
        </w:tc>
        <w:tc>
          <w:tcPr>
            <w:tcW w:type="dxa" w:w="1200"/>
          </w:tcPr>
          <w:p>
            <w:r>
              <w:rPr>
                <w:rFonts w:ascii="Times New Roman" w:cs="Times New Roman" w:eastAsia="Times New Roman" w:hAnsi="Times New Roman"/>
                <w:b w:val="false"/>
                <w:bCs w:val="false"/>
                <w:sz w:val="18"/>
                <w:szCs w:val="18"/>
              </w:rPr>
              <w:t xml:space="preserve">455</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3.740</w:t>
            </w:r>
          </w:p>
        </w:tc>
        <w:tc>
          <w:tcPr>
            <w:tcW w:type="dxa" w:w="900"/>
          </w:tcPr>
          <w:p>
            <w:r>
              <w:rPr>
                <w:rFonts w:ascii="Times New Roman" w:cs="Times New Roman" w:eastAsia="Times New Roman" w:hAnsi="Times New Roman"/>
                <w:b w:val="false"/>
                <w:bCs w:val="false"/>
                <w:sz w:val="18"/>
                <w:szCs w:val="18"/>
              </w:rPr>
              <w:t xml:space="preserve">171</w:t>
            </w:r>
          </w:p>
        </w:tc>
        <w:tc>
          <w:tcPr>
            <w:tcW w:type="dxa" w:w="1300"/>
          </w:tcPr>
          <w:p>
            <w:r>
              <w:rPr>
                <w:rFonts w:ascii="Times New Roman" w:cs="Times New Roman" w:eastAsia="Times New Roman" w:hAnsi="Times New Roman"/>
                <w:b w:val="false"/>
                <w:bCs w:val="false"/>
                <w:sz w:val="18"/>
                <w:szCs w:val="18"/>
              </w:rPr>
              <w:t xml:space="preserve">2'38"</w:t>
            </w:r>
          </w:p>
        </w:tc>
        <w:tc>
          <w:tcPr>
            <w:tcW w:type="dxa" w:w="1200"/>
          </w:tcPr>
          <w:p>
            <w:r>
              <w:rPr>
                <w:rFonts w:ascii="Times New Roman" w:cs="Times New Roman" w:eastAsia="Times New Roman" w:hAnsi="Times New Roman"/>
                <w:b w:val="false"/>
                <w:bCs w:val="false"/>
                <w:sz w:val="18"/>
                <w:szCs w:val="18"/>
              </w:rPr>
              <w:t xml:space="preserve">7,5</w:t>
            </w:r>
          </w:p>
        </w:tc>
      </w:tr>
      <w:tr>
        <w:tc>
          <w:tcPr>
            <w:tcW w:type="dxa" w:w="1100"/>
          </w:tcPr>
          <w:p>
            <w:r>
              <w:rPr>
                <w:rFonts w:ascii="Times New Roman" w:cs="Times New Roman" w:eastAsia="Times New Roman" w:hAnsi="Times New Roman"/>
                <w:b w:val="false"/>
                <w:bCs w:val="false"/>
                <w:sz w:val="18"/>
                <w:szCs w:val="18"/>
              </w:rPr>
              <w:t xml:space="preserve">Giugno</w:t>
            </w:r>
          </w:p>
        </w:tc>
        <w:tc>
          <w:tcPr>
            <w:tcW w:type="dxa" w:w="1000"/>
          </w:tcPr>
          <w:p>
            <w:r>
              <w:rPr>
                <w:rFonts w:ascii="Times New Roman" w:cs="Times New Roman" w:eastAsia="Times New Roman" w:hAnsi="Times New Roman"/>
                <w:b w:val="false"/>
                <w:bCs w:val="false"/>
                <w:sz w:val="18"/>
                <w:szCs w:val="18"/>
              </w:rPr>
              <w:t xml:space="preserve">960</w:t>
            </w:r>
          </w:p>
        </w:tc>
        <w:tc>
          <w:tcPr>
            <w:tcW w:type="dxa" w:w="1000"/>
          </w:tcPr>
          <w:p>
            <w:r>
              <w:rPr>
                <w:rFonts w:ascii="Times New Roman" w:cs="Times New Roman" w:eastAsia="Times New Roman" w:hAnsi="Times New Roman"/>
                <w:b w:val="false"/>
                <w:bCs w:val="false"/>
                <w:sz w:val="18"/>
                <w:szCs w:val="18"/>
              </w:rPr>
              <w:t xml:space="preserve">1.610</w:t>
            </w:r>
          </w:p>
        </w:tc>
        <w:tc>
          <w:tcPr>
            <w:tcW w:type="dxa" w:w="900"/>
          </w:tcPr>
          <w:p>
            <w:r>
              <w:rPr>
                <w:rFonts w:ascii="Times New Roman" w:cs="Times New Roman" w:eastAsia="Times New Roman" w:hAnsi="Times New Roman"/>
                <w:b w:val="false"/>
                <w:bCs w:val="false"/>
                <w:sz w:val="18"/>
                <w:szCs w:val="18"/>
              </w:rPr>
              <w:t xml:space="preserve">540</w:t>
            </w:r>
          </w:p>
        </w:tc>
        <w:tc>
          <w:tcPr>
            <w:tcW w:type="dxa" w:w="1200"/>
          </w:tcPr>
          <w:p>
            <w:r>
              <w:rPr>
                <w:rFonts w:ascii="Times New Roman" w:cs="Times New Roman" w:eastAsia="Times New Roman" w:hAnsi="Times New Roman"/>
                <w:b w:val="false"/>
                <w:bCs w:val="false"/>
                <w:sz w:val="18"/>
                <w:szCs w:val="18"/>
              </w:rPr>
              <w:t xml:space="preserve">480</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3.590</w:t>
            </w:r>
          </w:p>
        </w:tc>
        <w:tc>
          <w:tcPr>
            <w:tcW w:type="dxa" w:w="900"/>
          </w:tcPr>
          <w:p>
            <w:r>
              <w:rPr>
                <w:rFonts w:ascii="Times New Roman" w:cs="Times New Roman" w:eastAsia="Times New Roman" w:hAnsi="Times New Roman"/>
                <w:b w:val="false"/>
                <w:bCs w:val="false"/>
                <w:sz w:val="18"/>
                <w:szCs w:val="18"/>
              </w:rPr>
              <w:t xml:space="preserve">160</w:t>
            </w:r>
          </w:p>
        </w:tc>
        <w:tc>
          <w:tcPr>
            <w:tcW w:type="dxa" w:w="1300"/>
          </w:tcPr>
          <w:p>
            <w:r>
              <w:rPr>
                <w:rFonts w:ascii="Times New Roman" w:cs="Times New Roman" w:eastAsia="Times New Roman" w:hAnsi="Times New Roman"/>
                <w:b w:val="false"/>
                <w:bCs w:val="false"/>
                <w:sz w:val="18"/>
                <w:szCs w:val="18"/>
              </w:rPr>
              <w:t xml:space="preserve">2'31"</w:t>
            </w:r>
          </w:p>
        </w:tc>
        <w:tc>
          <w:tcPr>
            <w:tcW w:type="dxa" w:w="1200"/>
          </w:tcPr>
          <w:p>
            <w:r>
              <w:rPr>
                <w:rFonts w:ascii="Times New Roman" w:cs="Times New Roman" w:eastAsia="Times New Roman" w:hAnsi="Times New Roman"/>
                <w:b w:val="false"/>
                <w:bCs w:val="false"/>
                <w:sz w:val="18"/>
                <w:szCs w:val="18"/>
              </w:rPr>
              <w:t xml:space="preserve">7,6</w:t>
            </w:r>
          </w:p>
        </w:tc>
      </w:tr>
      <w:tr>
        <w:tc>
          <w:tcPr>
            <w:tcW w:type="dxa" w:w="1100"/>
          </w:tcPr>
          <w:p>
            <w:r>
              <w:rPr>
                <w:rFonts w:ascii="Times New Roman" w:cs="Times New Roman" w:eastAsia="Times New Roman" w:hAnsi="Times New Roman"/>
                <w:b w:val="false"/>
                <w:bCs w:val="false"/>
                <w:sz w:val="18"/>
                <w:szCs w:val="18"/>
              </w:rPr>
              <w:t xml:space="preserve">Luglio</w:t>
            </w:r>
          </w:p>
        </w:tc>
        <w:tc>
          <w:tcPr>
            <w:tcW w:type="dxa" w:w="1000"/>
          </w:tcPr>
          <w:p>
            <w:r>
              <w:rPr>
                <w:rFonts w:ascii="Times New Roman" w:cs="Times New Roman" w:eastAsia="Times New Roman" w:hAnsi="Times New Roman"/>
                <w:b w:val="false"/>
                <w:bCs w:val="false"/>
                <w:sz w:val="18"/>
                <w:szCs w:val="18"/>
              </w:rPr>
              <w:t xml:space="preserve">890</w:t>
            </w:r>
          </w:p>
        </w:tc>
        <w:tc>
          <w:tcPr>
            <w:tcW w:type="dxa" w:w="1000"/>
          </w:tcPr>
          <w:p>
            <w:r>
              <w:rPr>
                <w:rFonts w:ascii="Times New Roman" w:cs="Times New Roman" w:eastAsia="Times New Roman" w:hAnsi="Times New Roman"/>
                <w:b w:val="false"/>
                <w:bCs w:val="false"/>
                <w:sz w:val="18"/>
                <w:szCs w:val="18"/>
              </w:rPr>
              <w:t xml:space="preserve">1.480</w:t>
            </w:r>
          </w:p>
        </w:tc>
        <w:tc>
          <w:tcPr>
            <w:tcW w:type="dxa" w:w="900"/>
          </w:tcPr>
          <w:p>
            <w:r>
              <w:rPr>
                <w:rFonts w:ascii="Times New Roman" w:cs="Times New Roman" w:eastAsia="Times New Roman" w:hAnsi="Times New Roman"/>
                <w:b w:val="false"/>
                <w:bCs w:val="false"/>
                <w:sz w:val="18"/>
                <w:szCs w:val="18"/>
              </w:rPr>
              <w:t xml:space="preserve">505</w:t>
            </w:r>
          </w:p>
        </w:tc>
        <w:tc>
          <w:tcPr>
            <w:tcW w:type="dxa" w:w="1200"/>
          </w:tcPr>
          <w:p>
            <w:r>
              <w:rPr>
                <w:rFonts w:ascii="Times New Roman" w:cs="Times New Roman" w:eastAsia="Times New Roman" w:hAnsi="Times New Roman"/>
                <w:b w:val="false"/>
                <w:bCs w:val="false"/>
                <w:sz w:val="18"/>
                <w:szCs w:val="18"/>
              </w:rPr>
              <w:t xml:space="preserve">470</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3.345</w:t>
            </w:r>
          </w:p>
        </w:tc>
        <w:tc>
          <w:tcPr>
            <w:tcW w:type="dxa" w:w="900"/>
          </w:tcPr>
          <w:p>
            <w:r>
              <w:rPr>
                <w:rFonts w:ascii="Times New Roman" w:cs="Times New Roman" w:eastAsia="Times New Roman" w:hAnsi="Times New Roman"/>
                <w:b w:val="false"/>
                <w:bCs w:val="false"/>
                <w:sz w:val="18"/>
                <w:szCs w:val="18"/>
              </w:rPr>
              <w:t xml:space="preserve">149</w:t>
            </w:r>
          </w:p>
        </w:tc>
        <w:tc>
          <w:tcPr>
            <w:tcW w:type="dxa" w:w="1300"/>
          </w:tcPr>
          <w:p>
            <w:r>
              <w:rPr>
                <w:rFonts w:ascii="Times New Roman" w:cs="Times New Roman" w:eastAsia="Times New Roman" w:hAnsi="Times New Roman"/>
                <w:b w:val="false"/>
                <w:bCs w:val="false"/>
                <w:sz w:val="18"/>
                <w:szCs w:val="18"/>
              </w:rPr>
              <w:t xml:space="preserve">2'22"</w:t>
            </w:r>
          </w:p>
        </w:tc>
        <w:tc>
          <w:tcPr>
            <w:tcW w:type="dxa" w:w="1200"/>
          </w:tcPr>
          <w:p>
            <w:r>
              <w:rPr>
                <w:rFonts w:ascii="Times New Roman" w:cs="Times New Roman" w:eastAsia="Times New Roman" w:hAnsi="Times New Roman"/>
                <w:b w:val="false"/>
                <w:bCs w:val="false"/>
                <w:sz w:val="18"/>
                <w:szCs w:val="18"/>
              </w:rPr>
              <w:t xml:space="preserve">7,5</w:t>
            </w:r>
          </w:p>
        </w:tc>
      </w:tr>
      <w:tr>
        <w:tc>
          <w:tcPr>
            <w:tcW w:type="dxa" w:w="1100"/>
          </w:tcPr>
          <w:p>
            <w:r>
              <w:rPr>
                <w:rFonts w:ascii="Times New Roman" w:cs="Times New Roman" w:eastAsia="Times New Roman" w:hAnsi="Times New Roman"/>
                <w:b w:val="false"/>
                <w:bCs w:val="false"/>
                <w:sz w:val="18"/>
                <w:szCs w:val="18"/>
              </w:rPr>
              <w:t xml:space="preserve">Agosto</w:t>
            </w:r>
          </w:p>
        </w:tc>
        <w:tc>
          <w:tcPr>
            <w:tcW w:type="dxa" w:w="1000"/>
          </w:tcPr>
          <w:p>
            <w:r>
              <w:rPr>
                <w:rFonts w:ascii="Times New Roman" w:cs="Times New Roman" w:eastAsia="Times New Roman" w:hAnsi="Times New Roman"/>
                <w:b w:val="false"/>
                <w:bCs w:val="false"/>
                <w:sz w:val="18"/>
                <w:szCs w:val="18"/>
              </w:rPr>
              <w:t xml:space="preserve">520</w:t>
            </w:r>
          </w:p>
        </w:tc>
        <w:tc>
          <w:tcPr>
            <w:tcW w:type="dxa" w:w="1000"/>
          </w:tcPr>
          <w:p>
            <w:r>
              <w:rPr>
                <w:rFonts w:ascii="Times New Roman" w:cs="Times New Roman" w:eastAsia="Times New Roman" w:hAnsi="Times New Roman"/>
                <w:b w:val="false"/>
                <w:bCs w:val="false"/>
                <w:sz w:val="18"/>
                <w:szCs w:val="18"/>
              </w:rPr>
              <w:t xml:space="preserve">930</w:t>
            </w:r>
          </w:p>
        </w:tc>
        <w:tc>
          <w:tcPr>
            <w:tcW w:type="dxa" w:w="900"/>
          </w:tcPr>
          <w:p>
            <w:r>
              <w:rPr>
                <w:rFonts w:ascii="Times New Roman" w:cs="Times New Roman" w:eastAsia="Times New Roman" w:hAnsi="Times New Roman"/>
                <w:b w:val="false"/>
                <w:bCs w:val="false"/>
                <w:sz w:val="18"/>
                <w:szCs w:val="18"/>
              </w:rPr>
              <w:t xml:space="preserve">320</w:t>
            </w:r>
          </w:p>
        </w:tc>
        <w:tc>
          <w:tcPr>
            <w:tcW w:type="dxa" w:w="1200"/>
          </w:tcPr>
          <w:p>
            <w:r>
              <w:rPr>
                <w:rFonts w:ascii="Times New Roman" w:cs="Times New Roman" w:eastAsia="Times New Roman" w:hAnsi="Times New Roman"/>
                <w:b w:val="false"/>
                <w:bCs w:val="false"/>
                <w:sz w:val="18"/>
                <w:szCs w:val="18"/>
              </w:rPr>
              <w:t xml:space="preserve">334</w:t>
            </w:r>
          </w:p>
        </w:tc>
        <w:tc>
          <w:tcPr>
            <w:tcW w:type="dxa" w:w="1100"/>
          </w:tcPr>
          <w:p>
            <w:r>
              <w:rPr>
                <w:rFonts w:ascii="Times New Roman" w:cs="Times New Roman" w:eastAsia="Times New Roman" w:hAnsi="Times New Roman"/>
                <w:b w:val="false"/>
                <w:bCs w:val="false"/>
                <w:sz w:val="18"/>
                <w:szCs w:val="18"/>
              </w:rPr>
              <w:t xml:space="preserve">-</w:t>
            </w:r>
          </w:p>
        </w:tc>
        <w:tc>
          <w:tcPr>
            <w:tcW w:type="dxa" w:w="1300"/>
          </w:tcPr>
          <w:p>
            <w:r>
              <w:rPr>
                <w:rFonts w:ascii="Times New Roman" w:cs="Times New Roman" w:eastAsia="Times New Roman" w:hAnsi="Times New Roman"/>
                <w:b w:val="false"/>
                <w:bCs w:val="false"/>
                <w:sz w:val="18"/>
                <w:szCs w:val="18"/>
              </w:rPr>
              <w:t xml:space="preserve">2.104</w:t>
            </w:r>
          </w:p>
        </w:tc>
        <w:tc>
          <w:tcPr>
            <w:tcW w:type="dxa" w:w="900"/>
          </w:tcPr>
          <w:p>
            <w:r>
              <w:rPr>
                <w:rFonts w:ascii="Times New Roman" w:cs="Times New Roman" w:eastAsia="Times New Roman" w:hAnsi="Times New Roman"/>
                <w:b w:val="false"/>
                <w:bCs w:val="false"/>
                <w:sz w:val="18"/>
                <w:szCs w:val="18"/>
              </w:rPr>
              <w:t xml:space="preserve">94</w:t>
            </w:r>
          </w:p>
        </w:tc>
        <w:tc>
          <w:tcPr>
            <w:tcW w:type="dxa" w:w="1300"/>
          </w:tcPr>
          <w:p>
            <w:r>
              <w:rPr>
                <w:rFonts w:ascii="Times New Roman" w:cs="Times New Roman" w:eastAsia="Times New Roman" w:hAnsi="Times New Roman"/>
                <w:b w:val="false"/>
                <w:bCs w:val="false"/>
                <w:sz w:val="18"/>
                <w:szCs w:val="18"/>
              </w:rPr>
              <w:t xml:space="preserve">1'58"</w:t>
            </w:r>
          </w:p>
        </w:tc>
        <w:tc>
          <w:tcPr>
            <w:tcW w:type="dxa" w:w="1200"/>
          </w:tcPr>
          <w:p>
            <w:r>
              <w:rPr>
                <w:rFonts w:ascii="Times New Roman" w:cs="Times New Roman" w:eastAsia="Times New Roman" w:hAnsi="Times New Roman"/>
                <w:b w:val="false"/>
                <w:bCs w:val="false"/>
                <w:sz w:val="18"/>
                <w:szCs w:val="18"/>
              </w:rPr>
              <w:t xml:space="preserve">7,7</w:t>
            </w:r>
          </w:p>
        </w:tc>
      </w:tr>
      <w:tr>
        <w:tc>
          <w:tcPr>
            <w:tcW w:type="dxa" w:w="1100"/>
          </w:tcPr>
          <w:p>
            <w:r>
              <w:rPr>
                <w:rFonts w:ascii="Times New Roman" w:cs="Times New Roman" w:eastAsia="Times New Roman" w:hAnsi="Times New Roman"/>
                <w:b w:val="false"/>
                <w:bCs w:val="false"/>
                <w:sz w:val="18"/>
                <w:szCs w:val="18"/>
              </w:rPr>
              <w:t xml:space="preserve">Settembre</w:t>
            </w:r>
          </w:p>
        </w:tc>
        <w:tc>
          <w:tcPr>
            <w:tcW w:type="dxa" w:w="1000"/>
          </w:tcPr>
          <w:p>
            <w:r>
              <w:rPr>
                <w:rFonts w:ascii="Times New Roman" w:cs="Times New Roman" w:eastAsia="Times New Roman" w:hAnsi="Times New Roman"/>
                <w:b w:val="false"/>
                <w:bCs w:val="false"/>
                <w:sz w:val="18"/>
                <w:szCs w:val="18"/>
              </w:rPr>
              <w:t xml:space="preserve">1.010</w:t>
            </w:r>
          </w:p>
        </w:tc>
        <w:tc>
          <w:tcPr>
            <w:tcW w:type="dxa" w:w="1000"/>
          </w:tcPr>
          <w:p>
            <w:r>
              <w:rPr>
                <w:rFonts w:ascii="Times New Roman" w:cs="Times New Roman" w:eastAsia="Times New Roman" w:hAnsi="Times New Roman"/>
                <w:b w:val="false"/>
                <w:bCs w:val="false"/>
                <w:sz w:val="18"/>
                <w:szCs w:val="18"/>
              </w:rPr>
              <w:t xml:space="preserve">1.660</w:t>
            </w:r>
          </w:p>
        </w:tc>
        <w:tc>
          <w:tcPr>
            <w:tcW w:type="dxa" w:w="900"/>
          </w:tcPr>
          <w:p>
            <w:r>
              <w:rPr>
                <w:rFonts w:ascii="Times New Roman" w:cs="Times New Roman" w:eastAsia="Times New Roman" w:hAnsi="Times New Roman"/>
                <w:b w:val="false"/>
                <w:bCs w:val="false"/>
                <w:sz w:val="18"/>
                <w:szCs w:val="18"/>
              </w:rPr>
              <w:t xml:space="preserve">560</w:t>
            </w:r>
          </w:p>
        </w:tc>
        <w:tc>
          <w:tcPr>
            <w:tcW w:type="dxa" w:w="1200"/>
          </w:tcPr>
          <w:p>
            <w:r>
              <w:rPr>
                <w:rFonts w:ascii="Times New Roman" w:cs="Times New Roman" w:eastAsia="Times New Roman" w:hAnsi="Times New Roman"/>
                <w:b w:val="false"/>
                <w:bCs w:val="false"/>
                <w:sz w:val="18"/>
                <w:szCs w:val="18"/>
              </w:rPr>
              <w:t xml:space="preserve">490</w:t>
            </w:r>
          </w:p>
        </w:tc>
        <w:tc>
          <w:tcPr>
            <w:tcW w:type="dxa" w:w="1100"/>
          </w:tcPr>
          <w:p>
            <w:r>
              <w:rPr>
                <w:rFonts w:ascii="Times New Roman" w:cs="Times New Roman" w:eastAsia="Times New Roman" w:hAnsi="Times New Roman"/>
                <w:b w:val="false"/>
                <w:bCs w:val="false"/>
                <w:sz w:val="18"/>
                <w:szCs w:val="18"/>
              </w:rPr>
              <w:t xml:space="preserve">180</w:t>
            </w:r>
          </w:p>
        </w:tc>
        <w:tc>
          <w:tcPr>
            <w:tcW w:type="dxa" w:w="1300"/>
          </w:tcPr>
          <w:p>
            <w:r>
              <w:rPr>
                <w:rFonts w:ascii="Times New Roman" w:cs="Times New Roman" w:eastAsia="Times New Roman" w:hAnsi="Times New Roman"/>
                <w:b w:val="false"/>
                <w:bCs w:val="false"/>
                <w:sz w:val="18"/>
                <w:szCs w:val="18"/>
              </w:rPr>
              <w:t xml:space="preserve">3.900</w:t>
            </w:r>
          </w:p>
        </w:tc>
        <w:tc>
          <w:tcPr>
            <w:tcW w:type="dxa" w:w="900"/>
          </w:tcPr>
          <w:p>
            <w:r>
              <w:rPr>
                <w:rFonts w:ascii="Times New Roman" w:cs="Times New Roman" w:eastAsia="Times New Roman" w:hAnsi="Times New Roman"/>
                <w:b w:val="false"/>
                <w:bCs w:val="false"/>
                <w:sz w:val="18"/>
                <w:szCs w:val="18"/>
              </w:rPr>
              <w:t xml:space="preserve">172</w:t>
            </w:r>
          </w:p>
        </w:tc>
        <w:tc>
          <w:tcPr>
            <w:tcW w:type="dxa" w:w="1300"/>
          </w:tcPr>
          <w:p>
            <w:r>
              <w:rPr>
                <w:rFonts w:ascii="Times New Roman" w:cs="Times New Roman" w:eastAsia="Times New Roman" w:hAnsi="Times New Roman"/>
                <w:b w:val="false"/>
                <w:bCs w:val="false"/>
                <w:sz w:val="18"/>
                <w:szCs w:val="18"/>
              </w:rPr>
              <w:t xml:space="preserve">2'44"</w:t>
            </w:r>
          </w:p>
        </w:tc>
        <w:tc>
          <w:tcPr>
            <w:tcW w:type="dxa" w:w="1200"/>
          </w:tcPr>
          <w:p>
            <w:r>
              <w:rPr>
                <w:rFonts w:ascii="Times New Roman" w:cs="Times New Roman" w:eastAsia="Times New Roman" w:hAnsi="Times New Roman"/>
                <w:b w:val="false"/>
                <w:bCs w:val="false"/>
                <w:sz w:val="18"/>
                <w:szCs w:val="18"/>
              </w:rPr>
              <w:t xml:space="preserve">7,4</w:t>
            </w:r>
          </w:p>
        </w:tc>
      </w:tr>
      <w:tr>
        <w:tc>
          <w:tcPr>
            <w:tcW w:type="dxa" w:w="1100"/>
          </w:tcPr>
          <w:p>
            <w:r>
              <w:rPr>
                <w:rFonts w:ascii="Times New Roman" w:cs="Times New Roman" w:eastAsia="Times New Roman" w:hAnsi="Times New Roman"/>
                <w:b w:val="false"/>
                <w:bCs w:val="false"/>
                <w:sz w:val="18"/>
                <w:szCs w:val="18"/>
              </w:rPr>
              <w:t xml:space="preserve">Ottobre</w:t>
            </w:r>
          </w:p>
        </w:tc>
        <w:tc>
          <w:tcPr>
            <w:tcW w:type="dxa" w:w="1000"/>
          </w:tcPr>
          <w:p>
            <w:r>
              <w:rPr>
                <w:rFonts w:ascii="Times New Roman" w:cs="Times New Roman" w:eastAsia="Times New Roman" w:hAnsi="Times New Roman"/>
                <w:b w:val="false"/>
                <w:bCs w:val="false"/>
                <w:sz w:val="18"/>
                <w:szCs w:val="18"/>
              </w:rPr>
              <w:t xml:space="preserve">1.540</w:t>
            </w:r>
          </w:p>
        </w:tc>
        <w:tc>
          <w:tcPr>
            <w:tcW w:type="dxa" w:w="1000"/>
          </w:tcPr>
          <w:p>
            <w:r>
              <w:rPr>
                <w:rFonts w:ascii="Times New Roman" w:cs="Times New Roman" w:eastAsia="Times New Roman" w:hAnsi="Times New Roman"/>
                <w:b w:val="false"/>
                <w:bCs w:val="false"/>
                <w:sz w:val="18"/>
                <w:szCs w:val="18"/>
              </w:rPr>
              <w:t xml:space="preserve">2.810</w:t>
            </w:r>
          </w:p>
        </w:tc>
        <w:tc>
          <w:tcPr>
            <w:tcW w:type="dxa" w:w="900"/>
          </w:tcPr>
          <w:p>
            <w:r>
              <w:rPr>
                <w:rFonts w:ascii="Times New Roman" w:cs="Times New Roman" w:eastAsia="Times New Roman" w:hAnsi="Times New Roman"/>
                <w:b w:val="false"/>
                <w:bCs w:val="false"/>
                <w:sz w:val="18"/>
                <w:szCs w:val="18"/>
              </w:rPr>
              <w:t xml:space="preserve">790</w:t>
            </w:r>
          </w:p>
        </w:tc>
        <w:tc>
          <w:tcPr>
            <w:tcW w:type="dxa" w:w="1200"/>
          </w:tcPr>
          <w:p>
            <w:r>
              <w:rPr>
                <w:rFonts w:ascii="Times New Roman" w:cs="Times New Roman" w:eastAsia="Times New Roman" w:hAnsi="Times New Roman"/>
                <w:b w:val="false"/>
                <w:bCs w:val="false"/>
                <w:sz w:val="18"/>
                <w:szCs w:val="18"/>
              </w:rPr>
              <w:t xml:space="preserve">610</w:t>
            </w:r>
          </w:p>
        </w:tc>
        <w:tc>
          <w:tcPr>
            <w:tcW w:type="dxa" w:w="1100"/>
          </w:tcPr>
          <w:p>
            <w:r>
              <w:rPr>
                <w:rFonts w:ascii="Times New Roman" w:cs="Times New Roman" w:eastAsia="Times New Roman" w:hAnsi="Times New Roman"/>
                <w:b w:val="false"/>
                <w:bCs w:val="false"/>
                <w:sz w:val="18"/>
                <w:szCs w:val="18"/>
              </w:rPr>
              <w:t xml:space="preserve">410</w:t>
            </w:r>
          </w:p>
        </w:tc>
        <w:tc>
          <w:tcPr>
            <w:tcW w:type="dxa" w:w="1300"/>
          </w:tcPr>
          <w:p>
            <w:r>
              <w:rPr>
                <w:rFonts w:ascii="Times New Roman" w:cs="Times New Roman" w:eastAsia="Times New Roman" w:hAnsi="Times New Roman"/>
                <w:b w:val="false"/>
                <w:bCs w:val="false"/>
                <w:sz w:val="18"/>
                <w:szCs w:val="18"/>
              </w:rPr>
              <w:t xml:space="preserve">6.160</w:t>
            </w:r>
          </w:p>
        </w:tc>
        <w:tc>
          <w:tcPr>
            <w:tcW w:type="dxa" w:w="900"/>
          </w:tcPr>
          <w:p>
            <w:r>
              <w:rPr>
                <w:rFonts w:ascii="Times New Roman" w:cs="Times New Roman" w:eastAsia="Times New Roman" w:hAnsi="Times New Roman"/>
                <w:b w:val="false"/>
                <w:bCs w:val="false"/>
                <w:sz w:val="18"/>
                <w:szCs w:val="18"/>
              </w:rPr>
              <w:t xml:space="preserve">298</w:t>
            </w:r>
          </w:p>
        </w:tc>
        <w:tc>
          <w:tcPr>
            <w:tcW w:type="dxa" w:w="1300"/>
          </w:tcPr>
          <w:p>
            <w:r>
              <w:rPr>
                <w:rFonts w:ascii="Times New Roman" w:cs="Times New Roman" w:eastAsia="Times New Roman" w:hAnsi="Times New Roman"/>
                <w:b w:val="false"/>
                <w:bCs w:val="false"/>
                <w:sz w:val="18"/>
                <w:szCs w:val="18"/>
              </w:rPr>
              <w:t xml:space="preserve">4'02"</w:t>
            </w:r>
          </w:p>
        </w:tc>
        <w:tc>
          <w:tcPr>
            <w:tcW w:type="dxa" w:w="1200"/>
          </w:tcPr>
          <w:p>
            <w:r>
              <w:rPr>
                <w:rFonts w:ascii="Times New Roman" w:cs="Times New Roman" w:eastAsia="Times New Roman" w:hAnsi="Times New Roman"/>
                <w:b w:val="false"/>
                <w:bCs w:val="false"/>
                <w:sz w:val="18"/>
                <w:szCs w:val="18"/>
              </w:rPr>
              <w:t xml:space="preserve">7,0</w:t>
            </w:r>
          </w:p>
        </w:tc>
      </w:tr>
      <w:tr>
        <w:tc>
          <w:tcPr>
            <w:tcW w:type="dxa" w:w="1100"/>
          </w:tcPr>
          <w:p>
            <w:r>
              <w:rPr>
                <w:rFonts w:ascii="Times New Roman" w:cs="Times New Roman" w:eastAsia="Times New Roman" w:hAnsi="Times New Roman"/>
                <w:b w:val="false"/>
                <w:bCs w:val="false"/>
                <w:sz w:val="18"/>
                <w:szCs w:val="18"/>
              </w:rPr>
              <w:t xml:space="preserve">Novembre</w:t>
            </w:r>
          </w:p>
        </w:tc>
        <w:tc>
          <w:tcPr>
            <w:tcW w:type="dxa" w:w="1000"/>
          </w:tcPr>
          <w:p>
            <w:r>
              <w:rPr>
                <w:rFonts w:ascii="Times New Roman" w:cs="Times New Roman" w:eastAsia="Times New Roman" w:hAnsi="Times New Roman"/>
                <w:b w:val="false"/>
                <w:bCs w:val="false"/>
                <w:sz w:val="18"/>
                <w:szCs w:val="18"/>
              </w:rPr>
              <w:t xml:space="preserve">1.090</w:t>
            </w:r>
          </w:p>
        </w:tc>
        <w:tc>
          <w:tcPr>
            <w:tcW w:type="dxa" w:w="1000"/>
          </w:tcPr>
          <w:p>
            <w:r>
              <w:rPr>
                <w:rFonts w:ascii="Times New Roman" w:cs="Times New Roman" w:eastAsia="Times New Roman" w:hAnsi="Times New Roman"/>
                <w:b w:val="false"/>
                <w:bCs w:val="false"/>
                <w:sz w:val="18"/>
                <w:szCs w:val="18"/>
              </w:rPr>
              <w:t xml:space="preserve">1.780</w:t>
            </w:r>
          </w:p>
        </w:tc>
        <w:tc>
          <w:tcPr>
            <w:tcW w:type="dxa" w:w="900"/>
          </w:tcPr>
          <w:p>
            <w:r>
              <w:rPr>
                <w:rFonts w:ascii="Times New Roman" w:cs="Times New Roman" w:eastAsia="Times New Roman" w:hAnsi="Times New Roman"/>
                <w:b w:val="false"/>
                <w:bCs w:val="false"/>
                <w:sz w:val="18"/>
                <w:szCs w:val="18"/>
              </w:rPr>
              <w:t xml:space="preserve">600</w:t>
            </w:r>
          </w:p>
        </w:tc>
        <w:tc>
          <w:tcPr>
            <w:tcW w:type="dxa" w:w="1200"/>
          </w:tcPr>
          <w:p>
            <w:r>
              <w:rPr>
                <w:rFonts w:ascii="Times New Roman" w:cs="Times New Roman" w:eastAsia="Times New Roman" w:hAnsi="Times New Roman"/>
                <w:b w:val="false"/>
                <w:bCs w:val="false"/>
                <w:sz w:val="18"/>
                <w:szCs w:val="18"/>
              </w:rPr>
              <w:t xml:space="preserve">540</w:t>
            </w:r>
          </w:p>
        </w:tc>
        <w:tc>
          <w:tcPr>
            <w:tcW w:type="dxa" w:w="1100"/>
          </w:tcPr>
          <w:p>
            <w:r>
              <w:rPr>
                <w:rFonts w:ascii="Times New Roman" w:cs="Times New Roman" w:eastAsia="Times New Roman" w:hAnsi="Times New Roman"/>
                <w:b w:val="false"/>
                <w:bCs w:val="false"/>
                <w:sz w:val="18"/>
                <w:szCs w:val="18"/>
              </w:rPr>
              <w:t xml:space="preserve">360</w:t>
            </w:r>
          </w:p>
        </w:tc>
        <w:tc>
          <w:tcPr>
            <w:tcW w:type="dxa" w:w="1300"/>
          </w:tcPr>
          <w:p>
            <w:r>
              <w:rPr>
                <w:rFonts w:ascii="Times New Roman" w:cs="Times New Roman" w:eastAsia="Times New Roman" w:hAnsi="Times New Roman"/>
                <w:b w:val="false"/>
                <w:bCs w:val="false"/>
                <w:sz w:val="18"/>
                <w:szCs w:val="18"/>
              </w:rPr>
              <w:t xml:space="preserve">4.370</w:t>
            </w:r>
          </w:p>
        </w:tc>
        <w:tc>
          <w:tcPr>
            <w:tcW w:type="dxa" w:w="900"/>
          </w:tcPr>
          <w:p>
            <w:r>
              <w:rPr>
                <w:rFonts w:ascii="Times New Roman" w:cs="Times New Roman" w:eastAsia="Times New Roman" w:hAnsi="Times New Roman"/>
                <w:b w:val="false"/>
                <w:bCs w:val="false"/>
                <w:sz w:val="18"/>
                <w:szCs w:val="18"/>
              </w:rPr>
              <w:t xml:space="preserve">193</w:t>
            </w:r>
          </w:p>
        </w:tc>
        <w:tc>
          <w:tcPr>
            <w:tcW w:type="dxa" w:w="1300"/>
          </w:tcPr>
          <w:p>
            <w:r>
              <w:rPr>
                <w:rFonts w:ascii="Times New Roman" w:cs="Times New Roman" w:eastAsia="Times New Roman" w:hAnsi="Times New Roman"/>
                <w:b w:val="false"/>
                <w:bCs w:val="false"/>
                <w:sz w:val="18"/>
                <w:szCs w:val="18"/>
              </w:rPr>
              <w:t xml:space="preserve">2'51"</w:t>
            </w:r>
          </w:p>
        </w:tc>
        <w:tc>
          <w:tcPr>
            <w:tcW w:type="dxa" w:w="1200"/>
          </w:tcPr>
          <w:p>
            <w:r>
              <w:rPr>
                <w:rFonts w:ascii="Times New Roman" w:cs="Times New Roman" w:eastAsia="Times New Roman" w:hAnsi="Times New Roman"/>
                <w:b w:val="false"/>
                <w:bCs w:val="false"/>
                <w:sz w:val="18"/>
                <w:szCs w:val="18"/>
              </w:rPr>
              <w:t xml:space="preserve">7,4</w:t>
            </w:r>
          </w:p>
        </w:tc>
      </w:tr>
      <w:tr>
        <w:tc>
          <w:tcPr>
            <w:tcW w:type="dxa" w:w="1100"/>
          </w:tcPr>
          <w:p>
            <w:r>
              <w:rPr>
                <w:rFonts w:ascii="Times New Roman" w:cs="Times New Roman" w:eastAsia="Times New Roman" w:hAnsi="Times New Roman"/>
                <w:b w:val="false"/>
                <w:bCs w:val="false"/>
                <w:sz w:val="18"/>
                <w:szCs w:val="18"/>
              </w:rPr>
              <w:t xml:space="preserve">Dicembre</w:t>
            </w:r>
          </w:p>
        </w:tc>
        <w:tc>
          <w:tcPr>
            <w:tcW w:type="dxa" w:w="1000"/>
          </w:tcPr>
          <w:p>
            <w:r>
              <w:rPr>
                <w:rFonts w:ascii="Times New Roman" w:cs="Times New Roman" w:eastAsia="Times New Roman" w:hAnsi="Times New Roman"/>
                <w:b w:val="false"/>
                <w:bCs w:val="false"/>
                <w:sz w:val="18"/>
                <w:szCs w:val="18"/>
              </w:rPr>
              <w:t xml:space="preserve">870</w:t>
            </w:r>
          </w:p>
        </w:tc>
        <w:tc>
          <w:tcPr>
            <w:tcW w:type="dxa" w:w="1000"/>
          </w:tcPr>
          <w:p>
            <w:r>
              <w:rPr>
                <w:rFonts w:ascii="Times New Roman" w:cs="Times New Roman" w:eastAsia="Times New Roman" w:hAnsi="Times New Roman"/>
                <w:b w:val="false"/>
                <w:bCs w:val="false"/>
                <w:sz w:val="18"/>
                <w:szCs w:val="18"/>
              </w:rPr>
              <w:t xml:space="preserve">1.520</w:t>
            </w:r>
          </w:p>
        </w:tc>
        <w:tc>
          <w:tcPr>
            <w:tcW w:type="dxa" w:w="900"/>
          </w:tcPr>
          <w:p>
            <w:r>
              <w:rPr>
                <w:rFonts w:ascii="Times New Roman" w:cs="Times New Roman" w:eastAsia="Times New Roman" w:hAnsi="Times New Roman"/>
                <w:b w:val="false"/>
                <w:bCs w:val="false"/>
                <w:sz w:val="18"/>
                <w:szCs w:val="18"/>
              </w:rPr>
              <w:t xml:space="preserve">515</w:t>
            </w:r>
          </w:p>
        </w:tc>
        <w:tc>
          <w:tcPr>
            <w:tcW w:type="dxa" w:w="1200"/>
          </w:tcPr>
          <w:p>
            <w:r>
              <w:rPr>
                <w:rFonts w:ascii="Times New Roman" w:cs="Times New Roman" w:eastAsia="Times New Roman" w:hAnsi="Times New Roman"/>
                <w:b w:val="false"/>
                <w:bCs w:val="false"/>
                <w:sz w:val="18"/>
                <w:szCs w:val="18"/>
              </w:rPr>
              <w:t xml:space="preserve">460</w:t>
            </w:r>
          </w:p>
        </w:tc>
        <w:tc>
          <w:tcPr>
            <w:tcW w:type="dxa" w:w="1100"/>
          </w:tcPr>
          <w:p>
            <w:r>
              <w:rPr>
                <w:rFonts w:ascii="Times New Roman" w:cs="Times New Roman" w:eastAsia="Times New Roman" w:hAnsi="Times New Roman"/>
                <w:b w:val="false"/>
                <w:bCs w:val="false"/>
                <w:sz w:val="18"/>
                <w:szCs w:val="18"/>
              </w:rPr>
              <w:t xml:space="preserve">283</w:t>
            </w:r>
          </w:p>
        </w:tc>
        <w:tc>
          <w:tcPr>
            <w:tcW w:type="dxa" w:w="1300"/>
          </w:tcPr>
          <w:p>
            <w:r>
              <w:rPr>
                <w:rFonts w:ascii="Times New Roman" w:cs="Times New Roman" w:eastAsia="Times New Roman" w:hAnsi="Times New Roman"/>
                <w:b w:val="false"/>
                <w:bCs w:val="false"/>
                <w:sz w:val="18"/>
                <w:szCs w:val="18"/>
              </w:rPr>
              <w:t xml:space="preserve">3.348</w:t>
            </w:r>
          </w:p>
        </w:tc>
        <w:tc>
          <w:tcPr>
            <w:tcW w:type="dxa" w:w="900"/>
          </w:tcPr>
          <w:p>
            <w:r>
              <w:rPr>
                <w:rFonts w:ascii="Times New Roman" w:cs="Times New Roman" w:eastAsia="Times New Roman" w:hAnsi="Times New Roman"/>
                <w:b w:val="false"/>
                <w:bCs w:val="false"/>
                <w:sz w:val="18"/>
                <w:szCs w:val="18"/>
              </w:rPr>
              <w:t xml:space="preserve">155</w:t>
            </w:r>
          </w:p>
        </w:tc>
        <w:tc>
          <w:tcPr>
            <w:tcW w:type="dxa" w:w="1300"/>
          </w:tcPr>
          <w:p>
            <w:r>
              <w:rPr>
                <w:rFonts w:ascii="Times New Roman" w:cs="Times New Roman" w:eastAsia="Times New Roman" w:hAnsi="Times New Roman"/>
                <w:b w:val="false"/>
                <w:bCs w:val="false"/>
                <w:sz w:val="18"/>
                <w:szCs w:val="18"/>
              </w:rPr>
              <w:t xml:space="preserve">2'35"</w:t>
            </w:r>
          </w:p>
        </w:tc>
        <w:tc>
          <w:tcPr>
            <w:tcW w:type="dxa" w:w="1200"/>
          </w:tcPr>
          <w:p>
            <w:r>
              <w:rPr>
                <w:rFonts w:ascii="Times New Roman" w:cs="Times New Roman" w:eastAsia="Times New Roman" w:hAnsi="Times New Roman"/>
                <w:b w:val="false"/>
                <w:bCs w:val="false"/>
                <w:sz w:val="18"/>
                <w:szCs w:val="18"/>
              </w:rPr>
              <w:t xml:space="preserve">7,6</w:t>
            </w:r>
          </w:p>
        </w:tc>
      </w:tr>
    </w:tbl>
    <w:p>
      <w:pPr>
        <w:spacing w:after="0" w:before="0" w:line="240"/>
        <w:jc w:val="left"/>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jc w:val="center"/>
      </w:pPr>
      <w:r>
        <w:rPr>
          <w:rFonts w:ascii="Times New Roman" w:cs="Times New Roman" w:eastAsia="Times New Roman" w:hAnsi="Times New Roman"/>
          <w:b w:val="false"/>
          <w:bCs w:val="false"/>
          <w:i/>
          <w:iCs/>
          <w:caps w:val="false"/>
          <w:sz w:val="24"/>
          <w:szCs w:val="24"/>
        </w:rPr>
        <w:t xml:space="preserve">(fine del documento)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annuale Servizio Clienti 2025</dc:title>
  <dc:creator>Ufficio Formazione</dc:creator>
  <cp:lastModifiedBy>Un-named</cp:lastModifiedBy>
  <cp:revision>1</cp:revision>
  <dcterms:created xsi:type="dcterms:W3CDTF">2026-09-16T09:56:41.584Z</dcterms:created>
  <dcterms:modified xsi:type="dcterms:W3CDTF">2026-09-16T09:56:41.584Z</dcterms:modified>
</cp:coreProperties>
</file>

<file path=docProps/custom.xml><?xml version="1.0" encoding="utf-8"?>
<Properties xmlns="http://schemas.openxmlformats.org/officeDocument/2006/custom-properties" xmlns:vt="http://schemas.openxmlformats.org/officeDocument/2006/docPropsVTypes"/>
</file>