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34"/>
        </w:rPr>
        <w:t>REPORT DI PROGETTO: ANALISI DELLE VENDITE E DELLA MARGINALITÀ COMMERCIALE (Q3/Q4)</w:t>
      </w:r>
    </w:p>
    <w:p>
      <w:pPr>
        <w:spacing w:after="280"/>
      </w:pPr>
      <w:r>
        <w:rPr>
          <w:i/>
          <w:color w:val="4A777A"/>
          <w:sz w:val="23"/>
        </w:rPr>
        <w:t>Analisi delle Performance di Vendita, Redditività per Categoria e Ripartizione Geografica su Dump ERP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bottom w:val="single" w:sz="6" w:space="0" w:color="1B365D"/>
          <w:left w:val="none"/>
          <w:right w:val="none"/>
          <w:insideH w:val="single" w:sz="4" w:space="0" w:color="D0D0D0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Documento:</w:t>
            </w:r>
            <w:r>
              <w:rPr>
                <w:sz w:val="19"/>
              </w:rPr>
              <w:t xml:space="preserve"> Report Finale di Analisi Commerciale</w:t>
            </w:r>
          </w:p>
        </w:tc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Autore:</w:t>
            </w:r>
            <w:r>
              <w:rPr>
                <w:sz w:val="19"/>
              </w:rPr>
              <w:t xml:space="preserve"> Dipartimento Data Analytics &amp; BI</w:t>
            </w:r>
          </w:p>
        </w:tc>
      </w:tr>
      <w:tr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Destinatari:</w:t>
            </w:r>
            <w:r>
              <w:rPr>
                <w:sz w:val="19"/>
              </w:rPr>
              <w:t xml:space="preserve"> Direzione Commerciale &amp; Consiglio di Amministrazione</w:t>
            </w:r>
          </w:p>
        </w:tc>
        <w:tc>
          <w:tcPr>
            <w:tcW w:type="dxa" w:w="4968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Dataset:</w:t>
            </w:r>
            <w:r>
              <w:rPr>
                <w:sz w:val="19"/>
              </w:rPr>
              <w:t xml:space="preserve"> Dump_ERP_Vendite.xlsx (183 record)</w:t>
            </w:r>
          </w:p>
        </w:tc>
      </w:tr>
    </w:tbl>
    <w:p>
      <w:pPr>
        <w:spacing w:before="20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1. SINTESI ESECUTIVA (EXECUTIVE SUMMARY)</w:t>
      </w:r>
    </w:p>
    <w:p>
      <w:pPr>
        <w:spacing w:after="120"/>
      </w:pPr>
      <w:r>
        <w:t>Nel secondo semestre (Q3/Q4), è stata condotta un'analisi approfondita sulle transazioni commerciali aziendali estrapolate dal gestionale ERP (Dump_ERP_Vendite.xlsx). L'obiettivo strategico è stato quello di valutare l'andamento del fatturato, identificare le categorie merceologiche e i prodotti ad alta marginalità ed evidenziare la penetrazione commerciale nelle diverse macro-aree geografiche.</w:t>
      </w:r>
    </w:p>
    <w:p>
      <w:pPr>
        <w:pStyle w:val="ListBullet"/>
        <w:spacing w:before="40" w:after="80"/>
      </w:pPr>
      <w:r>
        <w:rPr>
          <w:b/>
          <w:color w:val="333333"/>
        </w:rPr>
        <w:t>Fatturato Complessivo (Total Revenue):</w:t>
      </w:r>
      <w:r>
        <w:rPr>
          <w:color w:val="333333"/>
        </w:rPr>
        <w:t xml:space="preserve"> € 1.746.014,50 registrato su un totale di 183 transazioni valide.</w:t>
      </w:r>
    </w:p>
    <w:p>
      <w:pPr>
        <w:pStyle w:val="ListBullet"/>
        <w:spacing w:before="40" w:after="80"/>
      </w:pPr>
      <w:r>
        <w:rPr>
          <w:b/>
          <w:color w:val="333333"/>
        </w:rPr>
        <w:t>Utile Lordo Totale (Profit Margin €):</w:t>
      </w:r>
      <w:r>
        <w:rPr>
          <w:color w:val="333333"/>
        </w:rPr>
        <w:t xml:space="preserve"> € 1.086.928,50 generato nel semestre.</w:t>
      </w:r>
    </w:p>
    <w:p>
      <w:pPr>
        <w:pStyle w:val="ListBullet"/>
        <w:spacing w:before="40" w:after="80"/>
      </w:pPr>
      <w:r>
        <w:rPr>
          <w:b/>
          <w:color w:val="333333"/>
        </w:rPr>
        <w:t>Margine di Profitto Medio (%):</w:t>
      </w:r>
      <w:r>
        <w:rPr>
          <w:color w:val="333333"/>
        </w:rPr>
        <w:t xml:space="preserve"> 62,25% sull'intero portafoglio aziendale.</w:t>
      </w:r>
    </w:p>
    <w:p>
      <w:pPr>
        <w:pStyle w:val="ListBullet"/>
        <w:spacing w:before="40" w:after="80"/>
      </w:pPr>
      <w:r>
        <w:rPr>
          <w:b/>
          <w:color w:val="333333"/>
        </w:rPr>
        <w:t>Category Top Performer:</w:t>
      </w:r>
      <w:r>
        <w:rPr>
          <w:color w:val="333333"/>
        </w:rPr>
        <w:t xml:space="preserve"> La categoria Software rappresenta il principale motore di profitto dell'azienda, generando il 74,88% di margine medio e contribuendo a oltre il 38% del fatturato totale.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2. METODOLOGIA E INTERVENTI DI DATA CLEANING</w:t>
      </w:r>
    </w:p>
    <w:p>
      <w:pPr>
        <w:spacing w:after="120"/>
      </w:pPr>
      <w:r>
        <w:t>Il dataset grezzo (RAW_Dump_ERP_Q3_Q4), composto originariamente da 186 righe, è stato bonificato nel foglio CLEAN_Dump_ERP_Q3_Q4 attraverso le seguenti fasi:</w:t>
      </w:r>
    </w:p>
    <w:p>
      <w:pPr>
        <w:pStyle w:val="ListBullet"/>
        <w:spacing w:before="40" w:after="80"/>
      </w:pPr>
      <w:r>
        <w:rPr>
          <w:b/>
          <w:color w:val="333333"/>
        </w:rPr>
        <w:t>1. Bonifica dei Duplicati:</w:t>
      </w:r>
      <w:r>
        <w:rPr>
          <w:color w:val="333333"/>
        </w:rPr>
        <w:t xml:space="preserve"> Eliminazione di 3 record duplicati generati da doppi inserimenti a sistema, stabilizzando il campione a 183 transazioni uniche.</w:t>
      </w:r>
    </w:p>
    <w:p>
      <w:pPr>
        <w:pStyle w:val="ListBullet"/>
        <w:spacing w:before="40" w:after="80"/>
      </w:pPr>
      <w:r>
        <w:rPr>
          <w:b/>
          <w:color w:val="333333"/>
        </w:rPr>
        <w:t>2. Normalizzazione Geografica:</w:t>
      </w:r>
      <w:r>
        <w:rPr>
          <w:color w:val="333333"/>
        </w:rPr>
        <w:t xml:space="preserve"> Uniformazione dei nomi nella colonna REGIONE (gestione di maiuscole/minuscole e rimozione spazi parassiti per le aree Nord, Centro, Sud e Isole).</w:t>
      </w:r>
    </w:p>
    <w:p>
      <w:pPr>
        <w:pStyle w:val="ListBullet"/>
        <w:spacing w:before="40" w:after="80"/>
      </w:pPr>
      <w:r>
        <w:rPr>
          <w:b/>
          <w:color w:val="333333"/>
        </w:rPr>
        <w:t>3. Gestione dei Valori Mancanti:</w:t>
      </w:r>
      <w:r>
        <w:rPr>
          <w:color w:val="333333"/>
        </w:rPr>
        <w:t xml:space="preserve"> Correzione dei campi vuoti presenti nelle righe dei commerciali e imputazione delle quantità mancanti.</w:t>
      </w:r>
    </w:p>
    <w:p>
      <w:pPr>
        <w:pStyle w:val="ListBullet"/>
        <w:spacing w:before="40" w:after="80"/>
      </w:pPr>
      <w:r>
        <w:rPr>
          <w:b/>
          <w:color w:val="333333"/>
        </w:rPr>
        <w:t>4. Standardizzazione Date:</w:t>
      </w:r>
      <w:r>
        <w:rPr>
          <w:color w:val="333333"/>
        </w:rPr>
        <w:t xml:space="preserve"> Conversione delle stringhe eterogenee nella colonna DATA_ORDINE in formato data reale seriale di Excel (YYYY-MM-DD).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3. MODELLO MATEMATICO E FORMULE COMMERCIALI</w:t>
      </w:r>
    </w:p>
    <w:p>
      <w:pPr>
        <w:spacing w:after="120"/>
      </w:pPr>
      <w:r>
        <w:t>Nel foglio sanitizzato sono state inserite le seguenti colonne calcolate per l'analisi della redditività:</w:t>
      </w:r>
    </w:p>
    <w:p>
      <w:pPr>
        <w:pStyle w:val="ListBullet"/>
        <w:spacing w:before="40" w:after="80"/>
      </w:pPr>
      <w:r>
        <w:rPr>
          <w:b/>
          <w:color w:val="333333"/>
        </w:rPr>
        <w:t>Fatturato Totale (€):</w:t>
      </w:r>
      <w:r>
        <w:rPr>
          <w:color w:val="333333"/>
        </w:rPr>
        <w:t xml:space="preserve"> TOT_REVENUE = QUANTITA × PREZZO_UNITARIO</w:t>
      </w:r>
    </w:p>
    <w:p>
      <w:pPr>
        <w:pStyle w:val="ListBullet"/>
        <w:spacing w:before="40" w:after="80"/>
      </w:pPr>
      <w:r>
        <w:rPr>
          <w:b/>
          <w:color w:val="333333"/>
        </w:rPr>
        <w:t>Costo Totale (€):</w:t>
      </w:r>
      <w:r>
        <w:rPr>
          <w:color w:val="333333"/>
        </w:rPr>
        <w:t xml:space="preserve"> TOT_COST = QUANTITA × COSTO_UNITARIO</w:t>
      </w:r>
    </w:p>
    <w:p>
      <w:pPr>
        <w:pStyle w:val="ListBullet"/>
        <w:spacing w:before="40" w:after="80"/>
      </w:pPr>
      <w:r>
        <w:rPr>
          <w:b/>
          <w:color w:val="333333"/>
        </w:rPr>
        <w:t>Utile Lordo (€):</w:t>
      </w:r>
      <w:r>
        <w:rPr>
          <w:color w:val="333333"/>
        </w:rPr>
        <w:t xml:space="preserve"> PROFIT MARGIN (€) = TOT_REVENUE - TOT_COST</w:t>
      </w:r>
    </w:p>
    <w:p>
      <w:pPr>
        <w:pStyle w:val="ListBullet"/>
        <w:spacing w:before="40" w:after="80"/>
      </w:pPr>
      <w:r>
        <w:rPr>
          <w:b/>
          <w:color w:val="333333"/>
        </w:rPr>
        <w:t>Margine % di Profitto:</w:t>
      </w:r>
      <w:r>
        <w:rPr>
          <w:color w:val="333333"/>
        </w:rPr>
        <w:t xml:space="preserve"> PROFIT MARGIN (%) = PROFIT MARGIN (€) / TOT_REVENUE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4. ANALISI DETTAGLIATA DEI RISULTATI</w:t>
      </w:r>
    </w:p>
    <w:p>
      <w:pPr>
        <w:keepNext/>
        <w:spacing w:before="240" w:after="80"/>
      </w:pPr>
      <w:r>
        <w:rPr>
          <w:rFonts w:ascii="Calibri" w:hAnsi="Calibri"/>
          <w:b/>
          <w:color w:val="4A777A"/>
          <w:sz w:val="23"/>
        </w:rPr>
        <w:t>4.1 Performance per Categoria Merceologica</w:t>
      </w:r>
    </w:p>
    <w:p>
      <w:pPr>
        <w:spacing w:after="120"/>
      </w:pPr>
      <w:r>
        <w:t>L'analisi per categoria evidenzia una forte disomogeneità nella marginalità tra i prodotti software e l'hardware/arredo: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1B365D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Fatturato Totale (€)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Costo Totale (€)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Utile Lordo (€)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Margine %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Software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€ 558.946,50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€ 140.385,00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€ 418.561,50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74,88%</w:t>
            </w:r>
          </w:p>
        </w:tc>
      </w:tr>
      <w:tr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Elettronica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€ 152.346,75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€ 88.736,00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€ 63.610,75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41,75%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Arredo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€ 161.714,00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€ 100.422,00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€ 61.292,00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37,90%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4A777A"/>
          <w:sz w:val="23"/>
        </w:rPr>
        <w:t>4.2 Distribuzione Geografica delle Vendite</w:t>
      </w:r>
    </w:p>
    <w:p>
      <w:pPr>
        <w:spacing w:after="120"/>
      </w:pPr>
      <w:r>
        <w:t>La ripartizione del fatturato e dei margini tra le macro-aree mostra un ottimo equilibrio commerciale a livello nazionale: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1B365D"/>
          <w:left w:val="none"/>
          <w:right w:val="none"/>
          <w:insideH w:val="single" w:sz="4" w:space="0" w:color="CCCCCC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Regione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Fatturato Totale (€)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Costo Totale (€)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Utile Lordo (€)</w:t>
            </w:r>
          </w:p>
        </w:tc>
        <w:tc>
          <w:tcPr>
            <w:tcW w:type="dxa" w:w="198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Margine %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Nord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€ 230.594,25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€ 81.768,00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€ 148.826,25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64,54%</w:t>
            </w:r>
          </w:p>
        </w:tc>
      </w:tr>
      <w:tr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Isole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€ 231.366,25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€ 90.681,00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€ 140.685,25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60,81%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Sud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€ 212.142,00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€ 78.988,00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€ 133.154,00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62,77%</w:t>
            </w:r>
          </w:p>
        </w:tc>
      </w:tr>
      <w:tr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Centro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€ 198.904,75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€ 78.106,00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€ 120.798,75</w:t>
            </w:r>
          </w:p>
        </w:tc>
        <w:tc>
          <w:tcPr>
            <w:tcW w:type="dxa" w:w="1987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sz w:val="18"/>
              </w:rPr>
              <w:t>60,73%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4A777A"/>
          <w:sz w:val="23"/>
        </w:rPr>
        <w:t>4.3 Top Products per Utile Generato</w:t>
      </w:r>
    </w:p>
    <w:p>
      <w:pPr>
        <w:pStyle w:val="ListBullet"/>
        <w:spacing w:before="40" w:after="80"/>
      </w:pPr>
      <w:r>
        <w:rPr>
          <w:b/>
          <w:color w:val="333333"/>
        </w:rPr>
        <w:t>1. ERP Module Analytics (Lic.):</w:t>
      </w:r>
      <w:r>
        <w:rPr>
          <w:color w:val="333333"/>
        </w:rPr>
        <w:t xml:space="preserve"> Ha generato € 208.077,50 di utile netto, imponendosi come il prodotto più redditizio dell'intero catalogo.</w:t>
      </w:r>
    </w:p>
    <w:p>
      <w:pPr>
        <w:pStyle w:val="ListBullet"/>
        <w:spacing w:before="40" w:after="80"/>
      </w:pPr>
      <w:r>
        <w:rPr>
          <w:b/>
          <w:color w:val="333333"/>
        </w:rPr>
        <w:t>2. Suite Cloud Business (Lic.):</w:t>
      </w:r>
      <w:r>
        <w:rPr>
          <w:color w:val="333333"/>
        </w:rPr>
        <w:t xml:space="preserve"> Ha garantito € 197.020,00 di utile con una marginalità percentuale elevatissima.</w:t>
      </w:r>
    </w:p>
    <w:p>
      <w:pPr>
        <w:pStyle w:val="ListBullet"/>
        <w:spacing w:before="40" w:after="80"/>
      </w:pPr>
      <w:r>
        <w:rPr>
          <w:b/>
          <w:color w:val="333333"/>
        </w:rPr>
        <w:t>3. Sedia Operativa Mesh:</w:t>
      </w:r>
      <w:r>
        <w:rPr>
          <w:color w:val="333333"/>
        </w:rPr>
        <w:t xml:space="preserve"> Ha trainato il comparto arredo con € 25.380,00 di margine.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5. RACCOMANDAZIONI STRATEGICHE COMMERCIALI</w:t>
      </w:r>
    </w:p>
    <w:p>
      <w:pPr>
        <w:spacing w:after="120"/>
      </w:pPr>
      <w:r>
        <w:t>Alla luce dell'analisi condotta, si raccomandano le seguenti azioni direzionali: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B365D"/>
          <w:left w:val="none"/>
          <w:right w:val="none"/>
          <w:insideH w:val="single" w:sz="4" w:space="0" w:color="B0C4DE"/>
          <w:insideV w:val="none"/>
        </w:tblBorders>
      </w:tblPr>
      <w:tblGrid>
        <w:gridCol w:w="9936"/>
      </w:tblGrid>
      <w:tr>
        <w:tc>
          <w:tcPr>
            <w:tcW w:type="dxa" w:w="993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1B365D"/>
              </w:rPr>
              <w:t>1. Spinta Commerciale sulle Licenze Software:</w:t>
            </w:r>
            <w:r>
              <w:rPr>
                <w:color w:val="333333"/>
              </w:rPr>
              <w:t xml:space="preserve"> Focalizzare la forza vendita sulle soluzioni Cloud ed ERP, sfruttando l'elevata marginalità (74,88%) per aumentare la redditività globale.</w:t>
            </w:r>
          </w:p>
        </w:tc>
      </w:tr>
      <w:tr>
        <w:tc>
          <w:tcPr>
            <w:tcW w:type="dxa" w:w="993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1B365D"/>
              </w:rPr>
              <w:t>2. Ottimizzazione Listini Categoria Arredo:</w:t>
            </w:r>
            <w:r>
              <w:rPr>
                <w:color w:val="333333"/>
              </w:rPr>
              <w:t xml:space="preserve"> Rivedere i prezzi di vendita o i costi di acquisto della categoria Arredo per elevarne la marginalità media dall'attuale 37,90% ad almeno il 45%.</w:t>
            </w:r>
          </w:p>
        </w:tc>
      </w:tr>
      <w:tr>
        <w:tc>
          <w:tcPr>
            <w:tcW w:type="dxa" w:w="9936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b/>
                <w:color w:val="1B365D"/>
              </w:rPr>
              <w:t>3. Sviluppo Area Centro:</w:t>
            </w:r>
            <w:r>
              <w:rPr>
                <w:color w:val="333333"/>
              </w:rPr>
              <w:t xml:space="preserve"> Rilanciare le campagne di vendita nell'area Centro (attualmente ultima per fatturato con € 198.904,75).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27"/>
        </w:rPr>
        <w:t>6. DELIVERABLE E STRUTTURA DEL FILE EXCEL</w:t>
      </w:r>
    </w:p>
    <w:p>
      <w:pPr>
        <w:spacing w:after="120"/>
      </w:pPr>
      <w:r>
        <w:t>L'analisi completa è archiviata all'interno del file Dump_ERP_Vendite.xlsx nei seguenti fogli:</w:t>
      </w:r>
    </w:p>
    <w:p>
      <w:pPr>
        <w:pStyle w:val="ListBullet"/>
        <w:spacing w:before="40" w:after="80"/>
      </w:pPr>
      <w:r>
        <w:rPr>
          <w:b/>
          <w:color w:val="333333"/>
        </w:rPr>
        <w:t>RAW_Dump_ERP_Q3_Q4:</w:t>
      </w:r>
      <w:r>
        <w:rPr>
          <w:color w:val="333333"/>
        </w:rPr>
        <w:t xml:space="preserve"> Contiene l'estrazione grezza dal gestionale (186 righe).</w:t>
      </w:r>
    </w:p>
    <w:p>
      <w:pPr>
        <w:pStyle w:val="ListBullet"/>
        <w:spacing w:before="40" w:after="80"/>
      </w:pPr>
      <w:r>
        <w:rPr>
          <w:b/>
          <w:color w:val="333333"/>
        </w:rPr>
        <w:t>LISTA_PRODOTTI:</w:t>
      </w:r>
      <w:r>
        <w:rPr>
          <w:color w:val="333333"/>
        </w:rPr>
        <w:t xml:space="preserve"> Anagrafica di riferimento del catalogo prodotti.</w:t>
      </w:r>
    </w:p>
    <w:p>
      <w:pPr>
        <w:pStyle w:val="ListBullet"/>
        <w:spacing w:before="40" w:after="80"/>
      </w:pPr>
      <w:r>
        <w:rPr>
          <w:b/>
          <w:color w:val="333333"/>
        </w:rPr>
        <w:t>CLEAN_Dump_ERP_Q3_Q4:</w:t>
      </w:r>
      <w:r>
        <w:rPr>
          <w:color w:val="333333"/>
        </w:rPr>
        <w:t xml:space="preserve"> Dataset pulito privo di duplicati con i campi calcolati (183 righe).</w:t>
      </w:r>
    </w:p>
    <w:p>
      <w:pPr>
        <w:pStyle w:val="ListBullet"/>
        <w:spacing w:before="40" w:after="80"/>
      </w:pPr>
      <w:r>
        <w:rPr>
          <w:b/>
          <w:color w:val="333333"/>
        </w:rPr>
        <w:t>PIVOT_TABLE:</w:t>
      </w:r>
      <w:r>
        <w:rPr>
          <w:color w:val="333333"/>
        </w:rPr>
        <w:t xml:space="preserve"> Tabelle pivot con i totali di fatturato e margine per Categoria e Regione.</w:t>
      </w:r>
    </w:p>
    <w:p>
      <w:pPr>
        <w:pStyle w:val="ListBullet"/>
        <w:spacing w:before="40" w:after="80"/>
      </w:pPr>
      <w:r>
        <w:rPr>
          <w:b/>
          <w:color w:val="333333"/>
        </w:rPr>
        <w:t>GRAFICI:</w:t>
      </w:r>
      <w:r>
        <w:rPr>
          <w:color w:val="333333"/>
        </w:rPr>
        <w:t xml:space="preserve"> Dashboard visiva e grafici direzionali.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