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  <w:r>
        <w:rPr>
          <w:rFonts w:ascii="微软雅黑" w:hAnsi="微软雅黑" w:eastAsia="微软雅黑" w:cs="微软雅黑"/>
          <w:b w:val="0"/>
          <w:color w:val="222222"/>
          <w:sz w:val="20"/>
        </w:rPr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/>
          <w:color w:val="1F4E79"/>
          <w:sz w:val="48"/>
        </w:rPr>
        <w:t>BS-CAT 全分类类别表现分析报告</w:t>
      </w:r>
    </w:p>
    <w:p>
      <w:pPr>
        <w:spacing w:after="48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2"/>
        </w:rPr>
        <w:t>Income, Expense, Transfer and Liability Category Performance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样本范围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分类范围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比较对象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0"/>
              </w:rPr>
              <w:t>报告日期</w:t>
            </w:r>
          </w:p>
        </w:tc>
      </w:tr>
      <w:tr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0"/>
              </w:rPr>
              <w:t>121,845 笔交易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0"/>
              </w:rPr>
              <w:t>36 个类别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0"/>
              </w:rPr>
              <w:t>illion vs finv / BS-CAT</w:t>
            </w:r>
          </w:p>
        </w:tc>
        <w:tc>
          <w:tcPr>
            <w:tcW w:type="dxa" w:w="240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20"/>
              </w:rPr>
              <w:t>2026-08-28</w:t>
            </w:r>
          </w:p>
        </w:tc>
      </w:tr>
    </w:tbl>
    <w:p>
      <w:pPr>
        <w:spacing w:after="240"/>
      </w:pPr>
      <w:r>
        <w:rPr>
          <w:rFonts w:ascii="微软雅黑" w:hAnsi="微软雅黑" w:eastAsia="微软雅黑" w:cs="微软雅黑"/>
          <w:b w:val="0"/>
          <w:color w:val="222222"/>
          <w:sz w:val="20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本报告由数据底稿 category_difference_report_100.xlsx 自动生成，覆盖收入、支出、转账、负债四大业务板块共 36 个类别。所有数字均从底稿动态计算；负债部分保留类别指标摘要，不重复展开已有 Liability 专项报告。</w:t>
            </w:r>
          </w:p>
        </w:tc>
      </w:tr>
    </w:tbl>
    <w:p>
      <w:pPr>
        <w:spacing w:after="240"/>
      </w:pPr>
      <w:r>
        <w:rPr>
          <w:rFonts w:ascii="微软雅黑" w:hAnsi="微软雅黑" w:eastAsia="微软雅黑" w:cs="微软雅黑"/>
          <w:b w:val="0"/>
          <w:color w:val="222222"/>
          <w:sz w:val="20"/>
        </w:rPr>
      </w:r>
    </w:p>
    <w:p>
      <w:pPr>
        <w:spacing w:after="120"/>
      </w:pPr>
      <w:r>
        <w:rPr>
          <w:rFonts w:ascii="微软雅黑" w:hAnsi="微软雅黑" w:eastAsia="微软雅黑" w:cs="微软雅黑"/>
          <w:b/>
          <w:color w:val="2E74B5"/>
          <w:sz w:val="24"/>
        </w:rPr>
        <w:t>数据来源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595959"/>
          <w:sz w:val="19"/>
        </w:rPr>
        <w:t>Excel 底稿：00_核心对比（核心指标与逐类别指标）、01_差异诊断地图（Top 20 差异流向）、03_排查明细（23,848 笔差异明细，含金额与交易方向）。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1. 执行摘要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21"/>
        </w:rPr>
        <w:t>本次评估显示，finv 的分类覆盖率为 90.30%，略高于 Illion 的 89.34%，说明 finv 覆盖率基本持平于 Illion，finv 在覆盖范围上具有一定优势。在双方均给出分类的交易中，分类一致率达到 89.60%，表明两者对同一交易的分类结果整体较为一致。在存在差异的交易中，双方分类不一致占比最高，为 44.88%，仅 finv 有值占 30.01%，仅 Illion 有值占 25.11%，说明分类分歧是主要差异来源，而非单方覆盖缺失。差异交易主要集中在转账类、高频消费类及部分负债类。总体来看，finv 的核心特征是覆盖更广，但覆盖范围的扩大也引入了更多分类差异；当前主要问题并非覆盖不足，而是部分类别下双方分类规则和边界不一致。后续优化应优先聚焦转账、高频消费和部分负债类场景，推动分类标准对齐与差异治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本段为报告的核心结论：两侧覆盖率对比、双方均分类交易的一致率、差异构成，以及主要差异来源。</w:t>
            </w:r>
          </w:p>
        </w:tc>
      </w:tr>
    </w:tbl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2. 覆盖与一致全景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本部分自顶向下展示覆盖与一致情况：先看总体一致率与差异性质，再看业务板块，最后拆解到类别。覆盖率的含义是「Illion / finv 识别为某个类别的交易占总交易的比例」；一致率的含义是「双方分类一致（类别完全相同）的交易占至少一侧有分类交易的比例」。覆盖与一致的情况清楚后，第 3 章进入类别细探，各类别的全量指标明细汇总于第 4 章附录。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2.1 总体覆盖、一致率与差异性质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Illion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89.34%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Illion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finv 覆盖率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90.30%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finv 有分类交易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覆盖差（finv − Illion）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0.96%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finv 高于 Illion 的幅度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双方均有分类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84.42%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双方分类均非空的交易 / 总交易数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双方非空一致率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89.60%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类别一致 / 双方均有分类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覆盖调整后一致率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79.44%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类别一致 / 至少一侧有分类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差异率（至少一侧有分类）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20.56%</w:t>
            </w:r>
          </w:p>
        </w:tc>
        <w:tc>
          <w:tcPr>
            <w:tcW w:type="dxa" w:w="464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差异总数 / 至少一侧有分类</w:t>
            </w:r>
          </w:p>
        </w:tc>
      </w:tr>
    </w:tbl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在覆盖率上，finv（90.30%）较 Illion（89.34%）高出 0.96 个百分点，覆盖范围略广。全部交易中，双方均有分类的占比为 84.42%，在这部分交易内，类别一致率达到 89.60%，表明双方在共同覆盖范围内的判定结果较为一致。然而，若将仅单侧有分类的交易也纳入评价基准（即「至少一侧有分类」口径），一致率下降至 79.44%，差异率相应为 20.56%。两个口径之间的落差（相差 10.16 个百分点）源于仅单侧有分类的交易，该部分占并集（至少一侧有分类）的 11.33%；将其计入差异后，整体一致率明显走低。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进一步拆解差异构成，可区分两种性质：双方分类不一致（两侧均有分类但标签不同，反映分类规则或边界判定的分歧）与单侧识别缺失（仅一侧有分类，反映覆盖缺口）。具体分布如下：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38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差异类型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占差异总数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分析含义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双方分类不一致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44.88%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两侧均有分类，但类别标签不同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仅 finv 有值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30.01%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finv 新增识别或 Illion 侧缺少分类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仅 Illion 有值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25.11%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finv 侧缺少分类（仅 Illion 侧识别）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总差异数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100.00%</w:t>
            </w:r>
          </w:p>
        </w:tc>
        <w:tc>
          <w:tcPr>
            <w:tcW w:type="dxa" w:w="521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8"/>
              </w:rPr>
              <w:t>分类不一致与单边缺失的合计</w:t>
            </w:r>
          </w:p>
        </w:tc>
      </w:tr>
    </w:tbl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双方分类不一致占比最高（44.88%），是最大的差异来源；仅 finv 有值（30.01%）次之；仅 Illion 有值（25.11%）再次之。前两类合计贡献约 74.89% 的差异。需说明的是，双方均为空的交易（占全部交易的 4.79%）未纳入差异分析，因其不具备分类可比性。综上，finv 覆盖略优，但在共同覆盖范围内的一致性较高；整体差异主要源于分类标签分歧，其次是 finv 侧的额外识别覆盖，Illion 侧的独有识别贡献相对较小。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2.2 业务板块覆盖与一致率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36 个类别划分为收入类（3）、支出类（23）、转账类（2）、负债类（8）。转账类作为中性资金流独立统计，不并入收入或支出。板块一致率以「至少一侧识别为该板块」为分母（并集口径），与总体覆盖调整后一致率对应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业务板块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类别数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覆盖率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一致率（同板块）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板块并集占比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收入类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2.72%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37.67%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40.34%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5.66%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支出类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23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34.02%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36.83%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79.23%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81.07%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39.13%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转账类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38.39%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33.63%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76.46%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84.57%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39.02%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负债类</w:t>
            </w:r>
          </w:p>
        </w:tc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14.21%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14.62%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85.94%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95.49%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14.75%</w:t>
            </w:r>
          </w:p>
        </w:tc>
      </w:tr>
    </w:tbl>
    <w:p>
      <w:pPr>
        <w:spacing w:after="120"/>
      </w:pPr>
      <w:r>
        <w:rPr>
          <w:rFonts w:ascii="微软雅黑" w:hAnsi="微软雅黑" w:eastAsia="微软雅黑" w:cs="微软雅黑"/>
          <w:b w:val="0"/>
          <w:color w:val="595959"/>
          <w:sz w:val="17"/>
        </w:rPr>
        <w:t>「一致率（类别并集）」= 双方类别完全一致 / 至少一侧识别为该板块（并集口径）；「一致率（同板块）」= 双方同属该板块（类别可以不同）/ 至少一侧识别为该板块，口径更宽松。板块并集占比 = 板块并集 / 全部交易；板块并集因跨板块交易存在重叠，各板块一致率不与总体直接加总；本表用于板块间横向比较。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从板块维度看，各板块表现存在明显分化。负债类的一致率（类别并集）和一致率（同板块）分别达到 85.94% 和 95.49%，在各板块中均为最高，是两侧共识最强的板块。收入类的一致率最低，仅为 37.67%，但主要由识别范围差异驱动：finv在该板块的覆盖率为 5.23%，高于 Illion 的 2.72%，单边识别占该板块差异的 40.28%——一致率偏低反映的是finv覆盖面更广，而非识别质量缺陷。收入类交易体量较小，板块并集仅占全部交易的 5.66%，对整体影响有限。支出类是覆盖体量最大的板块，板块并集占全部交易的 39.13%，其中 Illion 和 finv 的覆盖率分别为 34.02% 和 36.83%；同时，支出类的细分差异也较为集中，贡献了全部差异的 41.52%。转账类则是Illion覆盖高于finv的板块，覆盖率相差 4.77 个百分点，这一差值在各板块中最大，反映出两侧在转账类覆盖口径上存在主要分歧。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 w:cs="微软雅黑"/>
        </w:rPr>
        <w:t>2.3 分类别覆盖与一致率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36 个类别按业务板块逐一展示覆盖率和一致率的完整明细表见第 4 章附录 4.1（一致率（类别并集）= 交集 / 该类别并集，即双方类别完全一致的比例）；重要类别的详细分析见第 3 章，其余类别统一在第 4 章附录 4.2、4.3 展示核心占比指标汇总。红绿灯标记：红字（加粗）= 红灯指标（一致率（类别并集）&lt; 50% 或独有占比 &gt; 30%）；绿字（加粗）= 绿灯指标（一致率（类别并集）&gt; 80%）。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分类别视图先看下方两图：图2.1 为各类别覆盖率对比，图2.2 为分类别一致率分布；图后的结论框为分类别核心结论。</w:t>
      </w:r>
    </w:p>
    <w:p>
      <w:pPr>
        <w:spacing w:before="40" w:after="40"/>
        <w:jc w:val="center"/>
      </w:pPr>
      <w:r>
        <w:rPr>
          <w:rFonts w:ascii="微软雅黑" w:hAnsi="微软雅黑" w:eastAsia="微软雅黑" w:cs="微软雅黑"/>
        </w:rPr>
        <w:drawing>
          <wp:inline xmlns:a="http://schemas.openxmlformats.org/drawingml/2006/main" xmlns:pic="http://schemas.openxmlformats.org/drawingml/2006/picture">
            <wp:extent cx="5580000" cy="627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2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图2.1 各类别覆盖率对比（左两列：条形长度 = 该侧覆盖率，即该侧识别交易数/全部交易，蓝 = Illion、橙 = finv；右列：覆盖率差 = finv − Illion，百分点，橙 = finv 覆盖更广、蓝 = Illion 覆盖更广）</w:t>
      </w:r>
    </w:p>
    <w:p>
      <w:pPr>
        <w:spacing w:before="40" w:after="40"/>
        <w:jc w:val="center"/>
      </w:pPr>
      <w:r>
        <w:rPr>
          <w:rFonts w:ascii="微软雅黑" w:hAnsi="微软雅黑" w:eastAsia="微软雅黑" w:cs="微软雅黑"/>
        </w:rPr>
        <w:drawing>
          <wp:inline xmlns:a="http://schemas.openxmlformats.org/drawingml/2006/main" xmlns:pic="http://schemas.openxmlformats.org/drawingml/2006/picture">
            <wp:extent cx="5580000" cy="65945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9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595959"/>
          <w:sz w:val="18"/>
        </w:rPr>
        <w:t>图2.2 分类别一致率分布（按业务板块，一致率 = 交集/并集；红 = 一致率 &lt; 50%，黄 = 50%–80%，绿 = ≥ 80%）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一致率最低的五个类别中，Unknown Loans一致率为 0.00%，并集占全部交易的 1.04%；Information一致率为 0.28%，占 0.88%；All Other Credits一致率为 14.08%，占 2.37%；Retail一致率为 43.46%，占 2.25%；SACC Loans一致率为 45.00%，占 1.29%。一致率最高的三个类别为Department Stores、Telecommunications和Transport，一致率分别为96.41%、94.91%和93.25%，这些类别多为规则清晰的负债与固定支出类交易。此外，Unknown Loans在Illion侧无覆盖，属于Illion的覆盖缺口。</w:t>
            </w:r>
          </w:p>
        </w:tc>
      </w:tr>
    </w:tbl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3. 分业务板块的类别细探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20"/>
        </w:rPr>
        <w:t>本部分回答：每个板块中，哪些类别稳定？哪些类别存在单边覆盖？哪些类别需要进一步排查？每个类别统一使用以下七项占比指标：① Illion 覆盖率；② finv 覆盖率；③ 并集占比（占全部交易）；④ 交集占比（占全部交易）；⑤ 一致率（类别并集）；⑥ Illion 独有占比；⑦ finv 独有占比。其中并集占比 / 交集占比的分母为全部交易，一致率（类别并集）的分母为该类别并集；因两侧分类不同的交易会在两个类别的并集中重复计入，类别一致率不可直接加总为总体覆盖调整后一致率（79.44%，交易级去重口径）。</w:t>
      </w:r>
    </w:p>
    <w:p>
      <w:pPr>
        <w:pStyle w:val="Heading2"/>
      </w:pPr>
      <w:r>
        <w:rPr>
          <w:rFonts w:ascii="微软雅黑" w:hAnsi="微软雅黑" w:eastAsia="微软雅黑" w:cs="微软雅黑"/>
        </w:rPr>
        <w:t>3.1 收入类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收入类差异主要集中在 All Other Credits 和 Wages，核心差异来自 finv 对收入类识别范围更广，与 External Transfers 边界模糊，部分转账的归类在两侧存在分歧；Centrelink 共识较强（94.61%），风险较低。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3.1.1 All Other Credits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All Other Credits的一致率仅 14.08%，核心矛盾是 finv 对「All Other Credits」识别范围更广，差异主要集中在 External Transfers → All Other Credits 流向（占全部差异的 3.65%、金额 $268,897.43）。典型样本「Payment from Condor Partners P」两侧分类为 External Transfers → All Other Credits（$8,000.00），与上述判断一致。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其他贷方入账，非工资、非福利的杂项收款与退款。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0.85%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1.86%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2.37%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14.08%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21.63%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64.29%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0.85%，finv 覆盖率为 1.86%；并集占全部交易 2.37%，交集占全部交易 0.33%，一致率（类别并集）为 14.08%。Illion 独有占比为 21.63%，finv 独有占比为 64.29%。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3.65%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$268,897.43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3.56%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$202,544.59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1.59%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$177,896.14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$34,772.07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$6,539.84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100.00%，debit 方向占 0.00%；合计差异金额 $723,685.23。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2026-04-07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Direct Credit 673522 HESTA 103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$9,139.00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2026-04-30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2883056 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$9,000.00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2026-03-05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Payment from Condor Partners P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$8,000.00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2765952 M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MISS BONNIE LE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$8,000.00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All Other Credits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2026-04-03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Payment from Condor Partners P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$7,500.00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All Other Credits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3.1.2 Wages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Wages的一致率仅 47.71%，核心矛盾是 finv 对「Wages」识别范围更广，差异主要集中在 （空） → Wages 流向（占全部差异的 3.67%、金额 $276,919.68）。典型样本「Fast Transfer From STEIGER IND」两侧分类为 （空） → Wages（$10,000.00），与上述判断一致。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工资薪金类收入，包括薪资入账、公司发放的工资、奖金、遣散费等。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1.54%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3.04%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3.11%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1.48%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47.71%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1.98%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50.30%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1.54%，finv 覆盖率为 3.04%；并集占全部交易 3.11%，交集占全部交易 1.48%，一致率（类别并集）为 47.71%。Illion 独有占比为 1.98%，finv 独有占比为 50.30%。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3.67%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$276,919.68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3.40%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$333,012.73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$34,772.07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$31,201.22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$5,764.28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100.00%，debit 方向占 0.00%；合计差异金额 $739,332.84。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2026-02-12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MEHMET KAYAPIN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MEHMET KAYAPIN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MEHMET KAYAPIN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MEHMET KAYAPIN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$15,000.00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Fast Transfer From STEIGER IND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STEIGER INDUST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2026-02-12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Direct Credit 301500 Glenview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GLENVIEW CONST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$8,041.00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2765952 M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MISS BONNIE LE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$8,000.00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All Other Credits → Wages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3.1.3 Centrelink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Centrelink的一致率 94.61%，共识较强。差异主要集中在 Centrelink → （空） 流向（占全部差异的 0.05%、金额 $11,590.65）。典型样本「ANZ INTERNET BANKING BPAY CSA 」两侧分类为 Centrelink → （空）（$2,077.32），与上述判断一致。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政府福利类收入，包括 Centrelink 福利金、政府补贴与救济金。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0.32%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0.32%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94.61%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3.43%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1.96%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0.33%，finv 覆盖率为 0.32%；并集占全部交易 0.33%，交集占全部交易 0.32%，一致率（类别并集）为 94.61%。Illion 独有占比为 3.43%，finv 独有占比为 1.96%。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$11,590.65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$1,109.42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$311.85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Centrelink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45.45%，debit 方向占 54.55%；合计差异金额 $13,111.92。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2026-06-19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ANZ INTERNET BANKING BPAY CSA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$2,077.32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2026-02-27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ANZ INTERNET BANKING BPAY CSA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$2,058.96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2026-04-30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ANZ INTERNET BANKING BPAY CSA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$2,058.78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2026-04-02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ANZ INTERNET BANKING BPAY CSA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$2,058.62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2026-06-01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ANZ INTERNET BANKING BPAY CSA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$2,040.47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 → （空）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收入类边界小结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Wages 与 All Other Credits：双向混淆，金额分别为 $34,772.07 和 $5,764.28。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Wages 与 External Transfers：双向混淆，金额分别为 $333,012.73 和 $26,153.88。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All Other Credits 与 External Transfers：双向混淆，金额分别为 $268,897.43 和 $100.00。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8"/>
        </w:rPr>
        <w:t>收入类差异以 credit 方向为主（收入识别侧），finv 独有收入识别主要落在 Wages，需要抽样核验其交易描述是否符合收入定义。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2"/>
      </w:pPr>
      <w:r>
        <w:rPr>
          <w:rFonts w:ascii="微软雅黑" w:hAnsi="微软雅黑" w:eastAsia="微软雅黑" w:cs="微软雅黑"/>
        </w:rPr>
        <w:t>3.2 支出类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支出类差异主要集中在 Dining Out 和 Retail，核心差异来自 finv 对支出类识别范围更广，与 External Transfers 边界模糊；Department Stores 共识较强（96.41%），风险较低。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支出类共 23 个类别，本报告针对重要类别 Rent 与 Gambling 专项展开（含 Top 差异流向、交易方向、金额与典型样本），并对红灯/黄灯指标类别中差异体量或代表性较强的 4 个类别（Retail、Information、Donations、Automotive）按同样结构展开差异原因专项分析（见 3.2.3–3.2.6）；其余类别的七项指标统一汇总于第 4 章附录。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3.2.1 Gambling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Gambling的一致率 84.53%，核心矛盾是 finv 对「Gambling」识别范围更广，差异主要集中在 （空） → Gambling 流向（占全部差异的 1.03%、金额 $32,618.50）。典型样本「Score55 Tech B.V Limassol CY C」两侧分类为 （空） → Gambling（$300.00），与上述判断一致。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博彩类支出，如投注、彩票、赌场交易。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3.75%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4.15%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4.28%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3.62%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84.53%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3.12%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12.34%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3.75%，finv 覆盖率为 4.15%；并集占全部交易 4.28%，交集占全部交易 3.62%，一致率（类别并集）为 84.53%。Illion 独有占比为 3.12%，finv 独有占比为 12.34%。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$32,618.50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$10,586.41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$37,001.00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Dining Out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$1,582.20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Gambling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$6,539.84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11.40%，debit 方向占 88.60%；合计差异金额 $105,829.34。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2026-06-12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TRANSFER CREDIT Dabble Sports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Dabble Sports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$2,906.00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Sportsbet18861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Miscellaneous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$1,800.00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Sportsbetccebc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Miscellaneous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$1,800.00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PAYMENT FROM KenoGO CT.1v54ap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Kenogo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$1,200.00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2026-03-02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TRANSFER CREDIT Dabble Sports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Dabble Sports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$1,100.00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 → Wages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Gambling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Gambling 类别一致率（类别并集）为 84.53%，并集占全部交易的 4.28%；方向以 debit（支出）为主，占 88.60%。单边差异明显偏向 finv 一侧：finv 独有识别占比 12.34%，显著高于 Illion 独有占比 3.12%。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Gambling 相关差异占全部差异的 3.38%。差异流向以 （空） → Gambling 为主（占 Gambling 相关差异的 30.48%）；finv 单边识别（仅 finv 有值 → Gambling）占 30.48%；Illion 单边识别（Gambling → 仅 Illion 有值）占 15.37%；转账类流入（External Transfers / Internal Transfer → Gambling）占 30.36%。综合来看，Gambling 差异的主因是博彩识别与转账/其他消费的边界：转账类流入占 30.36%、finv 单边识别占 30.48%，两者合计约占 Gambling 相关差异的 60.84%，表明存在经转账渠道完成的博彩交易未被 Illion 识别（或 finv 过度识别）的情况。建议核对转账类交易中博彩特征收款方的识别规则，并抽查 finv 单边识别样本，确认是覆盖扩展还是过度识别。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3"/>
      </w:pPr>
      <w:r>
        <w:rPr>
          <w:rFonts w:ascii="微软雅黑" w:hAnsi="微软雅黑" w:eastAsia="微软雅黑" w:cs="微软雅黑"/>
        </w:rPr>
        <w:t>3.2.2 Rent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Rent的一致率 92.17%，共识较强。差异主要集中在 Internal Transfer → Rent 流向（占全部差异的 0.11%、金额 $17,662.00）。典型样本「Rent - Receipt 363907 - To Ora」两侧分类为 Internal Transfer → Rent（$900.00），与上述判断一致。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房租类支出，周期性租金支付。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0.66%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0.66%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92.17%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0.69%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7.13%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0.66%，finv 覆盖率为 0.71%；并集占全部交易 0.71%，交集占全部交易 0.66%，一致率（类别并集）为 92.17%。Illion 独有占比为 0.69%，finv 独有占比为 7.13%。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$17,662.00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0.07%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$5,414.07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$5,515.82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Transport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$12,621.98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$3,680.00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29.41%，debit 方向占 70.59%；合计差异金额 $47,412.69。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2026-02-02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2835806 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Transport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 CARD PURCHASE RESIDENTIA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$2,400.00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Rent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WITHDRAWAL-OSKO PAYMENT 124105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Direct Credit 450948 Housing O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Rent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2026-07-14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BPAY to Unity Housing #187437,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$1,839.54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Rent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Rent 与相邻类别的差异流向：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$17,662.00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$5,515.82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Rent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$3,680.00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Rent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Rent 类别一致率（类别并集）为 92.17%，并集占全部交易的 0.71%。Rent 相关差异占全部差异的 0.29%，方向以 debit（转出/借方）为主，占 70.59%，与租金支出场景一致。单边差异偏向 finv 一侧：finv 独有识别占比 7.13%，显著高于 Illion 独有占比 0.69%，存在未被 Illion 识别出的租金交易。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Rent 相关差异流向以 Internal Transfer → Rent 为主（占 Rent 相关差异的 38.24%，涉及金额 $17,662.00）；转账类流入（Internal Transfer / External Transfers → Rent）合计占 Rent 相关差异的 57.35%；finv 单边识别（仅 finv 有值 → Rent）占 23.53%；Illion 单边识别（Rent → 仅 Illion 有值）占 2.94%。综合来看，Rent 差异的主因是租金支付与转账类（Internal Transfer / External Transfers）的边界划分（合计占 Rent 相关差异的 57.35%），即部分租金支付被识别为转账，建议优先核对转账类交易中收款方为房产中介、物业管理等租金特征的识别规则，将疑似租金收款方优先识别为 Rent。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3"/>
      </w:pPr>
      <w:r>
        <w:rPr>
          <w:rFonts w:ascii="微软雅黑" w:hAnsi="微软雅黑" w:eastAsia="微软雅黑" w:cs="微软雅黑"/>
        </w:rPr>
        <w:t>3.2.3 Retail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Retail的一致率仅 43.46%，核心矛盾是 finv 对「Retail」识别范围更广，差异主要集中在 （空） → Retail 流向（占全部差异的 2.90%、金额 $46,704.45）。典型样本「WITHDRAWAL 0000057 MACQUARIE C」两侧分类为 （空） → Retail（$7,000.00），与上述判断一致。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零售类消费，涵盖百货以外的零售购物。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1.22%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2.01%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2.25%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0.98%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43.46%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10.67%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45.87%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1.22%，finv 覆盖率为 2.01%；并集占全部交易 2.25%，交集占全部交易 0.98%，一致率（类别并集）为 43.46%。Illion 独有占比为 10.67%，finv 独有占比为 45.87%。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2.90%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$46,704.45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1.93%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$25,777.13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0.90%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$18,068.69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Subscription TV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0.14%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$1,122.47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$2,882.73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10.99%，debit 方向占 89.01%；合计差异金额 $104,110.95。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2026-03-13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WITHDRAWAL 0000057 MACQUARIE C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MACQUARIE CENT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$7,000.00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Retail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2026-06-10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WITHDRAWAL 0000097 MACARTHUR 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MACARTHUR SQUA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$5,000.00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Retail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2026-04-27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EFTPOS MIU MIU CHADSTONE CHADS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Retail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2026-02-02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ANZ ATM PACIFIC FAIR BRANCH #1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PACIFIC FAIR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Retail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2026-06-28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Betta Home Living, COOMA BETTA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Betta Home Liv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$1,488.00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Retail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Retail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Retail 类别一致率（类别并集）为 43.46%，并集占全部交易的 2.25%；方向以 debit（支出）为主，占 89.01%。单边差异明显偏向 finv 一侧：finv 独有识别占比 45.87%，显著高于 Illion 独有占比 10.67%。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Retail 相关差异占全部差异的 6.49%。差异流向以 （空） → Retail 为主（占 Retail 相关差异的 44.67%）；finv 单边识别（仅 finv 有值 → Retail）占 44.67%；Illion 单边识别（Retail → 仅 Illion 有值）占 13.90%；转账类流入（External Transfers / Internal Transfer → Retail）占 29.73%。综合来看，Retail 差异的主因是零售支付与转账类的边界划分：转账类流入占 29.73%，表明部分经转账渠道完成的零售消费，finv 识别为 Retail、Illion 识别为转账类；叠加 finv 单边识别占 44.67%，整体表现为 finv 对零售交易的识别范围更广。建议优先核对转账类交易中商户为零售特征（商超、便利店等）的识别规则，并抽查 finv 单边识别的 Retail 交易以确认覆盖合理性。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3.2.4 Information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Information的一致率仅 0.28%，核心矛盾是 finv 对「Information」识别范围更广，差异主要集中在 （空） → Information 流向（占全部差异的 3.51%、金额 $10,635.73）。典型样本「AIRTASKER* 20585347X」两侧分类为 （空） → Information（$900.00），与上述判断一致。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信息资讯类支出，如报刊、资讯订阅、在线内容付费。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0.69%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0.88%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0.28%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21.30%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78.42%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0.19%，finv 覆盖率为 0.69%；并集占全部交易 0.88%，交集占全部交易 0.00%，一致率（类别并集）为 0.28%。Illion 独有占比为 21.30%，finv 独有占比为 78.42%。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3.51%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$10,635.73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0.85%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Fees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Information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$0.00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21.46%，debit 方向占 78.54%；合计差异金额 $10,714.66。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2026-07-31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AIRTASKER* 20585347X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$900.00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Information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AIRTASKER* 20234350X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$289.87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Information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AIRTASKER* 20234335X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$289.87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Information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2026-07-17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AIRTASKER* 20592183X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$239.95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Information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2026-03-18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AIRTASKER* 19778030X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Airtasker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$231.90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Information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Information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Information 类别一致率（类别并集）为 0.28%，并集占全部交易的 0.88%；方向以 debit（支出）为主，占 78.54%。单边差异明显偏向 finv 一侧：finv 独有识别占比 78.42%，显著高于 Illion 独有占比 21.30%。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进一步核验两侧对 Information 的定义：Illion 侧识别出的 Information 明细占全部差异的 0.96%，其中金额为 0 的占 100.00%，典型为费用豁免/通知类交易（如「FEES INCLUDED IN TRAN AUD100.00 IS」）；finv 侧识别出的 Information 明细均为有金额的信息类消费（金额为 0 的占 0.00%）。两侧的 Information 明细完全不存在重合（交集占比 0%），即 Illion 与 finv 的 Information 是两批完全不同的交易，差异并非同一笔交易的归类分歧，而是类别定义口径不同：Illion 将 0 金额的通知/豁免明细归入 Information，finv 仅将有金额的信息类消费归入。综合来看，Illion 侧的 Information 类别基本没有业务意义——识别结果全部为 0 金额的豁免/通知明细，不构成实际消费，属于无效识别；finv 侧的 Information（有金额的信息类消费）才是具有实际意义的真实消费类别，建议以 finv 口径为准，并明确 Information 的准入口径（是否包含 0 金额明细），或将费用豁免/通知类交易单独归类后复核。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Information 相关差异占全部差异的 4.50%。差异流向以 （空） → Information 为主（占 Information 相关差异的 77.99%）；finv 单边识别（仅 finv 有值 → Information）占 77.99%；Illion 单边识别（Information → 仅 Illion 有值）占 18.94%。综合来看，Information 差异的主因是 finv 对该类别的识别范围远大于 Illion（finv 覆盖率 0.69% vs Illion 0.19%）：finv 单边识别占 77.99% 而 Illion 未给出分类，并非双方对同一批交易的分类分歧。建议核对 finv 侧信息类交易（资讯/信息服务类商户）的识别规则与 Illion 的覆盖边界，确认新增识别是否合理。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3.2.5 Donations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Donations的一致率仅 47.22%，核心矛盾是 Illion 对「Donations」识别范围更广，差异主要集中在 Donations → （空） 流向（占全部差异的 0.20%、金额 $2,380.02）。典型样本「PCYCCABOOLTURE EAST MILTON QL 」两侧分类为 Donations → （空）（$165.67），与上述判断一致。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捐赠类支出，如慈善捐款、捐赠订阅。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Donations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0.04%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47.22%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52.78%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0.09%，finv 覆盖率为 0.04%；并集占全部交易 0.09%，交集占全部交易 0.04%，一致率（类别并集）为 47.22%。Illion 独有占比为 52.78%，finv 独有占比为 0.00%。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Donations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$2,380.02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Donations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Retail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$68.50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Donations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$200.00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Donations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Entertainment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$15.00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1.75%，debit 方向占 98.25%；合计差异金额 $2,663.52。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2026-03-12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2447257 M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PCYCCABOOLTURE EAST MILTON QL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$165.67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SP DIABETES WA SUBIACO AUS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$114.40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2026-07-09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PCYCCABOOLTURE EAST MILTON QL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$104.72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2026-07-10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PCYCCABOOLTURE EAST MILTON QL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$101.68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 → （空）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Donations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Donations 类别一致率（类别并集）为 47.22%，并集占全部交易的 0.09%；方向以 debit（支出）为主，占 98.25%。单边差异明显偏向 Illion 一侧：Illion 独有识别占比 52.78%，显著高于 finv 独有占比 0.00%。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Donations 相关差异占全部差异的 0.24%。差异流向以 Donations → （空） 为主（占 Donations 相关差异的 84.21%）；Illion 单边识别（Donations → 仅 Illion 有值）占 84.21%。综合来看，Donations 差异的主因是 finv 对捐赠类交易的识别覆盖不足（84.21% 的捐赠相关差异仅 Illion 识别、finv 无分类），方向与其他红灯类别相反，是 Illion 覆盖面更广的典型。鉴于体量较小（并集占全部交易的 0.09%），建议在 finv 侧补充捐赠相关商户/关键词后复核。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3.2.6 Automotive 专项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Automotive的一致率 77.77%，核心矛盾是两侧对「Automotive」的分类边界不一致，差异主要集中在 （空） → Automotive 流向（占全部差异的 0.95%、金额 $19,390.63）。典型样本「Angle Auto Fianace , Repayment」两侧分类为 （空） → Automotive（$2,438.38），与上述判断一致。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汽车相关支出，如加油、维修、停车、车险以外的车辆费用。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2.81%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2.79%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3.15%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2.45%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77.77%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11.44%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10.79%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2.81%，finv 覆盖率为 2.79%；并集占全部交易 3.15%，交集占全部交易 2.45%，一致率（类别并集）为 77.77%。Illion 独有占比为 11.44%，finv 独有占比为 10.79%。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0.95%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$19,390.63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0.69%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$10,049.93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Groceries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0.40%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$2,756.58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Entertainment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0.33%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$1,026.03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$2,944.25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7.50%，debit 方向占 92.50%；合计差异金额 $54,633.66。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2026-07-18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Angle Auto Fianace , Repayment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$2,438.38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 → Automotive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2026-05-07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EFTPOS BNEMOTORCYCLEWINDSR\WIN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$2,371.50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Automotive → （空）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2026-03-25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WITHDRAWAL-OSKO PAYMENT 161809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Osko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$1,059.53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Automotive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2026-05-29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Eftpos smp*augusta undercar \p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AUGUSTA UNDERC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$1,041.91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Automotive → Retail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2026-03-31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2534888 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CAR SERVICE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$900.00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All Other Credits → Automotive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Automotive 差异分析总结：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Automotive 类别一致率（类别并集）为 77.77%，并集占全部交易的 3.15%；方向以 debit（支出）为主，占 92.50%。单边差异两侧接近（Illion 独有 11.44%，finv 独有 10.79%）。</w:t>
      </w:r>
    </w:p>
    <w:p>
      <w:pPr>
        <w:spacing w:after="6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Automotive 相关差异占全部差异的 3.58%。差异流向以 （空） → Automotive 为主（占 Automotive 相关差异的 26.49%）；finv 单边识别（仅 finv 有值 → Automotive）占 26.49%；Illion 单边识别（Automotive → 仅 Illion 有值）占 19.23%；转账类流入（External Transfers / Internal Transfer → Automotive）占 7.97%。综合来看，Automotive 差异没有单一主因，表现为汽车相关消费（油费、养护、车险等）在两侧知识库中的归属规则存在系统性边界分歧：主要流向为 Groceries ↔ Automotive（合计占 18.17%）、转账类 ↔ Automotive（合计占 14.42%）、Automotive → Entertainment（占 9.26%），且两侧单边识别均有贡献（finv 单边占 26.49%、Illion 单边占 19.23%）。建议对上述主要流向抽样核验，优先确认 Groceries（商超便利店购车用品）与转账类（转账付车款）的归属规则，再决定是否需要统一。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2"/>
      </w:pPr>
      <w:r>
        <w:rPr>
          <w:rFonts w:ascii="微软雅黑" w:hAnsi="微软雅黑" w:eastAsia="微软雅黑" w:cs="微软雅黑"/>
        </w:rPr>
        <w:t>3.3 转账类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转账类差异主要集中在 External Transfers 和 Internal Transfer，核心差异来自 Illion 对转账类识别范围更广，与 All Other Credits 边界模糊。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转账类包括 External Transfers 与 Internal Transfer，作为中性资金流处理，不计入收入或支出合计，但纳入总体覆盖率、差异率和分类迁移分析。除七项指标外，补充 credit/debit 分布、转入/转出方向，以及与 Wages、All Other Credits、Rent 和另一转账类别的边界分析。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3.3.1 External Transfers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External Transfers的一致率 51.94%，核心矛盾是 Illion 对「External Transfers」识别范围更广，差异主要集中在 External Transfers → Internal Transfer 流向（占全部差异的 14.19%、金额 $628,870.74）。典型样本「Internet Withdrawal 21Feb10:38」两侧分类为 External Transfers → Internal Transfer（$30,000.00），与上述判断一致。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外部转账，与自身账户体系之外的账户之间的资金转移。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17.75%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10.75%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18.75%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9.74%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51.94%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42.69%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5.37%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17.75%，finv 覆盖率为 10.75%；并集占全部交易 18.75%，交集占全部交易 9.74%，一致率（类别并集）为 51.94%。Illion 独有占比为 42.69%，finv 独有占比为 5.37%。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14.19%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$628,870.74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13.72%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$521,212.71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3.65%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$268,897.43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3.40%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$333,012.73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1.98%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$57,879.41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47.29%，debit 方向占 52.71%；合计差异金额 $2,189,921.04。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Withdrawal 21Feb10:38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Withdrawal 21Feb10:50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Deposit 21Feb10:42 Fr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2026-02-12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MEHMET KAYAPIN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MEHMET KAYAPIN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Wages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2026-04-01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TRANSFER FROM MUDGEE SOLDIERS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SOLDIERS CLUB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$15,628.12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Dining Out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3.3.2 Internal Transfer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Internal Transfer的一致率 85.76%，核心矛盾是 finv 对「Internal Transfer」识别范围更广，差异主要集中在 External Transfers → Internal Transfer 流向（占全部差异的 14.19%、金额 $628,870.74）。典型样本「Internet Withdrawal 21Feb10:38」两侧分类为 External Transfers → Internal Transfer（$30,000.00），与上述判断一致。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内部转账，账户体系内部的资金转移（同行账户间划转）。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20.65%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22.88%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23.43%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20.09%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85.76%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2.36%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11.88%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20.65%，finv 覆盖率为 22.88%；并集占全部交易 23.43%，交集占全部交易 20.09%，一致率（类别并集）为 85.76%。Illion 独有占比为 2.36%，finv 独有占比为 11.88%。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14.19%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$628,870.74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1.98%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$57,879.41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0.24%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$7,709.15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$13,417.46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Wages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$31,201.22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43.58%，debit 方向占 56.42%；合计差异金额 $764,646.34。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Withdrawal 21Feb10:38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Withdrawal 21Feb10:50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Deposit 21Feb10:42 Fr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Withdrawal 03Mar14:31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Internet Deposit 03Mar14:31 Qu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Funds Transfer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$10,000.00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Internal Transfer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转账类边界小结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External Transfers 与 Wages：双向混淆，金额分别为 $333,012.73 和 $26,153.88。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External Transfers 与 All Other Credits：双向混淆，金额分别为 $268,897.43 和 $100.00。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External Transfers 与 Rent：双向混淆，金额分别为 $5,515.82 和 $3,680.00。</w:t>
      </w:r>
    </w:p>
    <w:p>
      <w:pPr>
        <w:spacing w:after="4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External Transfers 与 Internal Transfer：双向混淆，金额分别为 $628,870.74 和 $57,879.41。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8"/>
        </w:rPr>
        <w:t>转账与收入（Wages / All Other Credits）的差异集中在 credit 方向，说明「收款入账」场景下转账与收入类别边界是主要混淆点；与 Rent 的差异则出现在 debit 方向，提示租金支付被识别为转账的可能性。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转账类处理原则：作为中性资金流，不并入收入或支出合计，也不计入净收入计算；但纳入总体覆盖率、差异率和分类迁移分析。</w:t>
            </w:r>
          </w:p>
        </w:tc>
      </w:tr>
    </w:tbl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2"/>
      </w:pPr>
      <w:r>
        <w:rPr>
          <w:rFonts w:ascii="微软雅黑" w:hAnsi="微软雅黑" w:eastAsia="微软雅黑" w:cs="微软雅黑"/>
        </w:rPr>
        <w:t>3.4 负债类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负债类差异主要集中在 Non SACC Loans 和 Unknown Loans，核心差异来自 finv 对负债类识别范围更广，与 External Transfers 边界模糊；Debt Consolidation 共识较强（100.00%），风险较低。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负债类共 8 个类别，本报告针对重要类别 SACC Loans、Non SACC Loans、Dishonours、Credit Card Repayments 展开分析（含 Top 差异流向、交易方向、金额与典型样本）；其余 4 个类别（Debt Collection、Overdrawn、Debt Consolidation、Unknown Loans）的七项指标统一汇总于第 4 章附录。贷款生命周期、Counterparty matching、Dishonours 详细案例、Unknown Loans 完整根因和 SACC / Non-SACC 深度交叉矩阵以 Liability 专项报告为准。</w:t>
      </w:r>
    </w:p>
    <w:p>
      <w:pPr>
        <w:pStyle w:val="Heading3"/>
      </w:pPr>
      <w:r>
        <w:rPr>
          <w:rFonts w:ascii="微软雅黑" w:hAnsi="微软雅黑" w:eastAsia="微软雅黑" w:cs="微软雅黑"/>
        </w:rPr>
        <w:t>3.4.1 SACC Loans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SACC Loans的一致率仅 45.00%，核心矛盾是 Illion 对「SACC Loans」识别范围更广，差异主要集中在 SACC Loans → Unknown Loans 流向（占全部差异的 1.72%、金额 $32,225.03）。典型样本「Fundo Loans Auth 180327 VCP 66」两侧分类为 SACC Loans → Unknown Loans（$899.00），与上述判断一致。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SACC 贷款相关交易（银行内贷款产品，含还款与放款）。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1.13%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0.74%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1.29%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45.00%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42.46%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12.54%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1.13%，finv 覆盖率为 0.74%；并集占全部交易 1.29%，交集占全部交易 0.58%，一致率（类别并集）为 45.00%。Illion 独有占比为 42.46%，finv 独有占比为 12.54%。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Unknown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1.72%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$32,225.03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1.07%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$32,060.93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$38,112.52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Dining Out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0.05%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$209.65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$1,212.00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7.41%，debit 方向占 92.59%；合计差异金额 $104,581.78。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2026-07-08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LAT*FUNDOLOANS\LAT*FUNDOL 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Fundo Loans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$2,933.90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MoneySpot Finance INTERNET AUS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MoneySpot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$2,674.82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FROM AUSFINANCIAL PTY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Swoosh Finance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$1,454.34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2026-05-08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VISA DEBIT PURCHASE CARD 6698 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MoneySpot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$1,304.71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2026-06-24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PAYMENT FROM MME-10002959729 C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MoneyMe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$1,000.00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3.4.2 Credit Card Repayments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Credit Card Repayments的一致率 59.85%，核心矛盾是 finv 对「Credit Card Repayments」识别范围更广，差异主要集中在 External Transfers → Credit Card Repayments 流向（占全部差异的 1.64%、金额 $54,136.31）。典型样本「IB TRANSFER 1038441435 TO 306-」两侧分类为 External Transfers → Credit Card Repayments（$3,822.85），与上述判断一致。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信用卡还款类交易。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0.58%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0.95%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0.96%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0.57%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59.85%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7"/>
              </w:rPr>
              <w:t>39.38%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0.58%，finv 覆盖率为 0.95%；并集占全部交易 0.96%，交集占全部交易 0.57%，一致率（类别并集）为 59.85%。Illion 独有占比为 0.77%，finv 独有占比为 39.38%。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1.64%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$54,136.31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$13,417.46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Department Stores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$503.53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$190.40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Automotive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$445.88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0.21%，debit 方向占 99.79%；合计差异金额 $69,344.99。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2026-02-13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IB TRANSFER 998467902 TO 306-8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Bankwest Credi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$4,011.24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Internal Transfer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2026-07-29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IB TRANSFER 1038441435 TO 306-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Bankwest Credi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$3,822.85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2026-03-13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IB TRANSFER 1005297336 TO 306-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Bankwest Credi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$3,713.00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2026-04-15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IB TRANSFER 1012957371 TO 306-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Bankwest Credi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$3,538.73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Credit Card Repayments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2026-06-25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IB TRANSFER 1030097812 TO 306-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Bankwest Credi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$3,232.00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 → Credit Card Repayments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3.4.3 Non SACC Loans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Non SACC Loans的一致率 89.00%，核心矛盾是两侧对「Non SACC Loans」的分类边界不一致，差异主要集中在 Non SACC Loans → Unknown Loans 流向（占全部差异的 3.40%、金额 $68,109.17）。典型样本「Pepper Asset Finance CommBank 」两侧分类为 Non SACC Loans → Unknown Loans（$1,500.00），与上述判断一致。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非 SACC 贷款相关交易（其他贷款产品）。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10.82%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10.30%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11.17%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9.94%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89.00%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7.83%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3.17%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10.82%，finv 覆盖率为 10.30%；并集占全部交易 11.17%，交集占全部交易 9.94%，一致率（类别并集）为 89.00%。Illion 独有占比为 7.83%，finv 独有占比为 3.17%。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Unknown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3.40%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$68,109.17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1.07%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$32,060.93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$38,112.52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$15,372.39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$10,311.30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14.02%，debit 方向占 85.98%；合计差异金额 $251,015.13。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2026-07-24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TRANSFER CREDIT Sunshine Depos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 xml:space="preserve">Miscellaneous 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2026-07-21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2372086 J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DEPOSIT-OSKO PAYMENT 2675499 J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（空）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$3,500.00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All Other Credits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2026-05-22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WITHDRAWAL-OSKO PAYMENT 164413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Osko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$3,150.00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External Transfers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2026-07-08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LAT*FUNDOLOANS\LAT*FUNDOL 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Fundo Loans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$2,933.90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 → SACC Loans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 w:cs="微软雅黑"/>
        </w:rPr>
        <w:t>3.4.4 Dishonours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Dishonours的一致率 92.63%，共识较强。差异主要集中在 Dishonours → Non SACC Loans 流向（占全部差异的 0.12%、金额 $3,739.98）。典型样本「RVSL Direct Entry Wagepay」两侧分类为 Dishonours → Non SACC Loans（$992.52），与上述判断一致。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类别明细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类别定义：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拒付/退票类交易，如支票退票、直接扣款失败。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核心指标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Illion覆盖率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finv覆盖率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并集占比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交集占比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一致率（类别并集）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Illion独有占比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finv独有占比</w:t>
            </w:r>
          </w:p>
        </w:tc>
      </w:tr>
      <w:tr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1.11%</w:t>
            </w:r>
          </w:p>
        </w:tc>
        <w:tc>
          <w:tcPr>
            <w:tcW w:type="dxa" w:w="107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1.11%</w:t>
            </w:r>
          </w:p>
        </w:tc>
        <w:tc>
          <w:tcPr>
            <w:tcW w:type="dxa" w:w="96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7"/>
              </w:rPr>
              <w:t>92.63%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7.37%</w:t>
            </w:r>
          </w:p>
        </w:tc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0.00%</w:t>
            </w:r>
          </w:p>
        </w:tc>
      </w:tr>
    </w:tbl>
    <w:p>
      <w:pPr>
        <w:spacing w:after="60"/>
      </w:pPr>
      <w:r>
        <w:rPr>
          <w:rFonts w:ascii="微软雅黑" w:hAnsi="微软雅黑" w:eastAsia="微软雅黑" w:cs="微软雅黑"/>
          <w:b/>
          <w:color w:val="222222"/>
          <w:sz w:val="19"/>
        </w:rPr>
        <w:t>指标解读：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Illion 覆盖率为 1.11%，finv 覆盖率为 1.03%；并集占全部交易 1.11%，交集占全部交易 1.03%，一致率（类别并集）为 92.63%。Illion 独有占比为 7.37%，finv 独有占比为 0.00%。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Top 差异流向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$3,739.98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Illion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0.09%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$1,754.12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Subscription TV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$0.00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Insurance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$72.00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Dishonours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Gyms and other memberships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0.03%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$18.00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交易方向与金额：</w:t>
      </w:r>
      <w:r>
        <w:rPr>
          <w:rFonts w:ascii="微软雅黑" w:hAnsi="微软雅黑" w:eastAsia="微软雅黑" w:cs="微软雅黑"/>
          <w:b w:val="0"/>
          <w:color w:val="222222"/>
          <w:sz w:val="19"/>
        </w:rPr>
        <w:t>差异样本中 credit 方向占 87.00%，debit 方向占 13.00%；合计差异金额 $5,875.05。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典型交易样本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交易描述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对手方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金额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→ finv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2026-05-08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RVSL Direct Entry Wagepay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Wagepay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$992.52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2026-03-03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RVSL Direct Entry LATITUDE LOA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Latitude Finan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2026-02-02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RVSL Direct Entry LATITUDE LOA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Latitude Finan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$440.70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2026-05-14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RVSL Direct Entry MyPayNow Pay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MyPayNow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$284.12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 → Non SACC Loans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2026-06-04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RVSL Direct Entry MyPayNow Pay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MyPayNow</w:t>
            </w:r>
          </w:p>
        </w:tc>
        <w:tc>
          <w:tcPr>
            <w:tcW w:type="dxa" w:w="850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$283.56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 → Non SACC Loans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负债板块差异排名与 Top 差异流向：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排名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Illion 类别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finv 类别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差异类型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占差异总数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差异金额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Unknown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3.40%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$68,109.17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Unknown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1.72%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$32,225.03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1.64%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$54,136.31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1.07%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$32,060.93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0.71%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$38,112.52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6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Internal Transfer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Credit Card Repayments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0.23%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$13,417.46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7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双方分类不一致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0.20%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$15,372.39</w:t>
            </w:r>
          </w:p>
        </w:tc>
      </w:tr>
      <w:tr>
        <w:tc>
          <w:tcPr>
            <w:tcW w:type="dxa" w:w="62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（空）</w:t>
            </w:r>
          </w:p>
        </w:tc>
        <w:tc>
          <w:tcPr>
            <w:tcW w:type="dxa" w:w="204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仅 finv 有值</w:t>
            </w:r>
          </w:p>
        </w:tc>
        <w:tc>
          <w:tcPr>
            <w:tcW w:type="dxa" w:w="130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0.18%</w:t>
            </w:r>
          </w:p>
        </w:tc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$10,311.30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2C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24" w:color="C98200"/>
            </w:tcBorders>
          </w:tcPr>
          <w:p>
            <w:pPr>
              <w:spacing w:after="0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9"/>
              </w:rPr>
              <w:t>负债类的详细根因分析（贷款生命周期、Counterparty matching、Dishonours 案例、Unknown Loans 根因）以已有 Liability 专项报告为准，本报告仅保留重要负债类别的展开分析、板块差异排名与类别侧定位。</w:t>
            </w:r>
          </w:p>
        </w:tc>
      </w:tr>
    </w:tbl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2"/>
      </w:pPr>
      <w:r>
        <w:rPr>
          <w:rFonts w:ascii="微软雅黑" w:hAnsi="微软雅黑" w:eastAsia="微软雅黑" w:cs="微软雅黑"/>
        </w:rPr>
        <w:t>3.5 跨板块优化建议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综合全景差异结构与类别细探，建议按以下优先级推进优化：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观察方向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建议动作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数据依据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验证 finv 新增识别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抽样核验仅 finv 有值分类占比（30.01%）是否合理，区分覆盖扩展与归类分歧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All Other Credits、Retail、Dining Out、Unknown Loans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优化转账边界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拆分 credit/debit 处理，明确转账与收入（Wages / All Other Credits）的识别优先级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 → Internal Transfer（14.19%）、External Transfers → All Other Credits（3.65%）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优化贷款类别边界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核对 Non SACC / SACC Loans 与 Unknown Loans 的知识库与别名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Non SACC Loans → Unknown Loans（3.40%）、SACC Loans → Unknown Loans（1.72%）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优化 Rent 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核对 Rent 与转账、Utilities、Home Improvement 的规则边界，建立 Rent 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External Transfers → Rent（0.05%） 等流向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P2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优化高频消费边界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针对 Groceries、Dining Out、Retail、Automotive、Gambling 建立规则回归集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Groceries → Dining Out（0.42%）、Groceries → Retail（0.05%）、Groceries → Automotive（0.40%）</w:t>
            </w:r>
          </w:p>
        </w:tc>
      </w:tr>
      <w:tr>
        <w:tc>
          <w:tcPr>
            <w:tcW w:type="dxa" w:w="79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P3</w:t>
            </w:r>
          </w:p>
        </w:tc>
        <w:tc>
          <w:tcPr>
            <w:tcW w:type="dxa" w:w="181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其余类别复核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低并集占比类别的比例指标结合样本量解读，重点核对占比指标异常的类别（见第 4 章附录）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7"/>
              </w:rPr>
              <w:t>附录各类别核心占比指标</w:t>
            </w:r>
          </w:p>
        </w:tc>
      </w:tr>
    </w:tbl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后续迭代建议：每次模型或知识库更新后，重新计算 36 个类别的核心占比指标，并重点监控一致率（类别并集）、并集占比、finv 独有占比、Illion 独有占比以及 Rent 和转账类的差异流向变化。</w:t>
      </w:r>
    </w:p>
    <w:p>
      <w:r>
        <w:rPr>
          <w:rFonts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微软雅黑" w:hAnsi="微软雅黑" w:eastAsia="微软雅黑" w:cs="微软雅黑"/>
        </w:rPr>
        <w:t>4. 附录：分类别指标明细与汇总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222222"/>
          <w:sz w:val="19"/>
        </w:rPr>
        <w:t>4.1 为 36 个类别的七项指标全量明细；4.2 为支出类中除 Rent、Gambling 专项外的其余 21 个类别（其中 Retail、Information、Donations、Automotive 已在 3.2.3–3.2.6 专项展开，此处保留指标汇总与建议优先级）；4.3 为负债类其余 4 个类别。三节均用于快速排查与规则核对，指标口径与第 2 章、第 3 章完全一致。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20"/>
        </w:rPr>
        <w:t>4.1 分类别指标全量明细（36 个类别）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收入类：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All Other Credits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1.86%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14.08%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21.63%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64.29%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Wages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1.54%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3.04%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47.71%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1.98%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50.30%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Centrelink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94.61%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3.43%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1.96%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支出类：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0.28%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21.30%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78.42%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27.37%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10.84%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61.79%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43.46%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10.67%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45.87%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47.22%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52.78%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59.36%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17.15%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23.49%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61.15%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38.04%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61.59%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12.05%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64.85%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9.39%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25.77%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66.26%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4.29%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29.45%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71.03%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22.96%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73.65%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22.25%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4.10%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75.95%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16.03%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8.02%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77.11%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16.29%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6.60%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2.79%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77.77%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11.44%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10.79%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78.95%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17.76%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3.29%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8.13%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82.21%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9.42%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8.37%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Gambling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84.53%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3.12%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12.34%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86.31%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13.58%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7.27%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89.03%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5.54%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5.43%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0.71%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92.17%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7.13%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93.25%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1.80%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4.95%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94.91%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2.59%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2.50%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96.41%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2.79%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转账类：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External Transfers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17.75%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10.75%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51.94%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42.69%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5.37%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Internal Transfer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20.65%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22.88%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85.76%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2.36%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11.88%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19"/>
        </w:rPr>
        <w:t>负债类：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 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 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100.00%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1.13%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45.00%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42.46%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12.54%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Credit Card Repayments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0.58%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0.95%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59.85%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0.77%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39.38%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83.87%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11.83%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Non SACC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10.82%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10.30%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89.00%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7.83%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3.17%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Dishonours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1.11%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92.63%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7.37%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99.76%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100.00%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20"/>
        </w:rPr>
        <w:t>4.2 支出类其余类别（21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Information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0.28%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21.30%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78.42%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Education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27.37%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10.84%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61.79%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Retail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43.46%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10.67%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45.87%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Donations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47.22%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52.78%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Gyms and other memberships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59.36%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17.15%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23.49%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Subscription TV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1.26%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61.15%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38.04%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Entertainment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61.59%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12.05%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26.36%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Utilities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64.85%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9.39%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25.77%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Pet Care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66.26%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4.29%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29.45%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Travel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0.29%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71.03%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22.96%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Insurance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0.54%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73.65%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22.25%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4.10%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Personal Care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75.95%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16.03%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8.02%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Health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0.74%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77.11%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16.29%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6.60%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Automotive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2.81%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2.79%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77.77%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11.44%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10.79%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Home Improvement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78.95%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17.76%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3.29%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Dining Out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8.13%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82.21%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9.42%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8.37%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P1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Fees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1.36%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1.57%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86.31%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0.10%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13.58%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Groceries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7.28%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7.27%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89.03%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5.54%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5.43%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P2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Transport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1.95%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2.02%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93.25%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1.80%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4.95%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Telecommunications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94.91%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2.59%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2.50%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Department Stores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0.60%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96.41%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2.79%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0.80%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40"/>
      </w:pPr>
      <w:r>
        <w:rPr>
          <w:rFonts w:ascii="微软雅黑" w:hAnsi="微软雅黑" w:eastAsia="微软雅黑" w:cs="微软雅黑"/>
          <w:b/>
          <w:color w:val="222222"/>
          <w:sz w:val="20"/>
        </w:rPr>
        <w:t>4.3 负债类其余类别（4 个）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Illion覆盖率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finv覆盖率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一致率（类别并集）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Illion独有占比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finv独有占比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6"/>
              </w:rPr>
              <w:t>建议优先级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Unknown Loans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1.04%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C00000"/>
                <w:sz w:val="16"/>
              </w:rPr>
              <w:t>100.00%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Debt Collection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0.22%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83.87%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11.83%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4.30%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Overdrawn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0.34%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99.76%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0.24%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  <w:tr>
        <w:tc>
          <w:tcPr>
            <w:tcW w:type="dxa" w:w="158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Debt Consolidation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0.01%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/>
                <w:color w:val="217A57"/>
                <w:sz w:val="16"/>
              </w:rPr>
              <w:t>100.00%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136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0.00%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shd w:val="clear" w:color="auto" w:fill="F2F2F2"/>
          </w:tcPr>
          <w:p>
            <w:pPr>
              <w:spacing w:after="0"/>
              <w:jc w:val="left"/>
            </w:pPr>
            <w:r>
              <w:rPr>
                <w:rFonts w:ascii="微软雅黑" w:hAnsi="微软雅黑" w:eastAsia="微软雅黑" w:cs="微软雅黑"/>
                <w:b w:val="0"/>
                <w:color w:val="222222"/>
                <w:sz w:val="16"/>
              </w:rPr>
              <w:t>P3</w:t>
            </w:r>
          </w:p>
        </w:tc>
      </w:tr>
    </w:tbl>
    <w:p>
      <w:pPr>
        <w:spacing w:after="120"/>
      </w:pPr>
      <w:r>
        <w:rPr>
          <w:rFonts w:ascii="微软雅黑" w:hAnsi="微软雅黑" w:eastAsia="微软雅黑" w:cs="微软雅黑"/>
          <w:b w:val="0"/>
          <w:color w:val="595959"/>
          <w:sz w:val="17"/>
        </w:rPr>
        <w:t>附录口径说明：并集占比（占全部交易）= 该类别的并集交易 / 全部交易；一致率（类别并集）= 交集 / 该类别并集；Illion 独有占比 / finv 独有占比 = 单侧识别的差异交易占该类别的比例。两侧分类不同的交易会在两个类别的并集中重复计入，故类别一致率不可直接加总为总体覆盖调整后一致率（79.44%，总体按交易级去重）。建议优先级来自底稿「建议优先级」列，缺失时以「-」表示。红绿灯标记：红字（加粗）= 红灯指标（一致率（类别并集）&lt; 50% 或独有占比 &gt; 30%）；绿字（加粗）= 绿灯指标（一致率（类别并集）&gt; 80%）。</w:t>
      </w:r>
    </w:p>
    <w:sectPr w:rsidR="00FC693F" w:rsidRPr="0006063C" w:rsidSect="00034616">
      <w:footerReference w:type="default" r:id="rId9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595959"/>
        <w:sz w:val="16"/>
      </w:rPr>
      <w:t xml:space="preserve">BS-CAT 全分类类别表现分析报告 | 数据来源: category_difference_report_100.xlsx | 第 </w:t>
    </w:r>
    <w:r>
      <w:rPr>
        <w:rFonts w:ascii="微软雅黑" w:hAnsi="微软雅黑" w:eastAsia="微软雅黑" w:cs="微软雅黑"/>
        <w:b w:val="0"/>
        <w:color w:val="595959"/>
        <w:sz w:val="16"/>
      </w:rPr>
      <w:fldChar w:fldCharType="begin"/>
      <w:instrText xml:space="preserve">PAGE</w:instrText>
      <w:fldChar w:fldCharType="end"/>
    </w:r>
    <w:r>
      <w:rPr>
        <w:rFonts w:ascii="微软雅黑" w:hAnsi="微软雅黑" w:eastAsia="微软雅黑" w:cs="微软雅黑"/>
        <w:b w:val="0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微软雅黑" w:hAnsi="微软雅黑" w:eastAsia="微软雅黑" w:cs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BS-CAT 全分类类别表现分析报告</dc:title>
  <dc:subject/>
  <dc:creator>BS-CAT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