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  <w:r>
        <w:rPr>
          <w:rFonts w:ascii="微软雅黑" w:hAnsi="微软雅黑" w:eastAsia="微软雅黑"/>
          <w:b w:val="0"/>
          <w:color w:val="222222"/>
          <w:sz w:val="20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BS-CAT 全分类类别表现分析报告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Income, Expense, Transfer and Liability Category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样本范围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分类范围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比较对象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报告日期</w:t>
            </w:r>
          </w:p>
        </w:tc>
      </w:tr>
      <w:tr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121,845 笔交易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36 个类别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illion vs finv / BS-CAT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2026-08-19</w:t>
            </w:r>
          </w:p>
        </w:tc>
      </w:tr>
    </w:tbl>
    <w:p>
      <w:pPr>
        <w:spacing w:after="240"/>
      </w:pPr>
      <w:r>
        <w:rPr>
          <w:rFonts w:ascii="微软雅黑" w:hAnsi="微软雅黑" w:eastAsia="微软雅黑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本报告由数据底稿 category_difference_report_100(1).xlsx 自动生成，覆盖收入、支出、转账、负债四大业务板块共 36 个类别。所有数字均从底稿动态计算；负债部分保留类别指标摘要，不重复展开已有 Liability 专项报告。</w:t>
            </w:r>
          </w:p>
        </w:tc>
      </w:tr>
    </w:tbl>
    <w:p>
      <w:pPr>
        <w:spacing w:after="240"/>
      </w:pPr>
      <w:r>
        <w:rPr>
          <w:rFonts w:ascii="微软雅黑" w:hAnsi="微软雅黑" w:eastAsia="微软雅黑"/>
          <w:b w:val="0"/>
          <w:color w:val="222222"/>
          <w:sz w:val="20"/>
        </w:rPr>
      </w:r>
    </w:p>
    <w:p>
      <w:pPr>
        <w:spacing w:after="120"/>
      </w:pPr>
      <w:r>
        <w:rPr>
          <w:rFonts w:ascii="微软雅黑" w:hAnsi="微软雅黑" w:eastAsia="微软雅黑"/>
          <w:b/>
          <w:color w:val="2E74B5"/>
          <w:sz w:val="24"/>
        </w:rPr>
        <w:t>数据来源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9"/>
        </w:rPr>
        <w:t>Excel 底稿：00_核心对比（核心指标与逐类别指标）、01_差异诊断地图（Top 20 差异流向）、03_排查明细（29,963 笔差异明细，含金额与交易方向）。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21"/>
        </w:rPr>
        <w:t>本次评估覆盖 121,845 笔交易和 36 个类别，涉及收入、支出、负债三大业务板块，并将 External Transfers 与 Internal Transfer 作为独立的转账板块分析。Illion 分类覆盖率为 89.34%，finv 分类覆盖率为 90.02%，finv 的覆盖范围高于 Illion；在双方均有非空分类的 102,536 笔交易中，分类一致率达到 89.05%，说明双方在已完成分类的交易上具有较高的一致性。总体来看，finv 的主要特征是覆盖更广，但覆盖面扩大也带来了更多差异；当前 24,697 笔差异中，双方分类不一致占 45.45%、仅 finv 有值占 28.97%、仅 Illion 有值占 25.59%——「双方分类不一致」是第一大差异来源，「仅 finv 有值」次之；差异主要集中在转账类、高频消费类和部分负债类，其中 Rent 作为支出类别需要进行专项关注。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本段为报告的核心结论：样本规模与类别范围、两侧覆盖率、双方非空一致率，以及主要差异来源。</w:t>
            </w:r>
          </w:p>
        </w:tc>
      </w:tr>
    </w:tbl>
    <w:p>
      <w:r>
        <w:br w:type="page"/>
      </w:r>
    </w:p>
    <w:p>
      <w:pPr>
        <w:pStyle w:val="Heading1"/>
      </w:pPr>
      <w:r>
        <w:t>2. 覆盖与一致全景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本部分自顶向下展示覆盖与一致情况：先看总体，再看业务板块，最后拆解到类别。覆盖率的含义是「Illion / finv 识别为某个类别的交易占总交易的比例」；一致率的含义是「双方分类一致（类别完全相同）的交易占至少一侧有分类交易的比例」。覆盖与一致的情况清楚后，第 3 章进入类别细探，第 4 章再进入差异分析。</w:t>
      </w:r>
    </w:p>
    <w:p>
      <w:pPr>
        <w:pStyle w:val="Heading2"/>
      </w:pPr>
      <w:r>
        <w:t>2.1 总体覆盖与一致率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总交易数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121,845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输入数据总行数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Illion 覆盖率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89.34%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Illion 有分类交易 / 总交易数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覆盖率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90.02%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有分类交易 / 总交易数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覆盖差（finv − Illion）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0.69%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高于 Illion 的幅度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双方均有分类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102,536 笔（84.15%）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双方分类均非空的交易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双方非空一致率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89.05%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类别一致 / 双方均有分类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覆盖调整后一致率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78.71%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类别一致 / 至少一侧有分类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差异率（至少一侧有分类）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21.29%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差异总数 / 至少一侧有分类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总体口径：finv 覆盖率（90.02%）高于 Illion（89.34%）约 0.69%；双方均有分类的交易占 84.15%，其中类别一致率为 89.05%。若把单边缺失也计入差异（覆盖调整后一致率 78.71%、差异率 21.29%），可以理解为：在至少一侧有分类的交易中，平均每 5 笔约有 1 笔存在分类差异，差异以双方分类不一致为主（占 45.45%）。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核心结论：finv 覆盖更广（覆盖差 0.69%），双方共同识别范围内的类别一致率较高（89.05%）；但把单边识别也纳入口径后，一致率降至 78.71%、差异率升至 21.29%，即平均每 5 笔至少一侧有分类的交易中约有 1 笔存在分类差异。差异构成上，双方分类不一致占 45.45%、仅 finv 有值占 28.97%、仅 Illion 有值占 25.59%：「双方分类不一致」是第一差异源，「仅 finv 有值」是第二差异源，两者合计占差异约 74.41%。</w:t>
            </w:r>
          </w:p>
        </w:tc>
      </w:tr>
    </w:tbl>
    <w:p>
      <w:pPr>
        <w:pStyle w:val="Heading2"/>
      </w:pPr>
      <w:r>
        <w:t>2.2 业务板块覆盖与一致率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36 个类别划分为收入类（3）、支出类（23）、转账类（2）、负债类（8）。转账类作为中性资金流独立统计，不并入收入或支出。板块一致率以「至少一侧识别为该板块」为分母（并集口径），与总体覆盖调整后一致率对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业务板块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类别数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覆盖率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一致率（类别精确）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一致率（同板块）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板块并集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收入类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2.72%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5.14%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38.81%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38.81%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6,896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支出类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34.02%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36.13%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76.44%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76.44%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48,442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转账类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38.39%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34.39%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69.99%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69.99%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52,165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负债类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14.21%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14.37%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76.57%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76.63%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19,718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7"/>
        </w:rPr>
        <w:t>「一致率（类别精确）」= 双方类别完全一致 / 至少一侧识别为该板块；「一致率（同板块）」= 双方同属该板块（类别可以不同）/ 至少一侧识别为该板块，口径更宽松。板块并集因跨板块交易存在重叠，各板块一致率不与总体直接加总；本表用于板块间横向比较。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核心结论：负债类一致率最高（精确 76.57% / 同板块 76.63%），是两侧共识最强的板块；收入类一致率最低（38.81%），finv 覆盖率（5.14%）已高于 Illion（2.72%），finv 新增识别的交易与 Illion 归属不一致是低一致率的主因（finv 独有差异占板块差异 73.16%）；该板块交易体量较小（板块并集 6,896，占总量 5.66%），影响面有限。转账类覆盖体量最大（板块并集 52,165，Illion 38.39% / finv 34.39%），细分差异也最集中（占全部差异 41.58%）。Illion 覆盖高于 finv 的板块为转账类（差 4.01%）；覆盖差最大的板块为转账类（4.01%），反映两侧覆盖口径分歧的主要所在。</w:t>
            </w:r>
          </w:p>
        </w:tc>
      </w:tr>
    </w:tbl>
    <w:p>
      <w:pPr>
        <w:pStyle w:val="Heading2"/>
      </w:pPr>
      <w:r>
        <w:t>2.3 分类别覆盖与一致率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36 个类别按业务板块逐一展示覆盖率和一致率（一致率 = 交集数量 / 并集数量，即双方类别完全一致的比例）。该表是覆盖与一致的完整清单；重要类别的详细分析见第 3 章，其余类别统一在第 5 章附录展示七项指标汇总。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收入类：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一致率（交集/并集）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2.76%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12.53%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3,910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490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69.82%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2,578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1,800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Centrelink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0.33%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94.61%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408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386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支出类：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一致率（交集/并集）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Information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0.19%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1,075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Education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26.36%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368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97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Retail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1.22%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43.71%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2,720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1,189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Donations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47.22%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Utilities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48.29%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586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283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Gyms and other memberships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49.16%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958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Insurance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56.09%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681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382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Subscription TV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1.26%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2.02%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61.19%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2,481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1,518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Entertainment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61.63%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461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Pet Care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67.09%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106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Travel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0.29%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70.82%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466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330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Personal Care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75.85%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358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Health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76.60%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970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743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Automotive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2.81%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2.77%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77.37%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3,832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2,965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Home Improvement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79.14%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302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239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3.75%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3.99%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80.92%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5,216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4,221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8.22%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8.11%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82.30%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10,917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8,985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83.66%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727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Fees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1.36%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86.31%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1,914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1,652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Telecommunications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86.50%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1,000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865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Groceries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7.28%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7.26%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89.19%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9,363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8,351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Transport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92.72%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2,487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2,306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Department Stores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0.61%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96.54%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751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725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转账类：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一致率（交集/并集）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17.75%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11.50%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50.89%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23,616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12,019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20.65%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22.88%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85.79%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28,549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24,491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负债类：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一致率（交集/并集）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1,271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0.58%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30.57%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1,168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357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1.13%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44.72%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1,581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707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Debt Collection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83.87%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234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10.82%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10.32%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88.79%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13,644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12,114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1.11%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1.03%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92.63%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1,356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1,256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Overdrawn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99.76%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418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Debt Consolidation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核心结论：并集超过 500 且一致率低于 50% 的类别是优化优先项，一致率最低的五个依次为 Unknown Loans（一致率 0.00%，并集 1,271）、Information（一致率 0.28%，并集 1,075）、All Other Credits（一致率 12.53%，并集 3,910）、Credit Card Repayments（一致率 30.57%，并集 1,168）、Retail（一致率 43.71%，并集 2,720）；一致率最高的三个为 Department Stores（96.54%）、Transport（92.72%）、Dishonours（92.63%），多为规则清晰的负债与固定支出类别。Illion 覆盖为 0 的类别：Unknown Loans，属于 Illion 侧覆盖缺口。</w:t>
            </w:r>
          </w:p>
        </w:tc>
      </w:tr>
    </w:tbl>
    <w:p>
      <w:r>
        <w:br w:type="page"/>
      </w:r>
    </w:p>
    <w:p>
      <w:pPr>
        <w:pStyle w:val="Heading1"/>
      </w:pPr>
      <w:r>
        <w:t>3. 分业务板块的类别细探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20"/>
        </w:rPr>
        <w:t>本部分回答：每个板块中，哪些类别稳定？哪些类别存在单边覆盖？哪些类别需要进一步排查？每个类别统一使用以下七项指标：① Illion 覆盖率；② finv 覆盖率；③ 并集数量；④ 交集数量；⑤ 交集占比（并集）；⑥ Illion 独有占比；⑦ finv 独有占比。</w:t>
      </w:r>
    </w:p>
    <w:p>
      <w:pPr>
        <w:pStyle w:val="Heading2"/>
      </w:pPr>
      <w:r>
        <w:t>3.1 收入类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收入类包括 Wages、Centrelink、All Other Credits。重点分析：Wages 与 All Other Credits 的边界、收入与 External Transfers 的边界、credit/debit 方向，以及 finv 独有收入识别是否合理。</w:t>
      </w:r>
    </w:p>
    <w:p>
      <w:pPr>
        <w:pStyle w:val="Heading3"/>
      </w:pPr>
      <w:r>
        <w:t>Category: All Other Credits（收入类）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类别业务定义：其他贷方入账，非工资、非福利的杂项收款与退款。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0.85%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2.76%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3,910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490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12.53%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13.86%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73.61%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0.85%，finv 覆盖率为 2.76%；并集为 3,910 笔，交集为 490 笔，交集占比为 12.53%。Illion 独有占比为 13.86%，finv 独有占比为 73.61%。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73.61% 高于 Illion 独有占比 13.86%），finv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379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1.53%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$177,896.14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NEXTBET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$6,139.84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ACCESSPAY JESSIE FREE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$6,672.46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$2,244.74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TAHLIA MASON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$2,750.00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$208,898.70。典型交易样本如下：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2026-07-15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Transfer from ATO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9350.35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$7,054.21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Convera Uk Ltd Bla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6022.25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Convera Uk Ltd Bla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12022.25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Convera Uk Ltd Bla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6375.88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Convera Uk Ltd Bla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6366.07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P1，可结合 Top 差异流向核对规则与知识库。</w:t>
      </w:r>
    </w:p>
    <w:p>
      <w:pPr>
        <w:pStyle w:val="Heading3"/>
      </w:pPr>
      <w:r>
        <w:t>Category: Wages（收入类）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类别业务定义：工资薪金类收入，包括薪资入账、公司发放的工资、奖金、遣散费等。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1.54%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2.05%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2,578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1,800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69.82%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3.14%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27.04%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1.54%，finv 覆盖率为 2.05%；并集为 2,578 笔，交集为 1,800 笔，交集占比为 69.82%。Illion 独有占比为 3.14%，finv 独有占比为 27.04%。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27.04% 高于 Illion 独有占比 3.14%），finv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$22,924.28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$1,586.57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Finance One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$20,803.27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$26,153.88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$71,468.00。典型交易样本如下：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DEPOSIT-OSKO PAYME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7222.85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$7,100.00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2026-02-16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DEPOSIT-OSKO PAYME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6383.49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Deposit 22Jul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4784.57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$4,600.00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Transfer from CBA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3974.74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$4,248.75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Transfer from CBA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4136.50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$4,092.00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Wages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P2，可结合 Top 差异流向核对规则与知识库。</w:t>
      </w:r>
    </w:p>
    <w:p>
      <w:pPr>
        <w:pStyle w:val="Heading3"/>
      </w:pPr>
      <w:r>
        <w:t>Category: Centrelink（收入类）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类别业务定义：政府福利类收入，包括 Centrelink 福利金、政府补贴与救济金。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0.33%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408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386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94.61%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3.43%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1.96%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0.33%，finv 覆盖率为 0.32%；并集为 408 笔，交集为 386 笔，交集占比为 94.61%。Illion 独有占比为 3.43%，finv 独有占比为 1.96%。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差异判断：两侧独有占比较为接近（Illion 独有 3.43%，finv 独有 1.96%），差异更可能来自双方分类边界或规则口径，建议按差异流向逐条核对规则优先级。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$11,590.65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$311.85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$100.00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$12,002.50。典型交易样本如下：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2026-06-19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4215.81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$2,077.32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2026-02-27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3500.38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$2,058.96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2026-04-30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6248.92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$2,058.78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2026-04-02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2807.57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$2,058.62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2026-06-01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1388.54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$2,040.47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类别结论：交集占比较高，双方对该类别的共同识别稳定；并集规模处于中等水平。建议优先级为 P3，可结合 Top 差异流向核对规则与知识库。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收入类边界小结：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8"/>
        </w:rPr>
        <w:t>。收入类差异以 credit 方向为主（收入识别侧），finv 独有收入识别主要落在 All Other Credits，需要抽样核验其交易描述是否符合收入定义。</w:t>
      </w:r>
    </w:p>
    <w:p>
      <w:r>
        <w:br w:type="page"/>
      </w:r>
    </w:p>
    <w:p>
      <w:pPr>
        <w:pStyle w:val="Heading2"/>
      </w:pPr>
      <w:r>
        <w:t>3.2 支出类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支出类共 23 个类别。本报告针对重要类别 Rent 与 Gambling 展开分析（含 Top 差异流向、交易方向、金额与典型样本）；其余 21 个类别的七项指标统一汇总于第 5 章附录。</w:t>
      </w:r>
    </w:p>
    <w:p>
      <w:pPr>
        <w:pStyle w:val="Heading3"/>
      </w:pPr>
      <w:r>
        <w:t>Category: Gambling（支出类）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类别业务定义：博彩类支出，如投注、彩票、赌场交易。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3.75%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3.99%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5,216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4,221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80.92%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6.77%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12.31%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3.75%，finv 覆盖率为 3.99%；并集为 5,216 笔，交集为 4,221 笔，交集占比为 80.92%。Illion 独有占比为 6.77%，finv 独有占比为 12.31%。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12.31% 高于 Illion 独有占比 6.77%），finv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126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0.51%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$37,063.85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$78,407.10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Miscellaneous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$40,186.12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Osko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$631.00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$951.64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$158,506.51。典型交易样本如下：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2026-06-20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Fast Transfer From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19093.98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$15,000.00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Gambling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2026-07-04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Fast Transfer From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6001.00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Gambling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CREDIT 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4000.69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Miscellaneous Funds Transfer → Gambling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2026-04-29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CREDIT Da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3778.87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$3,525.00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Miscellaneous Funds Transfer → Gambling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2026-07-25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Fast Transfer From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6000.93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Gambling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类别结论：双方存在较好的共同覆盖，但仍有一定单边差异；并集规模较大（≥1,000 笔），对总体差异有较高影响。建议优先级为 P1，可结合 Top 差异流向核对规则与知识库。</w:t>
      </w:r>
    </w:p>
    <w:p>
      <w:r>
        <w:br w:type="page"/>
      </w:r>
    </w:p>
    <w:p>
      <w:pPr>
        <w:pStyle w:val="Heading2"/>
      </w:pPr>
      <w:r>
        <w:t>3.2.1 Rent 专项</w:t>
      </w:r>
    </w:p>
    <w:p>
      <w:pPr>
        <w:pStyle w:val="Heading3"/>
      </w:pPr>
      <w:r>
        <w:t>Category: Rent（支出类）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类别业务定义：房租类支出，周期性租金支付。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0.66%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0.65%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869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727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83.66%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9.21%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7.13%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0.66%，finv 覆盖率为 0.65%；并集为 869 笔，交集为 727 笔，交集占比为 83.66%。Illion 独有占比为 9.21%，finv 独有占比为 7.13%。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差异判断：两侧独有占比较为接近（Illion 独有 9.21%，finv 独有 7.13%），差异更可能来自双方分类边界或规则口径，建议按差异流向逐条核对规则优先级。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$20,016.75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Osko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$15,264.84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Direct Debit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$11,742.30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$2,458.82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Money3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$600.00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$50,142.71。典型交易样本如下：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2026-07-20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 CARD PURCHAS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325.33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$2,400.00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2026-03-26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Opening Doors WA 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693.62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$1,950.00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2026-06-12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WITHDRAWAL-OSKO PA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225.99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$1,700.00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2026-05-27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WITHDRAWAL-OSKO PA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$1,700.00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2026-06-04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Opening Doors WA 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12624.94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$1,300.00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Rent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类别结论：双方存在较好的共同覆盖，但仍有一定单边差异；并集规模处于中等水平。建议优先级为 P2，可结合 Top 差异流向核对规则与知识库。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Rent 与相邻类别的差异流向：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8"/>
        </w:rPr>
        <w:t>底稿中未发现 Rent 与上述类别之间的差异流向。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Rent 规则或知识库优化建议：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① 核对 Rent 与转账类的区分规则：外部转账若指向疑似租金收款方（如房产中介、物业管理），应按收款方特征优先识别为 Rent；② 核对 Rent 与 Utilities、Home Improvement 的关键词与商户知识库边界，避免物业账单（含水电网）被拆入 Rent 或反之为 Utilities；③ 对 Rent 类差异建立抽样回归集，将每次知识库更新后的 Rent 交集占比与差异金额纳入监控。</w:t>
      </w:r>
    </w:p>
    <w:p>
      <w:r>
        <w:br w:type="page"/>
      </w:r>
    </w:p>
    <w:p>
      <w:pPr>
        <w:pStyle w:val="Heading2"/>
      </w:pPr>
      <w:r>
        <w:t>3.3 转账类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转账类包括 External Transfers 与 Internal Transfer，作为中性资金流处理，不计入收入或支出合计，但纳入总体覆盖率、差异率和分类迁移分析。除七项指标外，补充 credit/debit 分布、转入/转出方向，以及与 Wages、All Other Credits、Rent 和另一转账类别的边界分析。</w:t>
      </w:r>
    </w:p>
    <w:p>
      <w:pPr>
        <w:pStyle w:val="Heading3"/>
      </w:pPr>
      <w:r>
        <w:t>Category: External Transfers（转账类）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类别业务定义：外部转账，与自身账户体系之外的账户之间的资金转移。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17.75%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11.50%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23,616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12,019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50.89%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40.66%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8.44%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17.75%，finv 覆盖率为 11.50%；并集为 23,616 笔，交集为 12,019 笔，交集占比为 50.89%。Illion 独有占比为 40.66%，finv 独有占比为 8.44%。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Illion 独有为主（Illion 独有占比 40.66% 高于 finv 独有占比 8.44%），提示 finv 可能存在漏识别或归类迁移，建议检查文本清洗、商户覆盖和兜底规则。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3,302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13.37%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$537,072.15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2,048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8.29%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$418,218.84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1,509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6.11%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$336,791.03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Internet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794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3.21%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$41,427.99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646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2.62%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$193,508.68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$1,831,931.76。典型交易样本如下：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Internet Withdrawa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Funds Transfer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Internet Withdrawa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Funds Transfer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Internet Deposit 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30000.43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Funds Transfer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2026-04-01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FROM MUDG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15628.30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$15,628.12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SOLDIERS CLUB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2026-05-25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Surplus, SURPLUS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15547.61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$15,291.31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External Transfers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P1，可结合 Top 差异流向核对规则与知识库。</w:t>
      </w:r>
    </w:p>
    <w:p>
      <w:pPr>
        <w:pStyle w:val="Heading3"/>
      </w:pPr>
      <w:r>
        <w:t>Category: Internal Transfer（转账类）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类别业务定义：内部转账，账户体系内部的资金转移（同行账户间划转）。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20.65%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22.88%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28,549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24,491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85.79%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2.33%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11.88%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20.65%，finv 覆盖率为 22.88%；并集为 28,549 笔，交集为 24,491 笔，交集占比为 85.79%。Illion 独有占比为 2.33%，finv 独有占比为 11.88%。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11.88% 高于 Illion 独有占比 2.33%），finv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432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1.75%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$48,879.26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$7,709.15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Bankwest Credit Card Repayment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$11,017.46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26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$17,662.00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Other Transfers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$5,862.15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$126,011.64。典型交易样本如下：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IB TRANSFER 998467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4094.06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$4,011.24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Other Transfers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IB TRANSFER 998467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-3711.24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$4,011.24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Bankwest Credit Card Repayment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from xx68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2672.55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$2,672.00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COMMBANK APP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IB TRANSFER 995989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-1909.21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$2,630.03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Bankwest Credit Card Repayment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IB TRANSFER 995989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2630.03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$2,630.03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TFC → Internal Transfer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类别结论：双方存在较好的共同覆盖，但仍有一定单边差异；并集规模较大（≥1,000 笔），对总体差异有较高影响。建议优先级为 P2，可结合 Top 差异流向核对规则与知识库。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转账类边界小结：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8"/>
        </w:rPr>
        <w:t>。转账与收入（Wages / All Other Credits）的差异集中在 credit 方向，说明「收款入账」场景下转账与收入类别边界是主要混淆点；与 Rent 的差异则出现在 debit 方向，提示租金支付被识别为转账的可能性。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转账类处理原则：作为中性资金流，不并入收入或支出合计，也不计入净收入计算；但纳入总体覆盖率、差异率和分类迁移分析。</w:t>
            </w:r>
          </w:p>
        </w:tc>
      </w:tr>
    </w:tbl>
    <w:p>
      <w:r>
        <w:br w:type="page"/>
      </w:r>
    </w:p>
    <w:p>
      <w:pPr>
        <w:pStyle w:val="Heading2"/>
      </w:pPr>
      <w:r>
        <w:t>3.4 负债类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负债类共 8 个类别。本报告针对重要类别 SACC Loans、Non SACC Loans、Dishonours、Credit Card Repayments 展开分析（含 Top 差异流向、交易方向、金额与典型样本）；其余 4 个类别（Debt Collection、Overdrawn、Debt Consolidation、Unknown Loans）的七项指标统一汇总于第 5 章附录。贷款生命周期、Counterparty matching、Dishonours 详细案例、Unknown Loans 完整根因和 SACC / Non-SACC 深度交叉矩阵以 Liability 专项报告为准。</w:t>
      </w:r>
    </w:p>
    <w:p>
      <w:pPr>
        <w:pStyle w:val="Heading3"/>
      </w:pPr>
      <w:r>
        <w:t>Category: Credit Card Repayments（负债类）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类别业务定义：信用卡还款类交易。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0.58%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0.67%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1,168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357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30.57%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30.05%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39.38%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0.58%，finv 覆盖率为 0.67%；并集为 1,168 笔，交集为 357 笔，交集占比为 30.57%。Illion 独有占比为 30.05%，finv 独有占比为 39.38%。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39.38% 高于 Illion 独有占比 30.05%），finv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300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1.21%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$53,718.93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Humm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$3,370.00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Direct Debit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$1,004.26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$653.88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BPAY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$428.00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$59,323.07。典型交易样本如下：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2026-03-24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$2,182.31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2026-03-05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99.37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$1,997.10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2026-04-16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-1012.91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$1,410.00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2026-04-16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1064.20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$1,274.00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2026-05-18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$857.00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P2，可结合 Top 差异流向核对规则与知识库。</w:t>
      </w:r>
    </w:p>
    <w:p>
      <w:pPr>
        <w:pStyle w:val="Heading3"/>
      </w:pPr>
      <w:r>
        <w:t>Category: SACC Loans（负债类）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类别业务定义：SACC 贷款相关交易（银行内贷款产品，含还款与放款）。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1.13%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0.75%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1,581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707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44.72%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42.19%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13.09%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1.13%，finv 覆盖率为 0.75%；并集为 1,581 笔，交集为 707 笔，交集占比为 44.72%。Illion 独有占比为 42.19%，finv 独有占比为 13.09%。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Illion 独有为主（Illion 独有占比 42.19% 高于 finv 独有占比 13.09%），提示 finv 可能存在漏识别或归类迁移，建议检查文本清洗、商户覆盖和兜底规则。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Fundo Loans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332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1.34%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$30,826.13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Credit24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$8,835.00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MoneySpot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$8,689.73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Flash Money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$3,292.29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Cash Bridge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$2,789.00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$64,605.96。典型交易样本如下：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Auth 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$899.00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2026-07-27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VISA DEBIT PURCHAS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12.74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$690.00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2026-07-31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CASH LOAN VIC PK22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-237.15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Generic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PAYMENT BY AUTHORI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954.73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$527.27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2026-07-30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Fundo Loans Surry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294.21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SACC Loans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P1，可结合 Top 差异流向核对规则与知识库。</w:t>
      </w:r>
    </w:p>
    <w:p>
      <w:pPr>
        <w:pStyle w:val="Heading3"/>
      </w:pPr>
      <w:r>
        <w:t>Category: Non SACC Loans（负债类）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类别业务定义：非 SACC 贷款相关交易（其他贷款产品）。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10.82%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10.32%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13,644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12,114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88.79%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7.82%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3.39%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10.82%，finv 覆盖率为 10.32%；并集为 13,644 笔，交集为 12,114 笔，交集占比为 88.79%。Illion 独有占比为 7.82%，finv 独有占比为 3.39%。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差异判断：两侧独有占比较为接近（Illion 独有 7.82%，finv 独有 3.39%），差异更可能来自双方分类边界或规则口径，建议按差异流向逐条核对规则优先级。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Corp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352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1.43%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$26,849.37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Sunshine Loans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$13,734.10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Harmoney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$7,201.83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Cash Converters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$3,698.23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MoneySpot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$12,704.10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$158,521.19。典型交易样本如下：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CREDIT Su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3940.42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Miscellaneous Funds Transfer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DEPOSIT-OSKO PAYME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5632.00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2026-05-22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DEPOSIT-OSKO PAYME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4941.26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2026-05-22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WITHDRAWAL-OSKO PA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4508.50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$3,150.00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2026-07-08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LAT*FUNDOLOANS\LAT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1567.89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$2,933.90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Non SACC Loans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类别结论：双方存在较好的共同覆盖，但仍有一定单边差异；并集规模较大（≥1,000 笔），对总体差异有较高影响。建议优先级为 P1，可结合 Top 差异流向核对规则与知识库。</w:t>
      </w:r>
    </w:p>
    <w:p>
      <w:pPr>
        <w:pStyle w:val="Heading3"/>
      </w:pPr>
      <w:r>
        <w:t>Category: Dishonours（负债类）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类别业务定义：拒付/退票类交易，如支票退票、直接扣款失败。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1.11%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1.03%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1,356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1,256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92.63%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7.37%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1.11%，finv 覆盖率为 1.03%；并集为 1,356 笔，交集为 1,256 笔，交集占比为 92.63%。Illion 独有占比为 7.37%，finv 独有占比为 0.00%。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Illion 独有为主（Illion 独有占比 7.37% 高于 finv 独有占比 0.00%），提示 finv 可能存在漏识别或归类迁移，建议检查文本清洗、商户覆盖和兜底规则。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$1,754.12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APPLE COM BILL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Afterpay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Zip Pay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RETURN YOUI PREMIUM SIPPY DOWNS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$63.00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$5,875.05。典型交易样本如下：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2026-05-08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264.81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$992.52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Wagepay → Dishonours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-20.07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$440.70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Latitude Financial → Dishonours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146.33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$440.70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Latitude Financial → Dishonours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2026-05-14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171.05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$284.12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MyPayNow → Dishonours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2026-06-04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380.99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$283.56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MyPayNow → Dishonours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类别结论：交集占比较高，双方对该类别的共同识别稳定；并集规模较大（≥1,000 笔），对总体差异有较高影响。建议优先级为 P3，可结合 Top 差异流向核对规则与知识库。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负债板块差异排名与 Top 差异流向：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Corp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352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1.43%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$26,849.37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Fundo Loans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332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1.34%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$30,826.13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300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1.21%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$53,718.93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Sunshine Loans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$13,734.10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Credit24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$8,835.00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MoneySpot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$8,689.73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Harmoney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$7,201.83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Cash Converters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$3,698.23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负债类的详细根因分析（贷款生命周期、Counterparty matching、Dishonours 案例、Unknown Loans 根因）以已有 Liability 专项报告为准，本报告仅保留重要负债类别的展开分析、板块差异排名与类别侧定位。</w:t>
            </w:r>
          </w:p>
        </w:tc>
      </w:tr>
    </w:tbl>
    <w:p>
      <w:r>
        <w:br w:type="page"/>
      </w:r>
    </w:p>
    <w:p>
      <w:pPr>
        <w:pStyle w:val="Heading2"/>
      </w:pPr>
      <w:r>
        <w:t>3.5 跨板块优化建议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综合全景差异结构与类别细探，建议按以下优先级推进优化：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观察方向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建议动作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数据依据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 finv 新增识别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抽样核验仅 finv 有值分类占比（28.97%）是否合理，区分覆盖扩展与误归类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Credits、Retail、Dining Out、Unknown Loans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优化转账边界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拆分 credit/debit 处理，明确转账与收入（Wages / All Other Credits）的识别优先级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 → Internal Transfer（0 笔 / 0.00%）、External Transfers → All Other Credits（0 笔 / 0.00%）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优化贷款类别边界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核对 Non SACC / SACC Loans 与 Unknown Loans 的知识库与别名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 → Unknown Loans（0 笔 / 0.00%）、SACC Loans → Unknown Loans（0 笔 / 0.00%）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优化 Rent 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核对 Rent 与转账、Utilities、Home Improvement 的规则边界，建立 Rent 回归集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 → Rent（0 笔 / 0.00%） 等流向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优化高频消费边界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针对 Groceries、Dining Out、Retail、Automotive、Gambling 建立规则回归集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Groceries → Dining Out（0 笔 / 0.00%）、Groceries → Retail（0 笔 / 0.00%）、Groceries → Automotive（0 笔 / 0.00%）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其余类别复核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低并集类别的比例指标结合样本量解读，重点核对七项指标异常的类别（见第 5 章附录）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附录各类别七项核心指标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后续迭代建议：每次模型或知识库更新后，重新计算 36 个类别的七项核心指标，并重点监控交集占比、finv 独有占比、Illion 独有占比以及 Rent 和转账类的差异流向变化。</w:t>
      </w:r>
    </w:p>
    <w:p>
      <w:pPr>
        <w:pStyle w:val="Heading1"/>
      </w:pPr>
      <w:r>
        <w:t>4. 差异结构全景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20"/>
        </w:rPr>
        <w:t>在覆盖与一致的基础上，本部分进入差异分析，回答三个问题：差异有多少？差异属于什么类型？差异主要集中在哪些业务板块？</w:t>
      </w:r>
    </w:p>
    <w:p>
      <w:pPr>
        <w:pStyle w:val="Heading2"/>
      </w:pPr>
      <w:r>
        <w:t>4.1 总体差异类型分布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差异类型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占差异总数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分析含义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双方分类不一致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11,224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45.45%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两侧均有分类，但类别标签不同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仅 Illion 有值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6,319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25.59%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侧缺少分类（finv 漏识别）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仅 finv 有值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7,154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28.97%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新增识别或 Illion 漏识别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总差异数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24,697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100.00%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分类不一致与单边缺失的合计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9"/>
        </w:rPr>
        <w:t>另行说明：双方均为空共 5,836 笔，不进入差异分析；仅 finv 有值 （7,154 笔，28.97%）是最大差异来源。</w:t>
      </w:r>
    </w:p>
    <w:p>
      <w:pPr>
        <w:pStyle w:val="Heading2"/>
      </w:pPr>
      <w:r>
        <w:t>4.2 业务板块差异分布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36 个类别划分为四个分析板块：收入类 3 个、支出类 23 个、转账类 2 个、负债类 8 个。转账类不并入收入或支出，作为独立板块分析。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业务板块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类别数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类别范围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分析重点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收入类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Wages、Centrelink、All Other Credits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收入与转账的识别边界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支出类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 个支出类别，其中 Rent 重点分析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高频消费类别之间的分类边界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转账类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Transfers、Internal Transfer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转账与收入、支出的混淆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负债类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 个负债类别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保留总体差异，详细结果引用 Liability 专项报告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板块差异汇总（按任一类别命中该板块统计，板块内各占比均以该板块差异交易数为分母）：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业务板块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差异交易数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占总差异比例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板块内占比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跨板块占比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仅 Illion 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仅 finv 占比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Top 3 差异流向（占板块差异）</w:t>
            </w:r>
          </w:p>
        </w:tc>
      </w:tr>
      <w:t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收入类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637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2.58%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26.84%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73.16%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Credits（占板块差异 59.50%）；NEXTBET → All Other Credits（占板块差异 10.20%）；（空） → Wages（占板块差异 7.69%）</w:t>
            </w:r>
          </w:p>
        </w:tc>
      </w:tr>
      <w:t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4,420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17.90%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43.17%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56.83%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Dining Out（占板块差异 16.74%）；（空） → Groceries（占板块差异 5.90%）；Direct Debit Transfer → Insurance（占板块差异 4.93%）</w:t>
            </w:r>
          </w:p>
        </w:tc>
      </w:tr>
      <w:t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10,268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41.58%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47.08%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52.92%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External Transfers（占板块差异 32.16%）；（空） → External Transfers（占板块差异 19.95%）；Funds Transfer → External Transfers（占板块差异 14.70%）</w:t>
            </w:r>
          </w:p>
        </w:tc>
      </w:tr>
      <w:t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2,219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8.98%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83.06%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16.40%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 Corp → Non SACC Loans（占板块差异 15.86%）；Fundo Loans → SACC Loans（占板块差异 14.96%）；（空） → Credit Card Repayments（占板块差异 13.52%）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7"/>
        </w:rPr>
        <w:t>注：板块内、跨板块、仅 Illion、仅 finv 四类按互斥口径合计为 100%；跨板块差异同时计入两侧板块，因此各板块差异交易数之和大于总差异数；板块交叉矩阵（3.3）为互斥口径，合计等于差异总数。</w:t>
      </w:r>
    </w:p>
    <w:p>
      <w:pPr>
        <w:pStyle w:val="Heading2"/>
      </w:pPr>
      <w:r>
        <w:t>4.3 业务板块交叉矩阵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矩阵只统计差异样本（双方分类不一致、仅 Illion 有值、仅 finv 有值），按行 = Illion 板块、列 = finv 板块互斥拆解，可区分板块内类别边界问题（对角线）、跨板块误分类（非对角线）与单边覆盖问题（末行/末列）。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板块 \ finv 板块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收入类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支出类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转账类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负债类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为空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收入类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支出类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转账类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负债类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Illion 为空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2.58%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17.90%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41.57%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8.93%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28.97%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8"/>
        </w:rPr>
        <w:t>矩阵单元格为占差异总数（24,697 笔）的比例，合计 100.00%，可直接跨单元格对比。对角线为同一板块内的类别冲突；非对角线为跨板块迁移；「Illion 为空」行与「finv 为空」列表示单边覆盖差异。</w:t>
      </w:r>
    </w:p>
    <w:p>
      <w:pPr>
        <w:pStyle w:val="Heading2"/>
      </w:pPr>
      <w:r>
        <w:t>4.4 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类别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类别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差异类型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占差异总数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差异金额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所属板块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Internal Transfer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3,382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13.69%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$628,620.74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转账类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仅 Illion 有值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3,302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13.37%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$537,072.15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（空）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All Other Credits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1,430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5.79%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$378,729.01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收入类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Non SACC Loans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811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3.28%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$68,109.17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仅 Illion 有值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3.00%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$22,143.71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（空）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Retail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452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1.83%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$25,044.83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SACC Loans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1.66%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$32,225.03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 Card Repayments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391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1.58%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$54,136.31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All Other Credits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仅 Illion 有值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379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$177,896.14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收入类 → （空）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SACC Loans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Non SACC Loans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255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1.03%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$32,060.93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243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0.98%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$10,506.97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0.84%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$118,424.22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转账类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Non SACC Loans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SACC Loans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$38,217.71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仅 Illion 有值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0.51%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$37,063.85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（空）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Wages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$136,690.27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收入类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Utilities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0.48%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$6,268.55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Groceries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0.45%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$1,512.18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67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$1,582.20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Automotive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$2,544.25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All Other Credits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$6,539.84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收入类 → 支出类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8"/>
        </w:rPr>
        <w:t>重点关注流向：。其中 Internal Transfer → Wages 与 External Transfers → Rent 未进入 Top 20，但属于收入/房租边界的典型差异，在第 3 章类别细探中展开。</w:t>
      </w:r>
    </w:p>
    <w:p>
      <w:pPr>
        <w:pStyle w:val="Heading2"/>
      </w:pPr>
      <w:r>
        <w:t>4.5 全景层面结论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全景层面，24,697 笔差异占至少一侧有分类交易（116,009 笔）的 21.29%。差异类型上，双方分类不一致 11,224 笔（45.45%），仅 Illion 有值 6,319 笔（25.59%），仅 finv 有值 7,154 笔（28.97%），仅 finv 有值是最大单边差异来源。板块层面，转账类相关差异最集中：External Transfers → Internal Transfer、External Transfers → （空） 与 External Transfers → All Other Credits 三条流向合计 8,114 笔，占差异总数的 32.85%。在双方均有分类的差异中，板块内冲突 12 笔，跨板块迁移 8,755 笔，跨板块迁移主要发生在转账 ↔ 收入（Wages、All Other Credits）与转账 → 支出（Rent、Retail、Health、Gambling 等）方向；负债类差异以贷款类别内部的分类冲突（Non SACC Loans ↔ Unknown Loans、SACC Loans ↔ Unknown Loans）为主。整体优先级：先验证 finv 新增识别的合理性，再优化转账边界规则，并对 Rent、Groceries 等高频消费类别建立专项回归集。</w:t>
      </w:r>
    </w:p>
    <w:p>
      <w:r>
        <w:br w:type="page"/>
      </w:r>
    </w:p>
    <w:p>
      <w:pPr>
        <w:pStyle w:val="Heading1"/>
      </w:pPr>
      <w:r>
        <w:t>5. 附录：其余类别指标汇总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第 4 章未展开的类别（支出类 21 个、负债类 4 个，共 25 个）统一在此展示七项核心指标与建议优先级，用于快速排查与规则核对；指标口径与第 2 章、第 3 章完全一致。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20"/>
        </w:rPr>
        <w:t>5.1 支出类其余类别（21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finv覆盖率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并集数量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交集数量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交集占比（并集）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Information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0.69%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1,075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21.30%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78.42%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Education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368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97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26.36%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11.96%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61.68%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Retail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1.22%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1.99%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2,720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1,189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43.71%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10.74%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45.55%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Donations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0.04%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51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47.22%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52.78%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Utilities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586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283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48.29%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25.94%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25.77%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Gyms and other memberships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0.57%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958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471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49.16%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27.66%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23.17%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Insurance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0.33%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681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382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56.09%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40.09%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3.82%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Subscription TV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1.26%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2.02%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2,481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1,518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61.19%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37.97%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Entertainment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461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61.63%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12.70%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25.67%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Pet Care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106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67.09%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5.70%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27.22%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Travel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466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330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70.82%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6.22%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22.96%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Personal Care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0.32%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358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75.85%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16.53%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7.63%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Health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0.66%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970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743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76.60%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16.80%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6.60%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Automotive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2.81%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2.77%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3,832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2,965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77.37%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11.95%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10.67%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Home Improvement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302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239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79.14%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18.21%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2.65%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8.22%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8.11%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10,917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8,985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82.30%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9.48%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8.22%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P1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Fees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1.36%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1.57%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1,914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1,652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86.31%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13.58%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Telecommunications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0.73%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1,000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86.50%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11.20%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2.30%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Groceries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7.28%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7.26%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9,363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8,351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89.19%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5.58%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5.23%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Transport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1.98%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2,487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2,306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92.72%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2.98%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4.30%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Department Stores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751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725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96.54%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2.93%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0.53%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20"/>
        </w:rPr>
        <w:t>5.2 负债类其余类别（4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finv覆盖率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并集数量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交集数量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交集占比（并集）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1.04%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1,271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100.00%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Debt Collection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279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234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83.87%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11.83%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4.30%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Overdrawn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419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99.76%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Debt Consolidation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7"/>
        </w:rPr>
        <w:t>附录口径说明：并集数量 = 至少一侧识别为该类别的交易数；交集数量 = 双方均识别为该类别且类别一致的交易数；交集占比（并集）= 交集 / 并集；Illion 独有占比 / finv 独有占比 = 单侧识别的差异交易占该类别的比例。建议优先级来自底稿「建议优先级」列，缺失时以「-」表示。</w:t>
      </w:r>
    </w:p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95959"/>
        <w:sz w:val="16"/>
      </w:rPr>
      <w:t xml:space="preserve">BS-CAT 全分类类别表现分析报告 | 数据来源: category_difference_report_100(1).xlsx | 第 </w:t>
    </w:r>
    <w:r>
      <w:rPr>
        <w:rFonts w:ascii="微软雅黑" w:hAnsi="微软雅黑" w:eastAsia="微软雅黑"/>
        <w:b w:val="0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BS-CAT 全分类类别表现分析报告</dc:title>
  <dc:subject/>
  <dc:creator>BS-CAT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