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EC2391">
      <w:pPr>
        <w:jc w:val="both"/>
      </w:pPr>
    </w:p>
    <w:p w14:paraId="014B1DD6">
      <w:pPr>
        <w:jc w:val="center"/>
      </w:pPr>
      <w:r>
        <w:rPr>
          <w:rFonts w:ascii="微软雅黑" w:hAnsi="微软雅黑" w:eastAsia="微软雅黑"/>
          <w:b/>
          <w:color w:val="1F3864"/>
          <w:sz w:val="44"/>
        </w:rPr>
        <w:t>额度与定价策略</w:t>
      </w:r>
    </w:p>
    <w:p w14:paraId="64273DA8"/>
    <w:p w14:paraId="0EF274EC">
      <w:pPr>
        <w:jc w:val="center"/>
      </w:pPr>
      <w:r>
        <w:rPr>
          <w:rFonts w:ascii="微软雅黑" w:hAnsi="微软雅黑" w:eastAsia="微软雅黑"/>
          <w:sz w:val="22"/>
        </w:rPr>
        <w:t>2026年4月</w:t>
      </w:r>
    </w:p>
    <w:p w14:paraId="1172BDBE">
      <w:r>
        <w:br w:type="page"/>
      </w:r>
    </w:p>
    <w:p w14:paraId="6AAE4B69">
      <w:pPr>
        <w:pStyle w:val="3"/>
      </w:pPr>
      <w:r>
        <w:rPr>
          <w:rFonts w:ascii="微软雅黑" w:hAnsi="微软雅黑" w:eastAsia="微软雅黑"/>
          <w:color w:val="1F3864"/>
        </w:rPr>
        <w:t>一、模块概述</w:t>
      </w:r>
    </w:p>
    <w:p w14:paraId="190FB920">
      <w:pPr>
        <w:spacing w:after="80"/>
        <w:ind w:left="0" w:firstLine="420" w:firstLineChars="200"/>
      </w:pPr>
      <w:r>
        <w:rPr>
          <w:rFonts w:ascii="微软雅黑" w:hAnsi="微软雅黑" w:eastAsia="微软雅黑"/>
          <w:b w:val="0"/>
          <w:sz w:val="21"/>
        </w:rPr>
        <w:t>额度与定价策略是消费金融风险收益管理的核心环节。科学的额度定价体系能够实现风险与收益的最优匹配：优质客户给予高额度低利率以提升留存，</w:t>
      </w:r>
      <w:r>
        <w:rPr>
          <w:rFonts w:hint="eastAsia"/>
          <w:b w:val="0"/>
          <w:sz w:val="21"/>
          <w:lang w:val="en-US" w:eastAsia="zh-CN"/>
        </w:rPr>
        <w:t>差</w:t>
      </w:r>
      <w:r>
        <w:rPr>
          <w:rFonts w:ascii="微软雅黑" w:hAnsi="微软雅黑" w:eastAsia="微软雅黑"/>
          <w:b w:val="0"/>
          <w:sz w:val="21"/>
        </w:rPr>
        <w:t>客户给予低额度高利率以覆盖风险成本。</w:t>
      </w:r>
    </w:p>
    <w:p w14:paraId="46AAF525">
      <w:pPr>
        <w:pStyle w:val="3"/>
      </w:pPr>
      <w:r>
        <w:rPr>
          <w:rFonts w:ascii="微软雅黑" w:hAnsi="微软雅黑" w:eastAsia="微软雅黑"/>
          <w:color w:val="1F3864"/>
        </w:rPr>
        <w:t>二、额度策略体系</w:t>
      </w:r>
    </w:p>
    <w:p w14:paraId="2C509BFE">
      <w:pPr>
        <w:pStyle w:val="3"/>
        <w:pBdr>
          <w:bottom w:val="single" w:color="1F5C99" w:sz="6" w:space="4"/>
        </w:pBdr>
        <w:spacing w:before="400" w:after="200"/>
      </w:pPr>
      <w:r>
        <w:rPr>
          <w:rFonts w:hint="eastAsia" w:ascii="微软雅黑" w:hAnsi="微软雅黑" w:eastAsia="微软雅黑" w:cs="微软雅黑"/>
          <w:b/>
          <w:bCs/>
          <w:color w:val="1F5C99"/>
          <w:sz w:val="32"/>
          <w:szCs w:val="32"/>
          <w:lang w:val="en-US" w:eastAsia="zh-CN"/>
        </w:rPr>
        <w:t>2.1</w:t>
      </w:r>
      <w:r>
        <w:rPr>
          <w:rFonts w:ascii="微软雅黑" w:hAnsi="微软雅黑" w:eastAsia="微软雅黑" w:cs="微软雅黑"/>
          <w:b/>
          <w:bCs/>
          <w:color w:val="1F5C99"/>
          <w:sz w:val="32"/>
          <w:szCs w:val="32"/>
        </w:rPr>
        <w:t>、额度策略设计</w:t>
      </w:r>
    </w:p>
    <w:p w14:paraId="02059B3A">
      <w:pPr>
        <w:pStyle w:val="4"/>
        <w:spacing w:before="300" w:after="160"/>
      </w:pPr>
      <w:r>
        <w:rPr>
          <w:rFonts w:hint="eastAsia" w:ascii="微软雅黑" w:hAnsi="微软雅黑" w:eastAsia="微软雅黑" w:cs="微软雅黑"/>
          <w:b/>
          <w:bCs/>
          <w:color w:val="2E4057"/>
          <w:sz w:val="26"/>
          <w:szCs w:val="26"/>
          <w:lang w:val="en-US" w:eastAsia="zh-CN"/>
        </w:rPr>
        <w:t>2</w:t>
      </w:r>
      <w:r>
        <w:rPr>
          <w:rFonts w:ascii="微软雅黑" w:hAnsi="微软雅黑" w:eastAsia="微软雅黑" w:cs="微软雅黑"/>
          <w:b/>
          <w:bCs/>
          <w:color w:val="2E4057"/>
          <w:sz w:val="26"/>
          <w:szCs w:val="26"/>
        </w:rPr>
        <w:t>.</w:t>
      </w:r>
      <w:r>
        <w:rPr>
          <w:rFonts w:hint="eastAsia" w:ascii="微软雅黑" w:hAnsi="微软雅黑" w:eastAsia="微软雅黑" w:cs="微软雅黑"/>
          <w:b/>
          <w:bCs/>
          <w:color w:val="2E4057"/>
          <w:sz w:val="26"/>
          <w:szCs w:val="26"/>
          <w:lang w:val="en-US" w:eastAsia="zh-CN"/>
        </w:rPr>
        <w:t>1.1</w:t>
      </w:r>
      <w:r>
        <w:rPr>
          <w:rFonts w:ascii="微软雅黑" w:hAnsi="微软雅黑" w:eastAsia="微软雅黑" w:cs="微软雅黑"/>
          <w:b/>
          <w:bCs/>
          <w:color w:val="2E4057"/>
          <w:sz w:val="26"/>
          <w:szCs w:val="26"/>
        </w:rPr>
        <w:t>为什么需要额度调整？</w:t>
      </w:r>
    </w:p>
    <w:p w14:paraId="54985DC9">
      <w:pPr>
        <w:spacing w:before="80" w:after="80" w:line="360" w:lineRule="auto"/>
        <w:ind w:firstLine="440"/>
        <w:jc w:val="both"/>
      </w:pPr>
      <w:r>
        <w:rPr>
          <w:rFonts w:ascii="微软雅黑" w:hAnsi="微软雅黑" w:eastAsia="微软雅黑" w:cs="微软雅黑"/>
          <w:color w:val="1A1A1A"/>
          <w:sz w:val="22"/>
          <w:szCs w:val="22"/>
        </w:rPr>
        <w:t>授信完成后，用户获得的初始额度通常偏于保守。这对于额度使用率较高的低风险用户来说，体验存在明显落差。因此，策略团队需要在事后基于更丰富的行为数据对用户进行差异化额度调整：</w:t>
      </w:r>
    </w:p>
    <w:p w14:paraId="4E21740C">
      <w:pPr>
        <w:spacing w:before="60" w:after="60"/>
      </w:pPr>
    </w:p>
    <w:tbl>
      <w:tblPr>
        <w:tblStyle w:val="3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7626"/>
      </w:tblGrid>
      <w:tr w14:paraId="6CDC2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00" w:type="dxa"/>
            <w:tcBorders>
              <w:top w:val="single" w:color="CCCCCC" w:sz="0" w:space="0"/>
              <w:left w:val="single" w:color="CCCCCC" w:sz="0" w:space="0"/>
              <w:bottom w:val="single" w:color="CCCCCC" w:sz="0" w:space="0"/>
              <w:right w:val="single" w:color="CCCCCC" w:sz="0" w:space="0"/>
            </w:tcBorders>
            <w:shd w:val="clear" w:color="auto" w:fill="1F5C99"/>
            <w:tcMar>
              <w:top w:w="100" w:type="dxa"/>
              <w:left w:w="120" w:type="dxa"/>
              <w:bottom w:w="100" w:type="dxa"/>
              <w:right w:w="120" w:type="dxa"/>
            </w:tcMar>
            <w:vAlign w:val="center"/>
          </w:tcPr>
          <w:p w14:paraId="35DCE82F">
            <w:pPr>
              <w:jc w:val="center"/>
            </w:pPr>
            <w:r>
              <w:rPr>
                <w:rFonts w:ascii="微软雅黑" w:hAnsi="微软雅黑" w:eastAsia="微软雅黑" w:cs="微软雅黑"/>
                <w:b/>
                <w:bCs/>
                <w:color w:val="FFFFFF"/>
                <w:sz w:val="22"/>
                <w:szCs w:val="22"/>
              </w:rPr>
              <w:t>提额 ↑</w:t>
            </w:r>
          </w:p>
        </w:tc>
        <w:tc>
          <w:tcPr>
            <w:tcW w:w="7626" w:type="dxa"/>
            <w:tcBorders>
              <w:top w:val="single" w:color="CCCCCC" w:sz="0" w:space="0"/>
              <w:left w:val="single" w:color="CCCCCC" w:sz="0" w:space="0"/>
              <w:bottom w:val="single" w:color="CCCCCC" w:sz="0" w:space="0"/>
              <w:right w:val="single" w:color="CCCCCC" w:sz="0" w:space="0"/>
            </w:tcBorders>
            <w:shd w:val="clear" w:color="auto" w:fill="D6E4F0"/>
            <w:tcMar>
              <w:top w:w="100" w:type="dxa"/>
              <w:left w:w="150" w:type="dxa"/>
              <w:bottom w:w="100" w:type="dxa"/>
              <w:right w:w="150" w:type="dxa"/>
            </w:tcMar>
          </w:tcPr>
          <w:p w14:paraId="6EBE0B83">
            <w:r>
              <w:rPr>
                <w:rFonts w:ascii="微软雅黑" w:hAnsi="微软雅黑" w:eastAsia="微软雅黑" w:cs="微软雅黑"/>
                <w:color w:val="1A1A1A"/>
                <w:sz w:val="22"/>
                <w:szCs w:val="22"/>
              </w:rPr>
              <w:t>针对还款意愿强、风险低的优质用户，提升额度以匹配其真实需求，提升产品竞争力。</w:t>
            </w:r>
          </w:p>
        </w:tc>
      </w:tr>
    </w:tbl>
    <w:p w14:paraId="41038245">
      <w:pPr>
        <w:spacing w:before="60" w:after="60"/>
      </w:pPr>
    </w:p>
    <w:tbl>
      <w:tblPr>
        <w:tblStyle w:val="3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7626"/>
      </w:tblGrid>
      <w:tr w14:paraId="33198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1F5C99"/>
            <w:tcMar>
              <w:top w:w="100" w:type="dxa"/>
              <w:left w:w="120" w:type="dxa"/>
              <w:bottom w:w="100" w:type="dxa"/>
              <w:right w:w="120" w:type="dxa"/>
            </w:tcMar>
            <w:vAlign w:val="center"/>
          </w:tcPr>
          <w:p w14:paraId="2C5580BF">
            <w:pPr>
              <w:jc w:val="center"/>
            </w:pPr>
            <w:r>
              <w:rPr>
                <w:rFonts w:ascii="微软雅黑" w:hAnsi="微软雅黑" w:eastAsia="微软雅黑" w:cs="微软雅黑"/>
                <w:b/>
                <w:bCs/>
                <w:color w:val="FFFFFF"/>
                <w:sz w:val="22"/>
                <w:szCs w:val="22"/>
              </w:rPr>
              <w:t>降额 ↓</w:t>
            </w:r>
          </w:p>
        </w:tc>
        <w:tc>
          <w:tcPr>
            <w:tcW w:w="7626" w:type="dxa"/>
            <w:tcBorders>
              <w:top w:val="single" w:color="CCCCCC" w:sz="0" w:space="0"/>
              <w:left w:val="single" w:color="CCCCCC" w:sz="0" w:space="0"/>
              <w:bottom w:val="single" w:color="CCCCCC" w:sz="0" w:space="0"/>
              <w:right w:val="single" w:color="CCCCCC" w:sz="0" w:space="0"/>
            </w:tcBorders>
            <w:shd w:val="clear" w:color="auto" w:fill="D6E4F0"/>
            <w:tcMar>
              <w:top w:w="100" w:type="dxa"/>
              <w:left w:w="150" w:type="dxa"/>
              <w:bottom w:w="100" w:type="dxa"/>
              <w:right w:w="150" w:type="dxa"/>
            </w:tcMar>
          </w:tcPr>
          <w:p w14:paraId="301613C6">
            <w:r>
              <w:rPr>
                <w:rFonts w:ascii="微软雅黑" w:hAnsi="微软雅黑" w:eastAsia="微软雅黑" w:cs="微软雅黑"/>
                <w:color w:val="1A1A1A"/>
                <w:sz w:val="22"/>
                <w:szCs w:val="22"/>
              </w:rPr>
              <w:t>针对逾期率高、行为异常的高风险用户，降低额度以控制整体风险敞口。</w:t>
            </w:r>
          </w:p>
        </w:tc>
      </w:tr>
    </w:tbl>
    <w:p w14:paraId="1FEF8A92">
      <w:pPr>
        <w:spacing w:before="60" w:after="60"/>
      </w:pPr>
    </w:p>
    <w:p w14:paraId="1E1C43AA">
      <w:pPr>
        <w:pStyle w:val="4"/>
        <w:spacing w:before="300" w:after="160"/>
      </w:pPr>
      <w:r>
        <w:rPr>
          <w:rFonts w:hint="eastAsia" w:ascii="微软雅黑" w:hAnsi="微软雅黑" w:eastAsia="微软雅黑" w:cs="微软雅黑"/>
          <w:b/>
          <w:bCs/>
          <w:color w:val="2E4057"/>
          <w:sz w:val="26"/>
          <w:szCs w:val="26"/>
          <w:lang w:val="en-US" w:eastAsia="zh-CN"/>
        </w:rPr>
        <w:t>2.1.2</w:t>
      </w:r>
      <w:r>
        <w:rPr>
          <w:rFonts w:ascii="微软雅黑" w:hAnsi="微软雅黑" w:eastAsia="微软雅黑" w:cs="微软雅黑"/>
          <w:b/>
          <w:bCs/>
          <w:color w:val="2E4057"/>
          <w:sz w:val="26"/>
          <w:szCs w:val="26"/>
        </w:rPr>
        <w:t xml:space="preserve"> 额度决定因素</w:t>
      </w:r>
    </w:p>
    <w:p w14:paraId="4C5FA531">
      <w:pPr>
        <w:spacing w:before="80" w:after="80" w:line="360" w:lineRule="auto"/>
        <w:ind w:firstLine="440"/>
        <w:jc w:val="both"/>
      </w:pPr>
      <w:r>
        <w:rPr>
          <w:rFonts w:ascii="微软雅黑" w:hAnsi="微软雅黑" w:eastAsia="微软雅黑" w:cs="微软雅黑"/>
          <w:color w:val="1A1A1A"/>
          <w:sz w:val="22"/>
          <w:szCs w:val="22"/>
        </w:rPr>
        <w:t>用户额度主要由两个维度共同决定：</w:t>
      </w:r>
    </w:p>
    <w:p w14:paraId="5F45A442">
      <w:pPr>
        <w:spacing w:before="60" w:after="60"/>
      </w:pPr>
    </w:p>
    <w:tbl>
      <w:tblPr>
        <w:tblStyle w:val="3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026"/>
      </w:tblGrid>
      <w:tr w14:paraId="5D127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1F5C99"/>
            <w:tcMar>
              <w:top w:w="100" w:type="dxa"/>
              <w:left w:w="150" w:type="dxa"/>
              <w:bottom w:w="100" w:type="dxa"/>
              <w:right w:w="150" w:type="dxa"/>
            </w:tcMar>
            <w:vAlign w:val="center"/>
          </w:tcPr>
          <w:p w14:paraId="3BC84AF4">
            <w:pPr>
              <w:jc w:val="center"/>
            </w:pPr>
            <w:r>
              <w:rPr>
                <w:rFonts w:ascii="微软雅黑" w:hAnsi="微软雅黑" w:eastAsia="微软雅黑" w:cs="微软雅黑"/>
                <w:b/>
                <w:bCs/>
                <w:color w:val="FFFFFF"/>
                <w:sz w:val="22"/>
                <w:szCs w:val="22"/>
              </w:rPr>
              <w:t>维度</w:t>
            </w:r>
          </w:p>
        </w:tc>
        <w:tc>
          <w:tcPr>
            <w:tcW w:w="7026" w:type="dxa"/>
            <w:tcBorders>
              <w:top w:val="single" w:color="CCCCCC" w:sz="0" w:space="0"/>
              <w:left w:val="single" w:color="CCCCCC" w:sz="0" w:space="0"/>
              <w:bottom w:val="single" w:color="CCCCCC" w:sz="0" w:space="0"/>
              <w:right w:val="single" w:color="CCCCCC" w:sz="0" w:space="0"/>
            </w:tcBorders>
            <w:shd w:val="clear" w:color="auto" w:fill="1F5C99"/>
            <w:tcMar>
              <w:top w:w="100" w:type="dxa"/>
              <w:left w:w="150" w:type="dxa"/>
              <w:bottom w:w="100" w:type="dxa"/>
              <w:right w:w="150" w:type="dxa"/>
            </w:tcMar>
          </w:tcPr>
          <w:p w14:paraId="07A9BB35">
            <w:r>
              <w:rPr>
                <w:rFonts w:ascii="微软雅黑" w:hAnsi="微软雅黑" w:eastAsia="微软雅黑" w:cs="微软雅黑"/>
                <w:b/>
                <w:bCs/>
                <w:color w:val="FFFFFF"/>
                <w:sz w:val="22"/>
                <w:szCs w:val="22"/>
              </w:rPr>
              <w:t>含义与衡量方式</w:t>
            </w:r>
          </w:p>
        </w:tc>
      </w:tr>
      <w:tr w14:paraId="752DD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100" w:type="dxa"/>
              <w:left w:w="150" w:type="dxa"/>
              <w:bottom w:w="100" w:type="dxa"/>
              <w:right w:w="150" w:type="dxa"/>
            </w:tcMar>
          </w:tcPr>
          <w:p w14:paraId="05A8395A">
            <w:r>
              <w:rPr>
                <w:rFonts w:ascii="微软雅黑" w:hAnsi="微软雅黑" w:eastAsia="微软雅黑" w:cs="微软雅黑"/>
                <w:b/>
                <w:bCs/>
                <w:color w:val="1A1A1A"/>
                <w:sz w:val="22"/>
                <w:szCs w:val="22"/>
              </w:rPr>
              <w:t>还款能力</w:t>
            </w:r>
          </w:p>
        </w:tc>
        <w:tc>
          <w:tcPr>
            <w:tcW w:w="7026" w:type="dxa"/>
            <w:tcBorders>
              <w:top w:val="single" w:color="CCCCCC" w:sz="0" w:space="0"/>
              <w:left w:val="single" w:color="CCCCCC" w:sz="0" w:space="0"/>
              <w:bottom w:val="single" w:color="CCCCCC" w:sz="0" w:space="0"/>
              <w:right w:val="single" w:color="CCCCCC" w:sz="0" w:space="0"/>
            </w:tcBorders>
            <w:tcMar>
              <w:top w:w="100" w:type="dxa"/>
              <w:left w:w="150" w:type="dxa"/>
              <w:bottom w:w="100" w:type="dxa"/>
              <w:right w:w="150" w:type="dxa"/>
            </w:tcMar>
          </w:tcPr>
          <w:p w14:paraId="2D3D98BA">
            <w:r>
              <w:rPr>
                <w:rFonts w:ascii="微软雅黑" w:hAnsi="微软雅黑" w:eastAsia="微软雅黑" w:cs="微软雅黑"/>
                <w:sz w:val="22"/>
                <w:szCs w:val="22"/>
              </w:rPr>
              <w:t>用户的收入水平与资产状况。可通过公积金缴纳额（足额缴纳可直接映射收入）、或基于年龄/学历/行业的收入预测模型进行估算。</w:t>
            </w:r>
          </w:p>
        </w:tc>
      </w:tr>
      <w:tr w14:paraId="65E65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100" w:type="dxa"/>
              <w:left w:w="150" w:type="dxa"/>
              <w:bottom w:w="100" w:type="dxa"/>
              <w:right w:w="150" w:type="dxa"/>
            </w:tcMar>
          </w:tcPr>
          <w:p w14:paraId="6D489BB0">
            <w:r>
              <w:rPr>
                <w:rFonts w:ascii="微软雅黑" w:hAnsi="微软雅黑" w:eastAsia="微软雅黑" w:cs="微软雅黑"/>
                <w:b/>
                <w:bCs/>
                <w:color w:val="1A1A1A"/>
                <w:sz w:val="22"/>
                <w:szCs w:val="22"/>
              </w:rPr>
              <w:t>还款意愿</w:t>
            </w:r>
          </w:p>
        </w:tc>
        <w:tc>
          <w:tcPr>
            <w:tcW w:w="7026" w:type="dxa"/>
            <w:tcBorders>
              <w:top w:val="single" w:color="CCCCCC" w:sz="0" w:space="0"/>
              <w:left w:val="single" w:color="CCCCCC" w:sz="0" w:space="0"/>
              <w:bottom w:val="single" w:color="CCCCCC" w:sz="0" w:space="0"/>
              <w:right w:val="single" w:color="CCCCCC" w:sz="0" w:space="0"/>
            </w:tcBorders>
            <w:tcMar>
              <w:top w:w="100" w:type="dxa"/>
              <w:left w:w="150" w:type="dxa"/>
              <w:bottom w:w="100" w:type="dxa"/>
              <w:right w:w="150" w:type="dxa"/>
            </w:tcMar>
          </w:tcPr>
          <w:p w14:paraId="4C6C37B8">
            <w:r>
              <w:rPr>
                <w:rFonts w:ascii="微软雅黑" w:hAnsi="微软雅黑" w:eastAsia="微软雅黑" w:cs="微软雅黑"/>
                <w:sz w:val="22"/>
                <w:szCs w:val="22"/>
              </w:rPr>
              <w:t>用户按时还款的主动性与态度，对小额信用产品尤为关键。可通过行为评分（Bscore/B卡）、历史逾期记录等量化。</w:t>
            </w:r>
          </w:p>
        </w:tc>
      </w:tr>
    </w:tbl>
    <w:p w14:paraId="1AA0FE9E">
      <w:pPr>
        <w:spacing w:before="60" w:after="60"/>
      </w:pPr>
    </w:p>
    <w:p w14:paraId="6ED55D35">
      <w:pPr>
        <w:pStyle w:val="4"/>
        <w:spacing w:before="300" w:after="160"/>
      </w:pPr>
      <w:r>
        <w:rPr>
          <w:rFonts w:hint="eastAsia" w:ascii="微软雅黑" w:hAnsi="微软雅黑" w:eastAsia="微软雅黑" w:cs="微软雅黑"/>
          <w:b/>
          <w:bCs/>
          <w:color w:val="2E4057"/>
          <w:sz w:val="26"/>
          <w:szCs w:val="26"/>
          <w:lang w:val="en-US" w:eastAsia="zh-CN"/>
        </w:rPr>
        <w:t>2.1.3</w:t>
      </w:r>
      <w:r>
        <w:rPr>
          <w:rFonts w:ascii="微软雅黑" w:hAnsi="微软雅黑" w:eastAsia="微软雅黑" w:cs="微软雅黑"/>
          <w:b/>
          <w:bCs/>
          <w:color w:val="2E4057"/>
          <w:sz w:val="26"/>
          <w:szCs w:val="26"/>
        </w:rPr>
        <w:t xml:space="preserve"> 额度计算公式</w:t>
      </w:r>
    </w:p>
    <w:p w14:paraId="16CB3B54">
      <w:pPr>
        <w:spacing w:before="80" w:after="80" w:line="360" w:lineRule="auto"/>
        <w:ind w:firstLine="440"/>
        <w:jc w:val="both"/>
      </w:pPr>
      <w:r>
        <w:rPr>
          <w:rFonts w:ascii="微软雅黑" w:hAnsi="微软雅黑" w:eastAsia="微软雅黑" w:cs="微软雅黑"/>
          <w:color w:val="1A1A1A"/>
          <w:sz w:val="22"/>
          <w:szCs w:val="22"/>
        </w:rPr>
        <w:t>在确定基础额度后，通过以下两种方式进行估算：</w:t>
      </w:r>
    </w:p>
    <w:p w14:paraId="2971C7F2">
      <w:pPr>
        <w:spacing w:before="60" w:after="60"/>
      </w:pPr>
    </w:p>
    <w:p w14:paraId="71E5AE95">
      <w:pPr>
        <w:pBdr>
          <w:left w:val="single" w:color="1F5C99" w:sz="12" w:space="12"/>
        </w:pBdr>
        <w:shd w:val="clear" w:fill="EEF4FB"/>
        <w:spacing w:before="80" w:after="80"/>
        <w:ind w:left="720"/>
      </w:pPr>
      <w:r>
        <w:rPr>
          <w:rFonts w:ascii="Consolas" w:hAnsi="Consolas" w:eastAsia="Consolas" w:cs="Consolas"/>
          <w:color w:val="2C5F8A"/>
          <w:sz w:val="22"/>
          <w:szCs w:val="22"/>
        </w:rPr>
        <w:t>额度1 = min( max(基础额度 × MDI × 放大系数, 额度下限), 额度上限)</w:t>
      </w:r>
    </w:p>
    <w:p w14:paraId="7F3047AA">
      <w:pPr>
        <w:spacing w:before="60" w:after="60"/>
      </w:pPr>
    </w:p>
    <w:p w14:paraId="052C7AFD">
      <w:pPr>
        <w:pBdr>
          <w:left w:val="single" w:color="1F5C99" w:sz="12" w:space="12"/>
        </w:pBdr>
        <w:shd w:val="clear" w:fill="EEF4FB"/>
        <w:spacing w:before="80" w:after="80"/>
        <w:ind w:left="720"/>
      </w:pPr>
      <w:r>
        <w:rPr>
          <w:rFonts w:ascii="Consolas" w:hAnsi="Consolas" w:eastAsia="Consolas" w:cs="Consolas"/>
          <w:color w:val="2C5F8A"/>
          <w:sz w:val="22"/>
          <w:szCs w:val="22"/>
        </w:rPr>
        <w:t>额度2 = -PV(rate, term, 基础额度 × MDI × 缩小系数)</w:t>
      </w:r>
    </w:p>
    <w:p w14:paraId="27DF067D">
      <w:pPr>
        <w:spacing w:before="60" w:after="60"/>
      </w:pPr>
    </w:p>
    <w:p w14:paraId="74001976">
      <w:pPr>
        <w:spacing w:before="80" w:after="80" w:line="360" w:lineRule="auto"/>
        <w:ind w:firstLine="440"/>
        <w:jc w:val="both"/>
      </w:pPr>
      <w:r>
        <w:rPr>
          <w:rFonts w:ascii="微软雅黑" w:hAnsi="微软雅黑" w:eastAsia="微软雅黑" w:cs="微软雅黑"/>
          <w:color w:val="1A1A1A"/>
          <w:sz w:val="22"/>
          <w:szCs w:val="22"/>
        </w:rPr>
        <w:t>其中，基础额度可依据用户基本特征灵活设定（如公积金缴纳基础、收入相关特征等），MDI为月度收入指数，放大/缩小系数用于调节乐观或保守程度。</w:t>
      </w:r>
    </w:p>
    <w:p w14:paraId="77A5CDDE">
      <w:pPr>
        <w:spacing w:before="60" w:after="60"/>
      </w:pPr>
    </w:p>
    <w:p w14:paraId="211A4755">
      <w:pPr>
        <w:spacing w:before="80" w:after="80" w:line="360" w:lineRule="auto"/>
        <w:ind w:firstLine="440"/>
        <w:jc w:val="both"/>
      </w:pPr>
      <w:r>
        <w:rPr>
          <w:rFonts w:ascii="微软雅黑" w:hAnsi="微软雅黑" w:eastAsia="微软雅黑" w:cs="微软雅黑"/>
          <w:color w:val="1A1A1A"/>
          <w:sz w:val="22"/>
          <w:szCs w:val="22"/>
        </w:rPr>
        <w:t>最终额度取额度1与额度2的较小值（保守策略）或较大值（乐观策略），再结合产品上下限进行铆钉，得出用户的最终授信额度。</w:t>
      </w:r>
    </w:p>
    <w:p w14:paraId="7D7682CE">
      <w:pPr>
        <w:spacing w:before="60" w:after="60"/>
      </w:pPr>
    </w:p>
    <w:tbl>
      <w:tblPr>
        <w:tblStyle w:val="3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78C57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CCCCCC" w:sz="0" w:space="0"/>
              <w:left w:val="single" w:color="CCCCCC" w:sz="0" w:space="0"/>
              <w:bottom w:val="single" w:color="CCCCCC" w:sz="0" w:space="0"/>
              <w:right w:val="single" w:color="CCCCCC" w:sz="0" w:space="0"/>
            </w:tcBorders>
            <w:shd w:val="clear" w:color="auto" w:fill="FFF9E6"/>
            <w:tcMar>
              <w:top w:w="100" w:type="dxa"/>
              <w:left w:w="200" w:type="dxa"/>
              <w:bottom w:w="100" w:type="dxa"/>
              <w:right w:w="200" w:type="dxa"/>
            </w:tcMar>
          </w:tcPr>
          <w:p w14:paraId="6B8A888F">
            <w:r>
              <w:rPr>
                <w:rFonts w:ascii="微软雅黑" w:hAnsi="微软雅黑" w:eastAsia="微软雅黑" w:cs="微软雅黑"/>
                <w:b/>
                <w:bCs/>
                <w:color w:val="B8860B"/>
                <w:sz w:val="22"/>
                <w:szCs w:val="22"/>
              </w:rPr>
              <w:t>📌 注意：</w:t>
            </w:r>
            <w:r>
              <w:rPr>
                <w:rFonts w:ascii="微软雅黑" w:hAnsi="微软雅黑" w:eastAsia="微软雅黑" w:cs="微软雅黑"/>
                <w:color w:val="5C4A00"/>
                <w:sz w:val="22"/>
                <w:szCs w:val="22"/>
              </w:rPr>
              <w:t>监管合规要求：额度上下限须严格遵循监管规定和产品定位，不可突破合规边界。</w:t>
            </w:r>
          </w:p>
        </w:tc>
      </w:tr>
    </w:tbl>
    <w:p w14:paraId="7D741AF8">
      <w:pPr>
        <w:spacing w:before="60" w:after="60"/>
      </w:pPr>
    </w:p>
    <w:p w14:paraId="0BAA5FE0">
      <w:pPr>
        <w:pStyle w:val="4"/>
        <w:spacing w:before="300" w:after="160"/>
      </w:pPr>
      <w:r>
        <w:rPr>
          <w:rFonts w:hint="eastAsia" w:ascii="微软雅黑" w:hAnsi="微软雅黑" w:eastAsia="微软雅黑" w:cs="微软雅黑"/>
          <w:b/>
          <w:bCs/>
          <w:color w:val="2E4057"/>
          <w:sz w:val="26"/>
          <w:szCs w:val="26"/>
          <w:lang w:val="en-US" w:eastAsia="zh-CN"/>
        </w:rPr>
        <w:t>2.1.4</w:t>
      </w:r>
      <w:r>
        <w:rPr>
          <w:rFonts w:ascii="微软雅黑" w:hAnsi="微软雅黑" w:eastAsia="微软雅黑" w:cs="微软雅黑"/>
          <w:b/>
          <w:bCs/>
          <w:color w:val="2E4057"/>
          <w:sz w:val="26"/>
          <w:szCs w:val="26"/>
        </w:rPr>
        <w:t xml:space="preserve"> 提额节奏设计</w:t>
      </w:r>
    </w:p>
    <w:p w14:paraId="5BAFFEAA">
      <w:pPr>
        <w:spacing w:before="80" w:after="80" w:line="360" w:lineRule="auto"/>
        <w:ind w:firstLine="440"/>
        <w:jc w:val="both"/>
      </w:pPr>
      <w:r>
        <w:rPr>
          <w:rFonts w:ascii="微软雅黑" w:hAnsi="微软雅黑" w:eastAsia="微软雅黑" w:cs="微软雅黑"/>
          <w:color w:val="1A1A1A"/>
          <w:sz w:val="22"/>
          <w:szCs w:val="22"/>
        </w:rPr>
        <w:t>确定提额空间后，建议采用【渐进式提额】而非一次性大幅提升，原因如下：</w:t>
      </w:r>
    </w:p>
    <w:p w14:paraId="66424B78">
      <w:pPr>
        <w:spacing w:before="60" w:after="60"/>
      </w:pPr>
    </w:p>
    <w:tbl>
      <w:tblPr>
        <w:tblStyle w:val="3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7626"/>
      </w:tblGrid>
      <w:tr w14:paraId="444C8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1F5C99"/>
            <w:tcMar>
              <w:top w:w="100" w:type="dxa"/>
              <w:left w:w="120" w:type="dxa"/>
              <w:bottom w:w="100" w:type="dxa"/>
              <w:right w:w="120" w:type="dxa"/>
            </w:tcMar>
            <w:vAlign w:val="center"/>
          </w:tcPr>
          <w:p w14:paraId="295C85BE">
            <w:pPr>
              <w:jc w:val="center"/>
            </w:pPr>
            <w:r>
              <w:rPr>
                <w:rFonts w:ascii="微软雅黑" w:hAnsi="微软雅黑" w:eastAsia="微软雅黑" w:cs="微软雅黑"/>
                <w:b/>
                <w:bCs/>
                <w:color w:val="FFFFFF"/>
                <w:sz w:val="22"/>
                <w:szCs w:val="22"/>
              </w:rPr>
              <w:t>用户体验</w:t>
            </w:r>
          </w:p>
        </w:tc>
        <w:tc>
          <w:tcPr>
            <w:tcW w:w="7626" w:type="dxa"/>
            <w:tcBorders>
              <w:top w:val="single" w:color="CCCCCC" w:sz="0" w:space="0"/>
              <w:left w:val="single" w:color="CCCCCC" w:sz="0" w:space="0"/>
              <w:bottom w:val="single" w:color="CCCCCC" w:sz="0" w:space="0"/>
              <w:right w:val="single" w:color="CCCCCC" w:sz="0" w:space="0"/>
            </w:tcBorders>
            <w:shd w:val="clear" w:color="auto" w:fill="D6E4F0"/>
            <w:tcMar>
              <w:top w:w="100" w:type="dxa"/>
              <w:left w:w="150" w:type="dxa"/>
              <w:bottom w:w="100" w:type="dxa"/>
              <w:right w:w="150" w:type="dxa"/>
            </w:tcMar>
          </w:tcPr>
          <w:p w14:paraId="20807810">
            <w:r>
              <w:rPr>
                <w:rFonts w:ascii="微软雅黑" w:hAnsi="微软雅黑" w:eastAsia="微软雅黑" w:cs="微软雅黑"/>
                <w:color w:val="1A1A1A"/>
                <w:sz w:val="22"/>
                <w:szCs w:val="22"/>
              </w:rPr>
              <w:t>阶段性提额能让用户感受到产品的【成长感】与归属感，增强粘性与满意度。</w:t>
            </w:r>
          </w:p>
        </w:tc>
      </w:tr>
    </w:tbl>
    <w:p w14:paraId="6B1D8D06">
      <w:pPr>
        <w:spacing w:before="60" w:after="60"/>
      </w:pPr>
    </w:p>
    <w:tbl>
      <w:tblPr>
        <w:tblStyle w:val="3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7626"/>
      </w:tblGrid>
      <w:tr w14:paraId="5FEE6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1F5C99"/>
            <w:tcMar>
              <w:top w:w="100" w:type="dxa"/>
              <w:left w:w="120" w:type="dxa"/>
              <w:bottom w:w="100" w:type="dxa"/>
              <w:right w:w="120" w:type="dxa"/>
            </w:tcMar>
            <w:vAlign w:val="center"/>
          </w:tcPr>
          <w:p w14:paraId="0F15792A">
            <w:pPr>
              <w:jc w:val="center"/>
            </w:pPr>
            <w:r>
              <w:rPr>
                <w:rFonts w:ascii="微软雅黑" w:hAnsi="微软雅黑" w:eastAsia="微软雅黑" w:cs="微软雅黑"/>
                <w:b/>
                <w:bCs/>
                <w:color w:val="FFFFFF"/>
                <w:sz w:val="22"/>
                <w:szCs w:val="22"/>
              </w:rPr>
              <w:t>风险管控</w:t>
            </w:r>
          </w:p>
        </w:tc>
        <w:tc>
          <w:tcPr>
            <w:tcW w:w="7626" w:type="dxa"/>
            <w:tcBorders>
              <w:top w:val="single" w:color="CCCCCC" w:sz="0" w:space="0"/>
              <w:left w:val="single" w:color="CCCCCC" w:sz="0" w:space="0"/>
              <w:bottom w:val="single" w:color="CCCCCC" w:sz="0" w:space="0"/>
              <w:right w:val="single" w:color="CCCCCC" w:sz="0" w:space="0"/>
            </w:tcBorders>
            <w:shd w:val="clear" w:color="auto" w:fill="D6E4F0"/>
            <w:tcMar>
              <w:top w:w="100" w:type="dxa"/>
              <w:left w:w="150" w:type="dxa"/>
              <w:bottom w:w="100" w:type="dxa"/>
              <w:right w:w="150" w:type="dxa"/>
            </w:tcMar>
          </w:tcPr>
          <w:p w14:paraId="4F856264">
            <w:r>
              <w:rPr>
                <w:rFonts w:ascii="微软雅黑" w:hAnsi="微软雅黑" w:eastAsia="微软雅黑" w:cs="微软雅黑"/>
                <w:color w:val="1A1A1A"/>
                <w:sz w:val="22"/>
                <w:szCs w:val="22"/>
              </w:rPr>
              <w:t>分步提额便于观察每阶段的风险表现，及时止损，避免批量暴露风险。</w:t>
            </w:r>
          </w:p>
        </w:tc>
      </w:tr>
    </w:tbl>
    <w:p w14:paraId="34851238">
      <w:pPr>
        <w:spacing w:before="60" w:after="60"/>
      </w:pPr>
    </w:p>
    <w:p w14:paraId="45A89C60">
      <w:pPr>
        <w:pBdr>
          <w:top w:val="single" w:color="DDDDDD" w:sz="2" w:space="6"/>
        </w:pBdr>
        <w:spacing w:before="300" w:after="0"/>
      </w:pPr>
    </w:p>
    <w:p w14:paraId="288EF88A">
      <w:pPr>
        <w:pStyle w:val="3"/>
        <w:pBdr>
          <w:bottom w:val="single" w:color="1F5C99" w:sz="6" w:space="4"/>
        </w:pBdr>
        <w:spacing w:before="400" w:after="200"/>
      </w:pPr>
      <w:r>
        <w:rPr>
          <w:rFonts w:hint="eastAsia" w:ascii="微软雅黑" w:hAnsi="微软雅黑" w:eastAsia="微软雅黑" w:cs="微软雅黑"/>
          <w:b/>
          <w:bCs/>
          <w:color w:val="1F5C99"/>
          <w:sz w:val="32"/>
          <w:szCs w:val="32"/>
          <w:lang w:val="en-US" w:eastAsia="zh-CN"/>
        </w:rPr>
        <w:t>2.2</w:t>
      </w:r>
      <w:r>
        <w:rPr>
          <w:rFonts w:ascii="微软雅黑" w:hAnsi="微软雅黑" w:eastAsia="微软雅黑" w:cs="微软雅黑"/>
          <w:b/>
          <w:bCs/>
          <w:color w:val="1F5C99"/>
          <w:sz w:val="32"/>
          <w:szCs w:val="32"/>
        </w:rPr>
        <w:t>、</w:t>
      </w:r>
      <w:r>
        <w:rPr>
          <w:rFonts w:hint="eastAsia" w:ascii="微软雅黑" w:hAnsi="微软雅黑" w:eastAsia="微软雅黑" w:cs="微软雅黑"/>
          <w:b/>
          <w:bCs/>
          <w:color w:val="1F5C99"/>
          <w:sz w:val="32"/>
          <w:szCs w:val="32"/>
          <w:lang w:val="en-US" w:eastAsia="zh-CN"/>
        </w:rPr>
        <w:t>初始额度</w:t>
      </w:r>
      <w:r>
        <w:rPr>
          <w:rFonts w:ascii="微软雅黑" w:hAnsi="微软雅黑" w:eastAsia="微软雅黑" w:cs="微软雅黑"/>
          <w:b/>
          <w:bCs/>
          <w:color w:val="1F5C99"/>
          <w:sz w:val="32"/>
          <w:szCs w:val="32"/>
        </w:rPr>
        <w:t>策略</w:t>
      </w:r>
    </w:p>
    <w:p w14:paraId="4064DF45">
      <w:pPr>
        <w:spacing w:before="80" w:after="80" w:line="360" w:lineRule="auto"/>
        <w:ind w:firstLine="440"/>
        <w:jc w:val="both"/>
        <w:rPr>
          <w:rFonts w:ascii="微软雅黑" w:hAnsi="微软雅黑" w:eastAsia="微软雅黑" w:cs="微软雅黑"/>
          <w:color w:val="1A1A1A"/>
          <w:sz w:val="22"/>
          <w:szCs w:val="22"/>
        </w:rPr>
      </w:pPr>
      <w:r>
        <w:rPr>
          <w:rFonts w:ascii="微软雅黑" w:hAnsi="微软雅黑" w:eastAsia="微软雅黑" w:cs="微软雅黑"/>
          <w:color w:val="1A1A1A"/>
          <w:sz w:val="22"/>
          <w:szCs w:val="22"/>
        </w:rPr>
        <w:t>基于A卡评分，将客群划分为若干风险层级，并对每个层级设定差异化的授信额度范围，是额度策略的核心逻辑。以下为典型的评分区间与额度映射参考框架：</w:t>
      </w:r>
    </w:p>
    <w:p w14:paraId="035C5E2B">
      <w:pPr>
        <w:spacing w:before="120" w:after="120"/>
      </w:pPr>
    </w:p>
    <w:tbl>
      <w:tblPr>
        <w:tblStyle w:val="3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1800"/>
        <w:gridCol w:w="1800"/>
        <w:gridCol w:w="2160"/>
        <w:gridCol w:w="2100"/>
      </w:tblGrid>
      <w:tr w14:paraId="1E637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tcBorders>
              <w:top w:val="single" w:color="1F4E79" w:sz="0" w:space="0"/>
              <w:left w:val="single" w:color="1F4E79" w:sz="0" w:space="0"/>
              <w:bottom w:val="single" w:color="1F4E79" w:sz="0" w:space="0"/>
              <w:right w:val="single" w:color="1F4E79" w:sz="0" w:space="0"/>
            </w:tcBorders>
            <w:shd w:val="clear" w:color="auto" w:fill="1F4E79"/>
            <w:tcMar>
              <w:top w:w="100" w:type="dxa"/>
              <w:left w:w="120" w:type="dxa"/>
              <w:bottom w:w="100" w:type="dxa"/>
              <w:right w:w="120" w:type="dxa"/>
            </w:tcMar>
            <w:vAlign w:val="center"/>
          </w:tcPr>
          <w:p w14:paraId="520021D0">
            <w:pPr>
              <w:jc w:val="center"/>
            </w:pPr>
            <w:r>
              <w:rPr>
                <w:rFonts w:ascii="Arial" w:hAnsi="Arial" w:eastAsia="Arial" w:cs="Arial"/>
                <w:b/>
                <w:bCs/>
                <w:color w:val="FFFFFF"/>
                <w:sz w:val="20"/>
                <w:szCs w:val="20"/>
              </w:rPr>
              <w:t>评分区间</w:t>
            </w:r>
          </w:p>
        </w:tc>
        <w:tc>
          <w:tcPr>
            <w:tcW w:w="1800" w:type="dxa"/>
            <w:tcBorders>
              <w:top w:val="single" w:color="1F4E79" w:sz="0" w:space="0"/>
              <w:left w:val="single" w:color="1F4E79" w:sz="0" w:space="0"/>
              <w:bottom w:val="single" w:color="1F4E79" w:sz="0" w:space="0"/>
              <w:right w:val="single" w:color="1F4E79" w:sz="0" w:space="0"/>
            </w:tcBorders>
            <w:shd w:val="clear" w:color="auto" w:fill="1F4E79"/>
            <w:tcMar>
              <w:top w:w="100" w:type="dxa"/>
              <w:left w:w="120" w:type="dxa"/>
              <w:bottom w:w="100" w:type="dxa"/>
              <w:right w:w="120" w:type="dxa"/>
            </w:tcMar>
            <w:vAlign w:val="center"/>
          </w:tcPr>
          <w:p w14:paraId="0C00E66E">
            <w:pPr>
              <w:jc w:val="center"/>
            </w:pPr>
            <w:r>
              <w:rPr>
                <w:rFonts w:ascii="Arial" w:hAnsi="Arial" w:eastAsia="Arial" w:cs="Arial"/>
                <w:b/>
                <w:bCs/>
                <w:color w:val="FFFFFF"/>
                <w:sz w:val="20"/>
                <w:szCs w:val="20"/>
              </w:rPr>
              <w:t>风险等级</w:t>
            </w:r>
          </w:p>
        </w:tc>
        <w:tc>
          <w:tcPr>
            <w:tcW w:w="1800" w:type="dxa"/>
            <w:tcBorders>
              <w:top w:val="single" w:color="1F4E79" w:sz="0" w:space="0"/>
              <w:left w:val="single" w:color="1F4E79" w:sz="0" w:space="0"/>
              <w:bottom w:val="single" w:color="1F4E79" w:sz="0" w:space="0"/>
              <w:right w:val="single" w:color="1F4E79" w:sz="0" w:space="0"/>
            </w:tcBorders>
            <w:shd w:val="clear" w:color="auto" w:fill="1F4E79"/>
            <w:tcMar>
              <w:top w:w="100" w:type="dxa"/>
              <w:left w:w="120" w:type="dxa"/>
              <w:bottom w:w="100" w:type="dxa"/>
              <w:right w:w="120" w:type="dxa"/>
            </w:tcMar>
            <w:vAlign w:val="center"/>
          </w:tcPr>
          <w:p w14:paraId="7FBA5623">
            <w:pPr>
              <w:jc w:val="center"/>
            </w:pPr>
            <w:r>
              <w:rPr>
                <w:rFonts w:ascii="Arial" w:hAnsi="Arial" w:eastAsia="Arial" w:cs="Arial"/>
                <w:b/>
                <w:bCs/>
                <w:color w:val="FFFFFF"/>
                <w:sz w:val="20"/>
                <w:szCs w:val="20"/>
              </w:rPr>
              <w:t>逾期率预估</w:t>
            </w:r>
          </w:p>
        </w:tc>
        <w:tc>
          <w:tcPr>
            <w:tcW w:w="2160" w:type="dxa"/>
            <w:tcBorders>
              <w:top w:val="single" w:color="1F4E79" w:sz="0" w:space="0"/>
              <w:left w:val="single" w:color="1F4E79" w:sz="0" w:space="0"/>
              <w:bottom w:val="single" w:color="1F4E79" w:sz="0" w:space="0"/>
              <w:right w:val="single" w:color="1F4E79" w:sz="0" w:space="0"/>
            </w:tcBorders>
            <w:shd w:val="clear" w:color="auto" w:fill="1F4E79"/>
            <w:tcMar>
              <w:top w:w="100" w:type="dxa"/>
              <w:left w:w="120" w:type="dxa"/>
              <w:bottom w:w="100" w:type="dxa"/>
              <w:right w:w="120" w:type="dxa"/>
            </w:tcMar>
            <w:vAlign w:val="center"/>
          </w:tcPr>
          <w:p w14:paraId="55F5BA50">
            <w:pPr>
              <w:jc w:val="center"/>
            </w:pPr>
            <w:r>
              <w:rPr>
                <w:rFonts w:ascii="Arial" w:hAnsi="Arial" w:eastAsia="Arial" w:cs="Arial"/>
                <w:b/>
                <w:bCs/>
                <w:color w:val="FFFFFF"/>
                <w:sz w:val="20"/>
                <w:szCs w:val="20"/>
              </w:rPr>
              <w:t>建议授信额度</w:t>
            </w:r>
          </w:p>
        </w:tc>
        <w:tc>
          <w:tcPr>
            <w:tcW w:w="2100" w:type="dxa"/>
            <w:tcBorders>
              <w:top w:val="single" w:color="1F4E79" w:sz="0" w:space="0"/>
              <w:left w:val="single" w:color="1F4E79" w:sz="0" w:space="0"/>
              <w:bottom w:val="single" w:color="1F4E79" w:sz="0" w:space="0"/>
              <w:right w:val="single" w:color="1F4E79" w:sz="0" w:space="0"/>
            </w:tcBorders>
            <w:shd w:val="clear" w:color="auto" w:fill="1F4E79"/>
            <w:tcMar>
              <w:top w:w="100" w:type="dxa"/>
              <w:left w:w="120" w:type="dxa"/>
              <w:bottom w:w="100" w:type="dxa"/>
              <w:right w:w="120" w:type="dxa"/>
            </w:tcMar>
            <w:vAlign w:val="center"/>
          </w:tcPr>
          <w:p w14:paraId="0EA1B952">
            <w:pPr>
              <w:jc w:val="center"/>
            </w:pPr>
            <w:r>
              <w:rPr>
                <w:rFonts w:ascii="Arial" w:hAnsi="Arial" w:eastAsia="Arial" w:cs="Arial"/>
                <w:b/>
                <w:bCs/>
                <w:color w:val="FFFFFF"/>
                <w:sz w:val="20"/>
                <w:szCs w:val="20"/>
              </w:rPr>
              <w:t>额度策略</w:t>
            </w:r>
          </w:p>
        </w:tc>
      </w:tr>
      <w:tr w14:paraId="62C91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AFDDE8B">
            <w:pPr>
              <w:jc w:val="center"/>
            </w:pPr>
            <w:r>
              <w:rPr>
                <w:rFonts w:ascii="Arial" w:hAnsi="Arial" w:eastAsia="Arial" w:cs="Arial"/>
                <w:sz w:val="20"/>
                <w:szCs w:val="20"/>
              </w:rPr>
              <w:t>≥ 700分</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9BB7B18">
            <w:pPr>
              <w:jc w:val="center"/>
            </w:pPr>
            <w:r>
              <w:rPr>
                <w:rFonts w:ascii="Arial" w:hAnsi="Arial" w:eastAsia="Arial" w:cs="Arial"/>
                <w:sz w:val="20"/>
                <w:szCs w:val="20"/>
              </w:rPr>
              <w:t>极低风险</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D2F1E96">
            <w:pPr>
              <w:jc w:val="center"/>
            </w:pPr>
            <w:r>
              <w:rPr>
                <w:rFonts w:ascii="Arial" w:hAnsi="Arial" w:eastAsia="Arial" w:cs="Arial"/>
                <w:sz w:val="20"/>
                <w:szCs w:val="20"/>
              </w:rPr>
              <w:t>&lt; 0.5%</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4A3766A">
            <w:pPr>
              <w:jc w:val="center"/>
            </w:pPr>
            <w:r>
              <w:rPr>
                <w:rFonts w:ascii="Arial" w:hAnsi="Arial" w:eastAsia="Arial" w:cs="Arial"/>
                <w:sz w:val="20"/>
                <w:szCs w:val="20"/>
              </w:rPr>
              <w:t>20,000–50,000元</w:t>
            </w:r>
          </w:p>
        </w:tc>
        <w:tc>
          <w:tcPr>
            <w:tcW w:w="2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1D867A1">
            <w:pPr>
              <w:jc w:val="left"/>
            </w:pPr>
            <w:r>
              <w:rPr>
                <w:rFonts w:ascii="Arial" w:hAnsi="Arial" w:eastAsia="Arial" w:cs="Arial"/>
                <w:sz w:val="20"/>
                <w:szCs w:val="20"/>
              </w:rPr>
              <w:t>高额度激励，主动营销</w:t>
            </w:r>
          </w:p>
        </w:tc>
      </w:tr>
      <w:tr w14:paraId="00DED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B586507">
            <w:pPr>
              <w:jc w:val="center"/>
            </w:pPr>
            <w:r>
              <w:rPr>
                <w:rFonts w:ascii="Arial" w:hAnsi="Arial" w:eastAsia="Arial" w:cs="Arial"/>
                <w:sz w:val="20"/>
                <w:szCs w:val="20"/>
              </w:rPr>
              <w:t>650–699分</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585E59A">
            <w:pPr>
              <w:jc w:val="center"/>
            </w:pPr>
            <w:r>
              <w:rPr>
                <w:rFonts w:ascii="Arial" w:hAnsi="Arial" w:eastAsia="Arial" w:cs="Arial"/>
                <w:sz w:val="20"/>
                <w:szCs w:val="20"/>
              </w:rPr>
              <w:t>低风险</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0D0CF0E">
            <w:pPr>
              <w:jc w:val="center"/>
            </w:pPr>
            <w:r>
              <w:rPr>
                <w:rFonts w:ascii="Arial" w:hAnsi="Arial" w:eastAsia="Arial" w:cs="Arial"/>
                <w:sz w:val="20"/>
                <w:szCs w:val="20"/>
              </w:rPr>
              <w:t>0.5%–1.5%</w:t>
            </w:r>
          </w:p>
        </w:tc>
        <w:tc>
          <w:tcPr>
            <w:tcW w:w="21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B0C98F8">
            <w:pPr>
              <w:jc w:val="center"/>
            </w:pPr>
            <w:r>
              <w:rPr>
                <w:rFonts w:ascii="Arial" w:hAnsi="Arial" w:eastAsia="Arial" w:cs="Arial"/>
                <w:sz w:val="20"/>
                <w:szCs w:val="20"/>
              </w:rPr>
              <w:t>10,000–20,000元</w:t>
            </w:r>
          </w:p>
        </w:tc>
        <w:tc>
          <w:tcPr>
            <w:tcW w:w="21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6267AE6">
            <w:pPr>
              <w:jc w:val="left"/>
            </w:pPr>
            <w:r>
              <w:rPr>
                <w:rFonts w:ascii="Arial" w:hAnsi="Arial" w:eastAsia="Arial" w:cs="Arial"/>
                <w:sz w:val="20"/>
                <w:szCs w:val="20"/>
              </w:rPr>
              <w:t>常规授信，适度提额</w:t>
            </w:r>
          </w:p>
        </w:tc>
      </w:tr>
      <w:tr w14:paraId="38028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F6BC2B3">
            <w:pPr>
              <w:jc w:val="center"/>
            </w:pPr>
            <w:r>
              <w:rPr>
                <w:rFonts w:ascii="Arial" w:hAnsi="Arial" w:eastAsia="Arial" w:cs="Arial"/>
                <w:sz w:val="20"/>
                <w:szCs w:val="20"/>
              </w:rPr>
              <w:t>600–649分</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4166B06">
            <w:pPr>
              <w:jc w:val="center"/>
            </w:pPr>
            <w:r>
              <w:rPr>
                <w:rFonts w:ascii="Arial" w:hAnsi="Arial" w:eastAsia="Arial" w:cs="Arial"/>
                <w:sz w:val="20"/>
                <w:szCs w:val="20"/>
              </w:rPr>
              <w:t>中等风险</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2FAD5A3">
            <w:pPr>
              <w:jc w:val="center"/>
            </w:pPr>
            <w:r>
              <w:rPr>
                <w:rFonts w:ascii="Arial" w:hAnsi="Arial" w:eastAsia="Arial" w:cs="Arial"/>
                <w:sz w:val="20"/>
                <w:szCs w:val="20"/>
              </w:rPr>
              <w:t>1.5%–3.5%</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71FB2FD">
            <w:pPr>
              <w:jc w:val="center"/>
            </w:pPr>
            <w:r>
              <w:rPr>
                <w:rFonts w:ascii="Arial" w:hAnsi="Arial" w:eastAsia="Arial" w:cs="Arial"/>
                <w:sz w:val="20"/>
                <w:szCs w:val="20"/>
              </w:rPr>
              <w:t>5,000–10,000元</w:t>
            </w:r>
          </w:p>
        </w:tc>
        <w:tc>
          <w:tcPr>
            <w:tcW w:w="2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EB1CF1E">
            <w:pPr>
              <w:jc w:val="left"/>
            </w:pPr>
            <w:r>
              <w:rPr>
                <w:rFonts w:ascii="Arial" w:hAnsi="Arial" w:eastAsia="Arial" w:cs="Arial"/>
                <w:sz w:val="20"/>
                <w:szCs w:val="20"/>
              </w:rPr>
              <w:t>保守授信，关注行为</w:t>
            </w:r>
          </w:p>
        </w:tc>
      </w:tr>
      <w:tr w14:paraId="1A10B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C169C2B">
            <w:pPr>
              <w:jc w:val="center"/>
            </w:pPr>
            <w:r>
              <w:rPr>
                <w:rFonts w:ascii="Arial" w:hAnsi="Arial" w:eastAsia="Arial" w:cs="Arial"/>
                <w:sz w:val="20"/>
                <w:szCs w:val="20"/>
              </w:rPr>
              <w:t>550–599分</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DB69905">
            <w:pPr>
              <w:jc w:val="center"/>
            </w:pPr>
            <w:r>
              <w:rPr>
                <w:rFonts w:ascii="Arial" w:hAnsi="Arial" w:eastAsia="Arial" w:cs="Arial"/>
                <w:sz w:val="20"/>
                <w:szCs w:val="20"/>
              </w:rPr>
              <w:t>较高风险</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9D525FD">
            <w:pPr>
              <w:jc w:val="center"/>
            </w:pPr>
            <w:r>
              <w:rPr>
                <w:rFonts w:ascii="Arial" w:hAnsi="Arial" w:eastAsia="Arial" w:cs="Arial"/>
                <w:sz w:val="20"/>
                <w:szCs w:val="20"/>
              </w:rPr>
              <w:t>3.5%–6.0%</w:t>
            </w:r>
          </w:p>
        </w:tc>
        <w:tc>
          <w:tcPr>
            <w:tcW w:w="21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02FCF3E">
            <w:pPr>
              <w:jc w:val="center"/>
            </w:pPr>
            <w:r>
              <w:rPr>
                <w:rFonts w:ascii="Arial" w:hAnsi="Arial" w:eastAsia="Arial" w:cs="Arial"/>
                <w:sz w:val="20"/>
                <w:szCs w:val="20"/>
              </w:rPr>
              <w:t>2,000–5,000元</w:t>
            </w:r>
          </w:p>
        </w:tc>
        <w:tc>
          <w:tcPr>
            <w:tcW w:w="21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8E0ADC5">
            <w:pPr>
              <w:jc w:val="left"/>
            </w:pPr>
            <w:r>
              <w:rPr>
                <w:rFonts w:ascii="Arial" w:hAnsi="Arial" w:eastAsia="Arial" w:cs="Arial"/>
                <w:sz w:val="20"/>
                <w:szCs w:val="20"/>
              </w:rPr>
              <w:t>低起始额度，观察期</w:t>
            </w:r>
          </w:p>
        </w:tc>
      </w:tr>
      <w:tr w14:paraId="2FC88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03BAA36">
            <w:pPr>
              <w:jc w:val="center"/>
            </w:pPr>
            <w:r>
              <w:rPr>
                <w:rFonts w:ascii="Arial" w:hAnsi="Arial" w:eastAsia="Arial" w:cs="Arial"/>
                <w:sz w:val="20"/>
                <w:szCs w:val="20"/>
              </w:rPr>
              <w:t>&lt; 550分</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FBEF558">
            <w:pPr>
              <w:jc w:val="center"/>
            </w:pPr>
            <w:r>
              <w:rPr>
                <w:rFonts w:ascii="Arial" w:hAnsi="Arial" w:eastAsia="Arial" w:cs="Arial"/>
                <w:sz w:val="20"/>
                <w:szCs w:val="20"/>
              </w:rPr>
              <w:t>高风险</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A4EAF22">
            <w:pPr>
              <w:jc w:val="center"/>
            </w:pPr>
            <w:r>
              <w:rPr>
                <w:rFonts w:ascii="Arial" w:hAnsi="Arial" w:eastAsia="Arial" w:cs="Arial"/>
                <w:sz w:val="20"/>
                <w:szCs w:val="20"/>
              </w:rPr>
              <w:t>&gt; 6.0%</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FF5E52C">
            <w:pPr>
              <w:jc w:val="center"/>
            </w:pPr>
            <w:r>
              <w:rPr>
                <w:rFonts w:ascii="Arial" w:hAnsi="Arial" w:eastAsia="Arial" w:cs="Arial"/>
                <w:sz w:val="20"/>
                <w:szCs w:val="20"/>
              </w:rPr>
              <w:t>拒绝或500–2,000元</w:t>
            </w:r>
          </w:p>
        </w:tc>
        <w:tc>
          <w:tcPr>
            <w:tcW w:w="2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069BD9C">
            <w:pPr>
              <w:jc w:val="left"/>
            </w:pPr>
            <w:r>
              <w:rPr>
                <w:rFonts w:ascii="Arial" w:hAnsi="Arial" w:eastAsia="Arial" w:cs="Arial"/>
                <w:sz w:val="20"/>
                <w:szCs w:val="20"/>
              </w:rPr>
              <w:t>拒贷或安全网兜底</w:t>
            </w:r>
          </w:p>
        </w:tc>
      </w:tr>
    </w:tbl>
    <w:p w14:paraId="36A60805">
      <w:pPr>
        <w:spacing w:before="180" w:after="60"/>
      </w:pPr>
      <w:r>
        <w:rPr>
          <w:rFonts w:ascii="Arial" w:hAnsi="Arial" w:eastAsia="Arial" w:cs="Arial"/>
          <w:i/>
          <w:iCs/>
          <w:color w:val="808080"/>
          <w:sz w:val="18"/>
          <w:szCs w:val="18"/>
        </w:rPr>
        <w:t>表1：A卡评分分层与授信额度建议框架</w:t>
      </w:r>
    </w:p>
    <w:p w14:paraId="062F364C">
      <w:pPr>
        <w:pStyle w:val="3"/>
        <w:spacing w:before="360" w:after="180"/>
        <w:rPr>
          <w:rFonts w:ascii="Arial" w:hAnsi="Arial" w:eastAsia="Arial" w:cs="Arial"/>
          <w:b/>
          <w:bCs/>
          <w:color w:val="1F4E79"/>
          <w:sz w:val="32"/>
          <w:szCs w:val="32"/>
        </w:rPr>
      </w:pPr>
      <w:r>
        <w:rPr>
          <w:rFonts w:hint="eastAsia" w:ascii="Arial" w:hAnsi="Arial" w:eastAsia="Arial" w:cs="Arial"/>
          <w:b/>
          <w:bCs/>
          <w:color w:val="1F4E79"/>
          <w:sz w:val="32"/>
          <w:szCs w:val="32"/>
          <w:lang w:val="en-US" w:eastAsia="zh-CN"/>
        </w:rPr>
        <w:t>2.2.1</w:t>
      </w:r>
      <w:r>
        <w:rPr>
          <w:rFonts w:ascii="Arial" w:hAnsi="Arial" w:eastAsia="Arial" w:cs="Arial"/>
          <w:b/>
          <w:bCs/>
          <w:color w:val="1F4E79"/>
          <w:sz w:val="32"/>
          <w:szCs w:val="32"/>
        </w:rPr>
        <w:t>对于额度是否给的合理，如何进行判断</w:t>
      </w:r>
    </w:p>
    <w:p w14:paraId="2A1ED9B7">
      <w:pPr>
        <w:pStyle w:val="30"/>
        <w:keepNext w:val="0"/>
        <w:keepLines w:val="0"/>
        <w:widowControl/>
        <w:numPr>
          <w:ilvl w:val="0"/>
          <w:numId w:val="7"/>
        </w:numPr>
        <w:suppressLineNumbers w:val="0"/>
        <w:rPr>
          <w:rFonts w:ascii="Arial" w:hAnsi="Arial" w:eastAsia="Arial" w:cs="Arial"/>
          <w:b/>
          <w:bCs/>
          <w:color w:val="2E75B6"/>
          <w:kern w:val="0"/>
          <w:sz w:val="28"/>
          <w:szCs w:val="28"/>
        </w:rPr>
      </w:pPr>
      <w:r>
        <w:rPr>
          <w:rFonts w:ascii="Arial" w:hAnsi="Arial" w:eastAsia="Arial" w:cs="Arial"/>
          <w:b/>
          <w:bCs/>
          <w:color w:val="2E75B6"/>
          <w:kern w:val="0"/>
          <w:sz w:val="28"/>
          <w:szCs w:val="28"/>
        </w:rPr>
        <w:t>风险：</w:t>
      </w:r>
    </w:p>
    <w:p w14:paraId="085C48F4">
      <w:pPr>
        <w:pStyle w:val="30"/>
        <w:keepNext w:val="0"/>
        <w:keepLines w:val="0"/>
        <w:widowControl/>
        <w:suppressLineNumbers w:val="0"/>
        <w:rPr>
          <w:rFonts w:ascii="微软雅黑" w:hAnsi="微软雅黑" w:eastAsia="微软雅黑" w:cs="微软雅黑"/>
          <w:color w:val="1A1A1A"/>
          <w:kern w:val="0"/>
          <w:sz w:val="22"/>
          <w:szCs w:val="22"/>
          <w:lang w:val="en-US" w:eastAsia="en-US" w:bidi="ar-SA"/>
        </w:rPr>
      </w:pPr>
      <w:r>
        <w:rPr>
          <w:rFonts w:ascii="微软雅黑" w:hAnsi="微软雅黑" w:eastAsia="微软雅黑" w:cs="微软雅黑"/>
          <w:color w:val="1A1A1A"/>
          <w:kern w:val="0"/>
          <w:sz w:val="22"/>
          <w:szCs w:val="22"/>
          <w:lang w:val="en-US" w:eastAsia="en-US" w:bidi="ar-SA"/>
        </w:rPr>
        <w:t>1) 比较快速的反应指标为fpd7%,监控用户的评分卡(A/B/CD)是否符合预期</w:t>
      </w:r>
    </w:p>
    <w:p w14:paraId="16192082">
      <w:pPr>
        <w:pStyle w:val="30"/>
        <w:keepNext w:val="0"/>
        <w:keepLines w:val="0"/>
        <w:widowControl/>
        <w:suppressLineNumbers w:val="0"/>
        <w:rPr>
          <w:rFonts w:ascii="微软雅黑" w:hAnsi="微软雅黑" w:eastAsia="微软雅黑" w:cs="微软雅黑"/>
          <w:color w:val="1A1A1A"/>
          <w:kern w:val="0"/>
          <w:sz w:val="22"/>
          <w:szCs w:val="22"/>
          <w:lang w:val="en-US" w:eastAsia="en-US" w:bidi="ar-SA"/>
        </w:rPr>
      </w:pPr>
      <w:r>
        <w:rPr>
          <w:rFonts w:ascii="微软雅黑" w:hAnsi="微软雅黑" w:eastAsia="微软雅黑" w:cs="微软雅黑"/>
          <w:color w:val="1A1A1A"/>
          <w:kern w:val="0"/>
          <w:sz w:val="22"/>
          <w:szCs w:val="22"/>
          <w:lang w:val="en-US" w:eastAsia="en-US" w:bidi="ar-SA"/>
        </w:rPr>
        <w:t>2) 长期指标，结合vintage平稳趋势最早的mob和roll rate滚动率较高的bucket</w:t>
      </w:r>
    </w:p>
    <w:p w14:paraId="43C705BE">
      <w:pPr>
        <w:pStyle w:val="30"/>
        <w:keepNext w:val="0"/>
        <w:keepLines w:val="0"/>
        <w:widowControl/>
        <w:suppressLineNumbers w:val="0"/>
        <w:jc w:val="left"/>
        <w:rPr>
          <w:rFonts w:ascii="Arial" w:hAnsi="Arial" w:eastAsia="Arial" w:cs="Arial"/>
          <w:b/>
          <w:bCs/>
          <w:color w:val="2E75B6"/>
          <w:kern w:val="0"/>
          <w:sz w:val="28"/>
          <w:szCs w:val="28"/>
        </w:rPr>
      </w:pPr>
      <w:r>
        <w:rPr>
          <w:rFonts w:hint="eastAsia" w:ascii="Arial" w:hAnsi="Arial" w:eastAsia="宋体" w:cs="Arial"/>
          <w:b/>
          <w:bCs/>
          <w:color w:val="2E75B6"/>
          <w:kern w:val="0"/>
          <w:sz w:val="28"/>
          <w:szCs w:val="28"/>
          <w:lang w:val="en-US" w:eastAsia="zh-CN"/>
        </w:rPr>
        <w:t xml:space="preserve">B. </w:t>
      </w:r>
      <w:r>
        <w:rPr>
          <w:rFonts w:ascii="Arial" w:hAnsi="Arial" w:eastAsia="Arial" w:cs="Arial"/>
          <w:b/>
          <w:bCs/>
          <w:color w:val="2E75B6"/>
          <w:kern w:val="0"/>
          <w:sz w:val="28"/>
          <w:szCs w:val="28"/>
        </w:rPr>
        <w:t>额度使用率</w:t>
      </w:r>
    </w:p>
    <w:p w14:paraId="681D210C">
      <w:pPr>
        <w:pStyle w:val="30"/>
        <w:keepNext w:val="0"/>
        <w:keepLines w:val="0"/>
        <w:widowControl/>
        <w:suppressLineNumbers w:val="0"/>
        <w:rPr>
          <w:rFonts w:ascii="微软雅黑" w:hAnsi="微软雅黑" w:eastAsia="微软雅黑" w:cs="微软雅黑"/>
          <w:color w:val="1A1A1A"/>
          <w:kern w:val="0"/>
          <w:sz w:val="22"/>
          <w:szCs w:val="22"/>
          <w:lang w:val="en-US" w:eastAsia="en-US" w:bidi="ar-SA"/>
        </w:rPr>
      </w:pPr>
      <w:r>
        <w:rPr>
          <w:rFonts w:ascii="微软雅黑" w:hAnsi="微软雅黑" w:eastAsia="微软雅黑" w:cs="微软雅黑"/>
          <w:color w:val="1A1A1A"/>
          <w:kern w:val="0"/>
          <w:sz w:val="22"/>
          <w:szCs w:val="22"/>
          <w:lang w:val="en-US" w:eastAsia="en-US" w:bidi="ar-SA"/>
        </w:rPr>
        <w:t>风险越低，额度使用率越低(因为是较优质用户，其他平台或许会给出更高的额度，更低的定价，然后把这些用户吸引走了，我们的产品沦落为这些用户的备选产品)，可以通过电话回访等方式了解用户的诉求，然后再来优化我们的给额策略</w:t>
      </w:r>
    </w:p>
    <w:p w14:paraId="54F996A5">
      <w:pPr>
        <w:pStyle w:val="30"/>
        <w:keepNext w:val="0"/>
        <w:keepLines w:val="0"/>
        <w:widowControl/>
        <w:suppressLineNumbers w:val="0"/>
        <w:jc w:val="left"/>
        <w:rPr>
          <w:rFonts w:ascii="Arial" w:hAnsi="Arial" w:eastAsia="Arial" w:cs="Arial"/>
          <w:b/>
          <w:bCs/>
          <w:color w:val="2E75B6"/>
          <w:kern w:val="0"/>
          <w:sz w:val="28"/>
          <w:szCs w:val="28"/>
        </w:rPr>
      </w:pPr>
      <w:r>
        <w:rPr>
          <w:rFonts w:hint="eastAsia" w:ascii="Arial" w:hAnsi="Arial" w:eastAsia="宋体" w:cs="Arial"/>
          <w:b/>
          <w:bCs/>
          <w:color w:val="2E75B6"/>
          <w:kern w:val="0"/>
          <w:sz w:val="28"/>
          <w:szCs w:val="28"/>
          <w:lang w:val="en-US" w:eastAsia="zh-CN"/>
        </w:rPr>
        <w:t>C.</w:t>
      </w:r>
      <w:r>
        <w:rPr>
          <w:rFonts w:ascii="Arial" w:hAnsi="Arial" w:eastAsia="Arial" w:cs="Arial"/>
          <w:b/>
          <w:bCs/>
          <w:color w:val="2E75B6"/>
          <w:kern w:val="0"/>
          <w:sz w:val="28"/>
          <w:szCs w:val="28"/>
        </w:rPr>
        <w:t>利润率</w:t>
      </w:r>
    </w:p>
    <w:p w14:paraId="7D194FA1">
      <w:pPr>
        <w:pStyle w:val="30"/>
        <w:keepNext w:val="0"/>
        <w:keepLines w:val="0"/>
        <w:widowControl/>
        <w:suppressLineNumbers w:val="0"/>
        <w:rPr>
          <w:rFonts w:ascii="微软雅黑" w:hAnsi="微软雅黑" w:eastAsia="微软雅黑" w:cs="微软雅黑"/>
          <w:color w:val="1A1A1A"/>
          <w:kern w:val="0"/>
          <w:sz w:val="22"/>
          <w:szCs w:val="22"/>
          <w:lang w:val="en-US" w:eastAsia="en-US" w:bidi="ar-SA"/>
        </w:rPr>
      </w:pPr>
      <w:r>
        <w:rPr>
          <w:rFonts w:ascii="微软雅黑" w:hAnsi="微软雅黑" w:eastAsia="微软雅黑" w:cs="微软雅黑"/>
          <w:color w:val="1A1A1A"/>
          <w:kern w:val="0"/>
          <w:sz w:val="22"/>
          <w:szCs w:val="22"/>
          <w:lang w:val="en-US" w:eastAsia="en-US" w:bidi="ar-SA"/>
        </w:rPr>
        <w:t>对于新客而言，不同阶段或不同的公司策略不一样，根据公司的目标，结合定价监控利润率，若不能完成目标及时调整和优化</w:t>
      </w:r>
    </w:p>
    <w:p w14:paraId="34A658EB">
      <w:pPr>
        <w:pStyle w:val="30"/>
        <w:keepNext w:val="0"/>
        <w:keepLines w:val="0"/>
        <w:widowControl/>
        <w:numPr>
          <w:ilvl w:val="0"/>
          <w:numId w:val="8"/>
        </w:numPr>
        <w:suppressLineNumbers w:val="0"/>
        <w:jc w:val="left"/>
        <w:rPr>
          <w:rFonts w:hint="eastAsia" w:ascii="Arial" w:hAnsi="Arial" w:eastAsia="宋体" w:cs="Arial"/>
          <w:b/>
          <w:bCs/>
          <w:color w:val="2E75B6"/>
          <w:kern w:val="0"/>
          <w:sz w:val="28"/>
          <w:szCs w:val="28"/>
          <w:lang w:val="en-US" w:eastAsia="en-US"/>
        </w:rPr>
      </w:pPr>
      <w:r>
        <w:rPr>
          <w:rFonts w:hint="eastAsia" w:ascii="Arial" w:hAnsi="Arial" w:eastAsia="宋体" w:cs="Arial"/>
          <w:b/>
          <w:bCs/>
          <w:color w:val="2E75B6"/>
          <w:kern w:val="0"/>
          <w:sz w:val="28"/>
          <w:szCs w:val="28"/>
          <w:lang w:val="en-US" w:eastAsia="zh-CN"/>
        </w:rPr>
        <w:t>额度对GMV的影响</w:t>
      </w:r>
    </w:p>
    <w:p w14:paraId="1C17F503">
      <w:pPr>
        <w:pStyle w:val="30"/>
        <w:keepNext w:val="0"/>
        <w:keepLines w:val="0"/>
        <w:widowControl/>
        <w:numPr>
          <w:ilvl w:val="0"/>
          <w:numId w:val="8"/>
        </w:numPr>
        <w:suppressLineNumbers w:val="0"/>
        <w:ind w:left="0" w:leftChars="0" w:right="0" w:rightChars="0" w:firstLine="0" w:firstLineChars="0"/>
        <w:jc w:val="left"/>
        <w:rPr>
          <w:rFonts w:ascii="Arial" w:hAnsi="Arial" w:eastAsia="Arial" w:cs="Arial"/>
          <w:b/>
          <w:bCs/>
          <w:color w:val="2E75B6"/>
          <w:kern w:val="0"/>
          <w:sz w:val="28"/>
          <w:szCs w:val="28"/>
        </w:rPr>
      </w:pPr>
      <w:r>
        <w:rPr>
          <w:rFonts w:ascii="Arial" w:hAnsi="Arial" w:eastAsia="Arial" w:cs="Arial"/>
          <w:b/>
          <w:bCs/>
          <w:color w:val="2E75B6"/>
          <w:kern w:val="0"/>
          <w:sz w:val="28"/>
          <w:szCs w:val="28"/>
        </w:rPr>
        <w:t>用户满意度，提升用户体验</w:t>
      </w:r>
    </w:p>
    <w:p w14:paraId="65BC07FF">
      <w:pPr>
        <w:pStyle w:val="3"/>
        <w:spacing w:before="360" w:after="180"/>
        <w:rPr>
          <w:rFonts w:ascii="Arial" w:hAnsi="Arial" w:eastAsia="Arial" w:cs="Arial"/>
          <w:b/>
          <w:bCs/>
          <w:color w:val="1F4E79"/>
          <w:sz w:val="32"/>
          <w:szCs w:val="32"/>
        </w:rPr>
      </w:pPr>
      <w:r>
        <w:rPr>
          <w:rFonts w:hint="eastAsia" w:ascii="Arial" w:hAnsi="Arial" w:eastAsia="宋体" w:cs="Arial"/>
          <w:b/>
          <w:bCs/>
          <w:color w:val="1F4E79"/>
          <w:sz w:val="32"/>
          <w:szCs w:val="32"/>
          <w:lang w:val="en-US" w:eastAsia="zh-CN"/>
        </w:rPr>
        <w:t>2.2.2</w:t>
      </w:r>
      <w:r>
        <w:rPr>
          <w:rFonts w:ascii="Arial" w:hAnsi="Arial" w:eastAsia="Arial" w:cs="Arial"/>
          <w:b/>
          <w:bCs/>
          <w:color w:val="1F4E79"/>
          <w:sz w:val="32"/>
          <w:szCs w:val="32"/>
        </w:rPr>
        <w:t>、监控后的优化</w:t>
      </w:r>
    </w:p>
    <w:p w14:paraId="7427CAC3">
      <w:pPr>
        <w:pStyle w:val="30"/>
        <w:keepNext w:val="0"/>
        <w:keepLines w:val="0"/>
        <w:widowControl/>
        <w:suppressLineNumbers w:val="0"/>
        <w:rPr>
          <w:rFonts w:ascii="微软雅黑" w:hAnsi="微软雅黑" w:eastAsia="微软雅黑" w:cs="微软雅黑"/>
          <w:color w:val="1A1A1A"/>
          <w:kern w:val="0"/>
          <w:sz w:val="22"/>
          <w:szCs w:val="22"/>
          <w:lang w:val="en-US" w:eastAsia="en-US" w:bidi="ar-SA"/>
        </w:rPr>
      </w:pPr>
      <w:r>
        <w:rPr>
          <w:rFonts w:ascii="微软雅黑" w:hAnsi="微软雅黑" w:eastAsia="微软雅黑" w:cs="微软雅黑"/>
          <w:color w:val="1A1A1A"/>
          <w:kern w:val="0"/>
          <w:sz w:val="22"/>
          <w:szCs w:val="22"/>
          <w:lang w:val="en-US" w:eastAsia="en-US" w:bidi="ar-SA"/>
        </w:rPr>
        <w:t>不管是额度策略，定价策略，或者是准入策略，贷中策略，贷后策略等，都是"测试 --&gt;监控--&gt;优化调整"整个闭环链路，发现问题，分析原因，策略调整预判效果，监控是否达到预期目标，从而达到风控策略良性循环。</w:t>
      </w:r>
    </w:p>
    <w:p w14:paraId="1A558242">
      <w:pPr>
        <w:spacing w:before="60" w:after="60"/>
      </w:pPr>
    </w:p>
    <w:p w14:paraId="3FBAA671">
      <w:pPr>
        <w:pStyle w:val="3"/>
        <w:pBdr>
          <w:bottom w:val="single" w:color="1F5C99" w:sz="6" w:space="4"/>
        </w:pBdr>
        <w:spacing w:before="400" w:after="200"/>
        <w:rPr>
          <w:rFonts w:hint="default" w:eastAsia="微软雅黑"/>
          <w:lang w:val="en-US" w:eastAsia="zh-CN"/>
        </w:rPr>
      </w:pPr>
      <w:r>
        <w:rPr>
          <w:rFonts w:hint="eastAsia" w:ascii="微软雅黑" w:hAnsi="微软雅黑" w:eastAsia="微软雅黑" w:cs="微软雅黑"/>
          <w:b/>
          <w:bCs/>
          <w:color w:val="1F5C99"/>
          <w:sz w:val="32"/>
          <w:szCs w:val="32"/>
          <w:lang w:val="en-US" w:eastAsia="zh-CN"/>
        </w:rPr>
        <w:t>2.3</w:t>
      </w:r>
      <w:r>
        <w:rPr>
          <w:rFonts w:ascii="微软雅黑" w:hAnsi="微软雅黑" w:eastAsia="微软雅黑" w:cs="微软雅黑"/>
          <w:b/>
          <w:bCs/>
          <w:color w:val="1F5C99"/>
          <w:sz w:val="32"/>
          <w:szCs w:val="32"/>
        </w:rPr>
        <w:t>、</w:t>
      </w:r>
      <w:r>
        <w:rPr>
          <w:rFonts w:hint="eastAsia" w:ascii="微软雅黑" w:hAnsi="微软雅黑" w:eastAsia="微软雅黑" w:cs="微软雅黑"/>
          <w:b/>
          <w:bCs/>
          <w:color w:val="1F5C99"/>
          <w:sz w:val="32"/>
          <w:szCs w:val="32"/>
          <w:lang w:val="en-US" w:eastAsia="zh-CN"/>
        </w:rPr>
        <w:t>提额策略</w:t>
      </w:r>
    </w:p>
    <w:p w14:paraId="68E2C0F6">
      <w:pPr>
        <w:pStyle w:val="4"/>
        <w:spacing w:before="300" w:after="160"/>
      </w:pPr>
      <w:r>
        <w:rPr>
          <w:rFonts w:ascii="微软雅黑" w:hAnsi="微软雅黑" w:eastAsia="微软雅黑" w:cs="微软雅黑"/>
          <w:b/>
          <w:bCs/>
          <w:color w:val="2E4057"/>
          <w:sz w:val="26"/>
          <w:szCs w:val="26"/>
        </w:rPr>
        <w:t>场景一：不同风险等级用户的提额幅度测算</w:t>
      </w:r>
    </w:p>
    <w:p w14:paraId="66754749">
      <w:pPr>
        <w:spacing w:before="80" w:after="80" w:line="360" w:lineRule="auto"/>
        <w:ind w:firstLine="440"/>
        <w:jc w:val="both"/>
      </w:pPr>
      <w:r>
        <w:rPr>
          <w:rFonts w:ascii="微软雅黑" w:hAnsi="微软雅黑" w:eastAsia="微软雅黑" w:cs="微软雅黑"/>
          <w:color w:val="1A1A1A"/>
          <w:sz w:val="22"/>
          <w:szCs w:val="22"/>
        </w:rPr>
        <w:t>测试背景：基于B卡评分（Bscore）对用户进行风险分层，通过A/B测压观察不同风险等级下，提额后的风险变化情况，从而确定各层级的提额上限。</w:t>
      </w:r>
    </w:p>
    <w:p w14:paraId="3909934A">
      <w:pPr>
        <w:spacing w:before="60" w:after="60"/>
      </w:pPr>
    </w:p>
    <w:p w14:paraId="01C72164">
      <w:pPr>
        <w:spacing w:before="120" w:after="60"/>
        <w:jc w:val="center"/>
      </w:pPr>
      <w:r>
        <w:drawing>
          <wp:inline distT="0" distB="0" distL="0" distR="0">
            <wp:extent cx="4572000" cy="1457325"/>
            <wp:effectExtent l="0" t="0" r="0"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6"/>
                    <a:srcRect/>
                    <a:stretch>
                      <a:fillRect/>
                    </a:stretch>
                  </pic:blipFill>
                  <pic:spPr>
                    <a:xfrm>
                      <a:off x="0" y="0"/>
                      <a:ext cx="4572000" cy="1457325"/>
                    </a:xfrm>
                    <a:prstGeom prst="rect">
                      <a:avLst/>
                    </a:prstGeom>
                  </pic:spPr>
                </pic:pic>
              </a:graphicData>
            </a:graphic>
          </wp:inline>
        </w:drawing>
      </w:r>
    </w:p>
    <w:p w14:paraId="00FBDAF2">
      <w:pPr>
        <w:spacing w:before="60" w:after="120"/>
        <w:jc w:val="center"/>
      </w:pPr>
      <w:r>
        <w:rPr>
          <w:rFonts w:ascii="微软雅黑" w:hAnsi="微软雅黑" w:eastAsia="微软雅黑" w:cs="微软雅黑"/>
          <w:i/>
          <w:iCs/>
          <w:color w:val="888888"/>
          <w:sz w:val="18"/>
          <w:szCs w:val="18"/>
        </w:rPr>
        <w:t>表1-1：不同风险等级用户提额测试结果（数据为示例，非真实数据）</w:t>
      </w:r>
    </w:p>
    <w:p w14:paraId="5E8F134B">
      <w:pPr>
        <w:spacing w:before="60" w:after="60"/>
      </w:pPr>
    </w:p>
    <w:p w14:paraId="1AA99040">
      <w:pPr>
        <w:spacing w:before="80" w:after="80" w:line="360" w:lineRule="auto"/>
        <w:ind w:firstLine="440"/>
        <w:jc w:val="both"/>
      </w:pPr>
      <w:r>
        <w:rPr>
          <w:rFonts w:ascii="微软雅黑" w:hAnsi="微软雅黑" w:eastAsia="微软雅黑" w:cs="微软雅黑"/>
          <w:color w:val="1A1A1A"/>
          <w:sz w:val="22"/>
          <w:szCs w:val="22"/>
        </w:rPr>
        <w:t>结论解读：</w:t>
      </w:r>
    </w:p>
    <w:p w14:paraId="130BC7EB">
      <w:pPr>
        <w:spacing w:before="80" w:after="80" w:line="360" w:lineRule="auto"/>
        <w:ind w:firstLine="440"/>
        <w:jc w:val="both"/>
      </w:pPr>
      <w:r>
        <w:rPr>
          <w:rFonts w:ascii="微软雅黑" w:hAnsi="微软雅黑" w:eastAsia="微软雅黑" w:cs="微软雅黑"/>
          <w:color w:val="1A1A1A"/>
          <w:sz w:val="22"/>
          <w:szCs w:val="22"/>
        </w:rPr>
        <w:t>• 700分以上用户：提额至5,000元风险仍可控，说明额度上限有进一步上调空间，可持续加压直至风险收益达标。</w:t>
      </w:r>
    </w:p>
    <w:p w14:paraId="218A1F76">
      <w:pPr>
        <w:spacing w:before="80" w:after="80" w:line="360" w:lineRule="auto"/>
        <w:ind w:firstLine="440"/>
        <w:jc w:val="both"/>
      </w:pPr>
      <w:r>
        <w:rPr>
          <w:rFonts w:ascii="微软雅黑" w:hAnsi="微软雅黑" w:eastAsia="微软雅黑" w:cs="微软雅黑"/>
          <w:color w:val="1A1A1A"/>
          <w:sz w:val="22"/>
          <w:szCs w:val="22"/>
        </w:rPr>
        <w:t>• [500, 600) 分段用户：提额至1,000元后风险显著上升，该群体的提额上限约为1,000元。</w:t>
      </w:r>
    </w:p>
    <w:p w14:paraId="7C67565A">
      <w:pPr>
        <w:spacing w:before="60" w:after="60"/>
      </w:pPr>
    </w:p>
    <w:p w14:paraId="3403551E">
      <w:pPr>
        <w:pStyle w:val="4"/>
        <w:spacing w:before="300" w:after="160"/>
      </w:pPr>
      <w:r>
        <w:rPr>
          <w:rFonts w:ascii="微软雅黑" w:hAnsi="微软雅黑" w:eastAsia="微软雅黑" w:cs="微软雅黑"/>
          <w:b/>
          <w:bCs/>
          <w:color w:val="2E4057"/>
          <w:sz w:val="26"/>
          <w:szCs w:val="26"/>
        </w:rPr>
        <w:t>场景二：同一风险等级下不同初始额度的提额幅度测算</w:t>
      </w:r>
    </w:p>
    <w:p w14:paraId="25301333">
      <w:pPr>
        <w:spacing w:before="80" w:after="80" w:line="360" w:lineRule="auto"/>
        <w:ind w:firstLine="440"/>
        <w:jc w:val="both"/>
      </w:pPr>
      <w:r>
        <w:rPr>
          <w:rFonts w:ascii="微软雅黑" w:hAnsi="微软雅黑" w:eastAsia="微软雅黑" w:cs="微软雅黑"/>
          <w:color w:val="1A1A1A"/>
          <w:sz w:val="22"/>
          <w:szCs w:val="22"/>
        </w:rPr>
        <w:t>测试背景：在Bscore相同区间内，初始额度不同的用户，其提额路径和上限是否有差异？理论上，同风险等级的用户最终额度应趋于一致。</w:t>
      </w:r>
    </w:p>
    <w:p w14:paraId="57868E93">
      <w:pPr>
        <w:spacing w:before="60" w:after="60"/>
      </w:pPr>
    </w:p>
    <w:p w14:paraId="3B250393">
      <w:pPr>
        <w:spacing w:before="120" w:after="60"/>
        <w:jc w:val="center"/>
      </w:pPr>
      <w:r>
        <w:drawing>
          <wp:inline distT="0" distB="0" distL="0" distR="0">
            <wp:extent cx="4572000" cy="15240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7"/>
                    <a:srcRect/>
                    <a:stretch>
                      <a:fillRect/>
                    </a:stretch>
                  </pic:blipFill>
                  <pic:spPr>
                    <a:xfrm>
                      <a:off x="0" y="0"/>
                      <a:ext cx="4572000" cy="1524000"/>
                    </a:xfrm>
                    <a:prstGeom prst="rect">
                      <a:avLst/>
                    </a:prstGeom>
                  </pic:spPr>
                </pic:pic>
              </a:graphicData>
            </a:graphic>
          </wp:inline>
        </w:drawing>
      </w:r>
    </w:p>
    <w:p w14:paraId="1A27A121">
      <w:pPr>
        <w:spacing w:before="60" w:after="120"/>
        <w:jc w:val="center"/>
      </w:pPr>
      <w:r>
        <w:rPr>
          <w:rFonts w:ascii="微软雅黑" w:hAnsi="微软雅黑" w:eastAsia="微软雅黑" w:cs="微软雅黑"/>
          <w:i/>
          <w:iCs/>
          <w:color w:val="888888"/>
          <w:sz w:val="18"/>
          <w:szCs w:val="18"/>
        </w:rPr>
        <w:t>表1-2：[600, 700)分段用户不同初始额度提额测试结果（数据为示例，非真实数据）</w:t>
      </w:r>
    </w:p>
    <w:p w14:paraId="5E56C1B9">
      <w:pPr>
        <w:spacing w:before="60" w:after="60"/>
      </w:pPr>
    </w:p>
    <w:p w14:paraId="65F93B84">
      <w:pPr>
        <w:spacing w:before="80" w:after="80" w:line="360" w:lineRule="auto"/>
        <w:ind w:firstLine="440"/>
        <w:jc w:val="both"/>
      </w:pPr>
      <w:r>
        <w:rPr>
          <w:rFonts w:ascii="微软雅黑" w:hAnsi="微软雅黑" w:eastAsia="微软雅黑" w:cs="微软雅黑"/>
          <w:color w:val="1A1A1A"/>
          <w:sz w:val="22"/>
          <w:szCs w:val="22"/>
        </w:rPr>
        <w:t>结论解读：</w:t>
      </w:r>
    </w:p>
    <w:p w14:paraId="79D292B4">
      <w:pPr>
        <w:spacing w:before="80" w:after="80" w:line="360" w:lineRule="auto"/>
        <w:ind w:firstLine="440"/>
        <w:jc w:val="both"/>
      </w:pPr>
      <w:r>
        <w:rPr>
          <w:rFonts w:ascii="微软雅黑" w:hAnsi="微软雅黑" w:eastAsia="微软雅黑" w:cs="微软雅黑"/>
          <w:color w:val="1A1A1A"/>
          <w:sz w:val="22"/>
          <w:szCs w:val="22"/>
        </w:rPr>
        <w:t>• 初始额度越低的用户，提额幅度越大（追赶效应），与理论预期一致。</w:t>
      </w:r>
    </w:p>
    <w:p w14:paraId="2B435C95">
      <w:pPr>
        <w:spacing w:before="80" w:after="80" w:line="360" w:lineRule="auto"/>
        <w:ind w:firstLine="440"/>
        <w:jc w:val="both"/>
      </w:pPr>
      <w:r>
        <w:rPr>
          <w:rFonts w:ascii="微软雅黑" w:hAnsi="微软雅黑" w:eastAsia="微软雅黑" w:cs="微软雅黑"/>
          <w:color w:val="1A1A1A"/>
          <w:sz w:val="22"/>
          <w:szCs w:val="22"/>
        </w:rPr>
        <w:t>• [600, 700) 分段用户提额至约20,000元时，预期风险约为4%，可结合收益损失模型进行最终决策。</w:t>
      </w:r>
    </w:p>
    <w:p w14:paraId="5141F31B">
      <w:pPr>
        <w:spacing w:before="60" w:after="60"/>
      </w:pPr>
    </w:p>
    <w:p w14:paraId="689E98BE">
      <w:pPr>
        <w:pBdr>
          <w:top w:val="single" w:color="DDDDDD" w:sz="2" w:space="6"/>
        </w:pBdr>
        <w:spacing w:before="300" w:after="0"/>
      </w:pPr>
    </w:p>
    <w:p w14:paraId="126C0440">
      <w:pPr>
        <w:pStyle w:val="3"/>
        <w:pBdr>
          <w:bottom w:val="single" w:color="1F5C99" w:sz="6" w:space="4"/>
        </w:pBdr>
        <w:spacing w:before="400" w:after="200"/>
      </w:pPr>
      <w:r>
        <w:rPr>
          <w:rFonts w:hint="eastAsia" w:ascii="微软雅黑" w:hAnsi="微软雅黑" w:eastAsia="微软雅黑" w:cs="微软雅黑"/>
          <w:b/>
          <w:bCs/>
          <w:color w:val="1F5C99"/>
          <w:sz w:val="32"/>
          <w:szCs w:val="32"/>
          <w:lang w:val="en-US" w:eastAsia="zh-CN"/>
        </w:rPr>
        <w:t>2.3</w:t>
      </w:r>
      <w:r>
        <w:rPr>
          <w:rFonts w:ascii="微软雅黑" w:hAnsi="微软雅黑" w:eastAsia="微软雅黑" w:cs="微软雅黑"/>
          <w:b/>
          <w:bCs/>
          <w:color w:val="1F5C99"/>
          <w:sz w:val="32"/>
          <w:szCs w:val="32"/>
        </w:rPr>
        <w:t>、额度策略上线与监控</w:t>
      </w:r>
    </w:p>
    <w:p w14:paraId="25376942">
      <w:pPr>
        <w:pStyle w:val="4"/>
        <w:spacing w:before="300" w:after="160"/>
      </w:pPr>
      <w:r>
        <w:rPr>
          <w:rFonts w:hint="eastAsia" w:ascii="微软雅黑" w:hAnsi="微软雅黑" w:eastAsia="微软雅黑" w:cs="微软雅黑"/>
          <w:b/>
          <w:bCs/>
          <w:color w:val="2E4057"/>
          <w:sz w:val="26"/>
          <w:szCs w:val="26"/>
          <w:lang w:val="en-US" w:eastAsia="zh-CN"/>
        </w:rPr>
        <w:t>2.</w:t>
      </w:r>
      <w:r>
        <w:rPr>
          <w:rFonts w:ascii="微软雅黑" w:hAnsi="微软雅黑" w:eastAsia="微软雅黑" w:cs="微软雅黑"/>
          <w:b/>
          <w:bCs/>
          <w:color w:val="2E4057"/>
          <w:sz w:val="26"/>
          <w:szCs w:val="26"/>
        </w:rPr>
        <w:t>3.1 灰度发布策略</w:t>
      </w:r>
    </w:p>
    <w:p w14:paraId="6FD44B71">
      <w:pPr>
        <w:spacing w:before="80" w:after="80" w:line="360" w:lineRule="auto"/>
        <w:ind w:firstLine="440"/>
        <w:jc w:val="both"/>
      </w:pPr>
      <w:r>
        <w:rPr>
          <w:rFonts w:ascii="微软雅黑" w:hAnsi="微软雅黑" w:eastAsia="微软雅黑" w:cs="微软雅黑"/>
          <w:color w:val="1A1A1A"/>
          <w:sz w:val="22"/>
          <w:szCs w:val="22"/>
        </w:rPr>
        <w:t>策略验证通过后，不建议直接全量上线，推荐采用灰度流量分配方式逐步推进：</w:t>
      </w:r>
    </w:p>
    <w:p w14:paraId="1FE77CC9">
      <w:pPr>
        <w:spacing w:before="60" w:after="60"/>
      </w:pPr>
    </w:p>
    <w:tbl>
      <w:tblPr>
        <w:tblStyle w:val="3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413"/>
        <w:gridCol w:w="3413"/>
      </w:tblGrid>
      <w:tr w14:paraId="443AC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1F5C99"/>
            <w:tcMar>
              <w:top w:w="100" w:type="dxa"/>
              <w:left w:w="150" w:type="dxa"/>
              <w:bottom w:w="100" w:type="dxa"/>
              <w:right w:w="150" w:type="dxa"/>
            </w:tcMar>
          </w:tcPr>
          <w:p w14:paraId="0BCE34D0">
            <w:pPr>
              <w:jc w:val="center"/>
            </w:pPr>
            <w:r>
              <w:rPr>
                <w:rFonts w:ascii="微软雅黑" w:hAnsi="微软雅黑" w:eastAsia="微软雅黑" w:cs="微软雅黑"/>
                <w:b/>
                <w:bCs/>
                <w:color w:val="FFFFFF"/>
                <w:sz w:val="22"/>
                <w:szCs w:val="22"/>
              </w:rPr>
              <w:t>阶段</w:t>
            </w:r>
          </w:p>
        </w:tc>
        <w:tc>
          <w:tcPr>
            <w:tcW w:w="3413" w:type="dxa"/>
            <w:tcBorders>
              <w:top w:val="single" w:color="CCCCCC" w:sz="0" w:space="0"/>
              <w:left w:val="single" w:color="CCCCCC" w:sz="0" w:space="0"/>
              <w:bottom w:val="single" w:color="CCCCCC" w:sz="0" w:space="0"/>
              <w:right w:val="single" w:color="CCCCCC" w:sz="0" w:space="0"/>
            </w:tcBorders>
            <w:shd w:val="clear" w:color="auto" w:fill="1F5C99"/>
            <w:tcMar>
              <w:top w:w="100" w:type="dxa"/>
              <w:left w:w="150" w:type="dxa"/>
              <w:bottom w:w="100" w:type="dxa"/>
              <w:right w:w="150" w:type="dxa"/>
            </w:tcMar>
          </w:tcPr>
          <w:p w14:paraId="6AD232CA">
            <w:pPr>
              <w:jc w:val="center"/>
            </w:pPr>
            <w:r>
              <w:rPr>
                <w:rFonts w:ascii="微软雅黑" w:hAnsi="微软雅黑" w:eastAsia="微软雅黑" w:cs="微软雅黑"/>
                <w:b/>
                <w:bCs/>
                <w:color w:val="FFFFFF"/>
                <w:sz w:val="22"/>
                <w:szCs w:val="22"/>
              </w:rPr>
              <w:t>流量占比</w:t>
            </w:r>
          </w:p>
        </w:tc>
        <w:tc>
          <w:tcPr>
            <w:tcW w:w="3413" w:type="dxa"/>
            <w:tcBorders>
              <w:top w:val="single" w:color="CCCCCC" w:sz="0" w:space="0"/>
              <w:left w:val="single" w:color="CCCCCC" w:sz="0" w:space="0"/>
              <w:bottom w:val="single" w:color="CCCCCC" w:sz="0" w:space="0"/>
              <w:right w:val="single" w:color="CCCCCC" w:sz="0" w:space="0"/>
            </w:tcBorders>
            <w:shd w:val="clear" w:color="auto" w:fill="1F5C99"/>
            <w:tcMar>
              <w:top w:w="100" w:type="dxa"/>
              <w:left w:w="150" w:type="dxa"/>
              <w:bottom w:w="100" w:type="dxa"/>
              <w:right w:w="150" w:type="dxa"/>
            </w:tcMar>
          </w:tcPr>
          <w:p w14:paraId="637F0A6D">
            <w:pPr>
              <w:jc w:val="center"/>
            </w:pPr>
            <w:r>
              <w:rPr>
                <w:rFonts w:ascii="微软雅黑" w:hAnsi="微软雅黑" w:eastAsia="微软雅黑" w:cs="微软雅黑"/>
                <w:b/>
                <w:bCs/>
                <w:color w:val="FFFFFF"/>
                <w:sz w:val="22"/>
                <w:szCs w:val="22"/>
              </w:rPr>
              <w:t>操作建议</w:t>
            </w:r>
          </w:p>
        </w:tc>
      </w:tr>
      <w:tr w14:paraId="39BF3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50" w:type="dxa"/>
              <w:bottom w:w="80" w:type="dxa"/>
              <w:right w:w="150" w:type="dxa"/>
            </w:tcMar>
          </w:tcPr>
          <w:p w14:paraId="62A66F7F">
            <w:pPr>
              <w:jc w:val="center"/>
            </w:pPr>
            <w:r>
              <w:rPr>
                <w:rFonts w:ascii="微软雅黑" w:hAnsi="微软雅黑" w:eastAsia="微软雅黑" w:cs="微软雅黑"/>
                <w:sz w:val="22"/>
                <w:szCs w:val="22"/>
              </w:rPr>
              <w:t>初始测试期</w:t>
            </w:r>
          </w:p>
        </w:tc>
        <w:tc>
          <w:tcPr>
            <w:tcW w:w="3413" w:type="dxa"/>
            <w:tcBorders>
              <w:top w:val="single" w:color="CCCCCC" w:sz="0" w:space="0"/>
              <w:left w:val="single" w:color="CCCCCC" w:sz="0" w:space="0"/>
              <w:bottom w:val="single" w:color="CCCCCC" w:sz="0" w:space="0"/>
              <w:right w:val="single" w:color="CCCCCC" w:sz="0" w:space="0"/>
            </w:tcBorders>
            <w:shd w:val="clear" w:color="auto" w:fill="F5F5F5"/>
            <w:tcMar>
              <w:top w:w="80" w:type="dxa"/>
              <w:left w:w="150" w:type="dxa"/>
              <w:bottom w:w="80" w:type="dxa"/>
              <w:right w:w="150" w:type="dxa"/>
            </w:tcMar>
          </w:tcPr>
          <w:p w14:paraId="3DD72EDB">
            <w:pPr>
              <w:jc w:val="center"/>
            </w:pPr>
            <w:r>
              <w:rPr>
                <w:rFonts w:ascii="微软雅黑" w:hAnsi="微软雅黑" w:eastAsia="微软雅黑" w:cs="微软雅黑"/>
                <w:sz w:val="22"/>
                <w:szCs w:val="22"/>
              </w:rPr>
              <w:t>10% ~ 20%</w:t>
            </w:r>
          </w:p>
        </w:tc>
        <w:tc>
          <w:tcPr>
            <w:tcW w:w="3413" w:type="dxa"/>
            <w:tcBorders>
              <w:top w:val="single" w:color="CCCCCC" w:sz="0" w:space="0"/>
              <w:left w:val="single" w:color="CCCCCC" w:sz="0" w:space="0"/>
              <w:bottom w:val="single" w:color="CCCCCC" w:sz="0" w:space="0"/>
              <w:right w:val="single" w:color="CCCCCC" w:sz="0" w:space="0"/>
            </w:tcBorders>
            <w:shd w:val="clear" w:color="auto" w:fill="F5F5F5"/>
            <w:tcMar>
              <w:top w:w="80" w:type="dxa"/>
              <w:left w:w="150" w:type="dxa"/>
              <w:bottom w:w="80" w:type="dxa"/>
              <w:right w:w="150" w:type="dxa"/>
            </w:tcMar>
          </w:tcPr>
          <w:p w14:paraId="28EEC543">
            <w:r>
              <w:rPr>
                <w:rFonts w:ascii="微软雅黑" w:hAnsi="微软雅黑" w:eastAsia="微软雅黑" w:cs="微软雅黑"/>
                <w:sz w:val="22"/>
                <w:szCs w:val="22"/>
              </w:rPr>
              <w:t>观察早期风险信号，重点关注逾期率变化</w:t>
            </w:r>
          </w:p>
        </w:tc>
      </w:tr>
      <w:tr w14:paraId="42E54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3B5D176C">
            <w:pPr>
              <w:jc w:val="center"/>
            </w:pPr>
            <w:r>
              <w:rPr>
                <w:rFonts w:ascii="微软雅黑" w:hAnsi="微软雅黑" w:eastAsia="微软雅黑" w:cs="微软雅黑"/>
                <w:sz w:val="22"/>
                <w:szCs w:val="22"/>
              </w:rPr>
              <w:t>稳定扩量期</w:t>
            </w:r>
          </w:p>
        </w:tc>
        <w:tc>
          <w:tcPr>
            <w:tcW w:w="34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267FD03D">
            <w:pPr>
              <w:jc w:val="center"/>
            </w:pPr>
            <w:r>
              <w:rPr>
                <w:rFonts w:ascii="微软雅黑" w:hAnsi="微软雅黑" w:eastAsia="微软雅黑" w:cs="微软雅黑"/>
                <w:sz w:val="22"/>
                <w:szCs w:val="22"/>
              </w:rPr>
              <w:t>30% ~ 50%</w:t>
            </w:r>
          </w:p>
        </w:tc>
        <w:tc>
          <w:tcPr>
            <w:tcW w:w="34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7267FC6E">
            <w:r>
              <w:rPr>
                <w:rFonts w:ascii="微软雅黑" w:hAnsi="微软雅黑" w:eastAsia="微软雅黑" w:cs="微软雅黑"/>
                <w:sz w:val="22"/>
                <w:szCs w:val="22"/>
              </w:rPr>
              <w:t>指标稳定后逐步扩大，验证结果可复现性</w:t>
            </w:r>
          </w:p>
        </w:tc>
      </w:tr>
      <w:tr w14:paraId="6427B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50" w:type="dxa"/>
              <w:bottom w:w="80" w:type="dxa"/>
              <w:right w:w="150" w:type="dxa"/>
            </w:tcMar>
          </w:tcPr>
          <w:p w14:paraId="0E78F5CC">
            <w:pPr>
              <w:jc w:val="center"/>
            </w:pPr>
            <w:r>
              <w:rPr>
                <w:rFonts w:ascii="微软雅黑" w:hAnsi="微软雅黑" w:eastAsia="微软雅黑" w:cs="微软雅黑"/>
                <w:sz w:val="22"/>
                <w:szCs w:val="22"/>
              </w:rPr>
              <w:t>全量切换期</w:t>
            </w:r>
          </w:p>
        </w:tc>
        <w:tc>
          <w:tcPr>
            <w:tcW w:w="3413" w:type="dxa"/>
            <w:tcBorders>
              <w:top w:val="single" w:color="CCCCCC" w:sz="0" w:space="0"/>
              <w:left w:val="single" w:color="CCCCCC" w:sz="0" w:space="0"/>
              <w:bottom w:val="single" w:color="CCCCCC" w:sz="0" w:space="0"/>
              <w:right w:val="single" w:color="CCCCCC" w:sz="0" w:space="0"/>
            </w:tcBorders>
            <w:shd w:val="clear" w:color="auto" w:fill="F5F5F5"/>
            <w:tcMar>
              <w:top w:w="80" w:type="dxa"/>
              <w:left w:w="150" w:type="dxa"/>
              <w:bottom w:w="80" w:type="dxa"/>
              <w:right w:w="150" w:type="dxa"/>
            </w:tcMar>
          </w:tcPr>
          <w:p w14:paraId="35CB3A74">
            <w:pPr>
              <w:jc w:val="center"/>
            </w:pPr>
            <w:r>
              <w:rPr>
                <w:rFonts w:ascii="微软雅黑" w:hAnsi="微软雅黑" w:eastAsia="微软雅黑" w:cs="微软雅黑"/>
                <w:sz w:val="22"/>
                <w:szCs w:val="22"/>
              </w:rPr>
              <w:t>100%</w:t>
            </w:r>
          </w:p>
        </w:tc>
        <w:tc>
          <w:tcPr>
            <w:tcW w:w="3413" w:type="dxa"/>
            <w:tcBorders>
              <w:top w:val="single" w:color="CCCCCC" w:sz="0" w:space="0"/>
              <w:left w:val="single" w:color="CCCCCC" w:sz="0" w:space="0"/>
              <w:bottom w:val="single" w:color="CCCCCC" w:sz="0" w:space="0"/>
              <w:right w:val="single" w:color="CCCCCC" w:sz="0" w:space="0"/>
            </w:tcBorders>
            <w:shd w:val="clear" w:color="auto" w:fill="F5F5F5"/>
            <w:tcMar>
              <w:top w:w="80" w:type="dxa"/>
              <w:left w:w="150" w:type="dxa"/>
              <w:bottom w:w="80" w:type="dxa"/>
              <w:right w:w="150" w:type="dxa"/>
            </w:tcMar>
          </w:tcPr>
          <w:p w14:paraId="417D8F70">
            <w:r>
              <w:rPr>
                <w:rFonts w:ascii="微软雅黑" w:hAnsi="微软雅黑" w:eastAsia="微软雅黑" w:cs="微软雅黑"/>
                <w:sz w:val="22"/>
                <w:szCs w:val="22"/>
              </w:rPr>
              <w:t>全量前完成风险压测，确保系统承载与策略一致性</w:t>
            </w:r>
          </w:p>
        </w:tc>
      </w:tr>
    </w:tbl>
    <w:p w14:paraId="1FECD60C">
      <w:pPr>
        <w:spacing w:before="60" w:after="60"/>
      </w:pPr>
    </w:p>
    <w:p w14:paraId="07B45872">
      <w:pPr>
        <w:pStyle w:val="4"/>
        <w:spacing w:before="300" w:after="160"/>
      </w:pPr>
      <w:r>
        <w:rPr>
          <w:rFonts w:hint="eastAsia" w:ascii="微软雅黑" w:hAnsi="微软雅黑" w:eastAsia="微软雅黑" w:cs="微软雅黑"/>
          <w:b/>
          <w:bCs/>
          <w:color w:val="2E4057"/>
          <w:sz w:val="26"/>
          <w:szCs w:val="26"/>
          <w:lang w:val="en-US" w:eastAsia="zh-CN"/>
        </w:rPr>
        <w:t>2.</w:t>
      </w:r>
      <w:r>
        <w:rPr>
          <w:rFonts w:ascii="微软雅黑" w:hAnsi="微软雅黑" w:eastAsia="微软雅黑" w:cs="微软雅黑"/>
          <w:b/>
          <w:bCs/>
          <w:color w:val="2E4057"/>
          <w:sz w:val="26"/>
          <w:szCs w:val="26"/>
        </w:rPr>
        <w:t>3.2 策略异常排查流程</w:t>
      </w:r>
    </w:p>
    <w:p w14:paraId="3A0980F0">
      <w:pPr>
        <w:spacing w:before="80" w:after="80" w:line="360" w:lineRule="auto"/>
        <w:ind w:firstLine="440"/>
        <w:jc w:val="both"/>
      </w:pPr>
      <w:r>
        <w:rPr>
          <w:rFonts w:ascii="微软雅黑" w:hAnsi="微软雅黑" w:eastAsia="微软雅黑" w:cs="微软雅黑"/>
          <w:color w:val="1A1A1A"/>
          <w:sz w:val="22"/>
          <w:szCs w:val="22"/>
        </w:rPr>
        <w:t>若监控数据显示策略效果未达预期，需按以下维度逐一排查：</w:t>
      </w:r>
    </w:p>
    <w:p w14:paraId="3AD250C6">
      <w:pPr>
        <w:spacing w:before="60" w:after="60"/>
      </w:pPr>
    </w:p>
    <w:tbl>
      <w:tblPr>
        <w:tblStyle w:val="3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7626"/>
      </w:tblGrid>
      <w:tr w14:paraId="5CD62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1F5C99"/>
            <w:tcMar>
              <w:top w:w="100" w:type="dxa"/>
              <w:left w:w="120" w:type="dxa"/>
              <w:bottom w:w="100" w:type="dxa"/>
              <w:right w:w="120" w:type="dxa"/>
            </w:tcMar>
            <w:vAlign w:val="center"/>
          </w:tcPr>
          <w:p w14:paraId="79B51A79">
            <w:pPr>
              <w:jc w:val="center"/>
            </w:pPr>
            <w:r>
              <w:rPr>
                <w:rFonts w:ascii="微软雅黑" w:hAnsi="微软雅黑" w:eastAsia="微软雅黑" w:cs="微软雅黑"/>
                <w:b/>
                <w:bCs/>
                <w:color w:val="FFFFFF"/>
                <w:sz w:val="22"/>
                <w:szCs w:val="22"/>
              </w:rPr>
              <w:t>用户群偏移</w:t>
            </w:r>
          </w:p>
        </w:tc>
        <w:tc>
          <w:tcPr>
            <w:tcW w:w="7626" w:type="dxa"/>
            <w:tcBorders>
              <w:top w:val="single" w:color="CCCCCC" w:sz="0" w:space="0"/>
              <w:left w:val="single" w:color="CCCCCC" w:sz="0" w:space="0"/>
              <w:bottom w:val="single" w:color="CCCCCC" w:sz="0" w:space="0"/>
              <w:right w:val="single" w:color="CCCCCC" w:sz="0" w:space="0"/>
            </w:tcBorders>
            <w:shd w:val="clear" w:color="auto" w:fill="D6E4F0"/>
            <w:tcMar>
              <w:top w:w="100" w:type="dxa"/>
              <w:left w:w="150" w:type="dxa"/>
              <w:bottom w:w="100" w:type="dxa"/>
              <w:right w:w="150" w:type="dxa"/>
            </w:tcMar>
          </w:tcPr>
          <w:p w14:paraId="27392609">
            <w:r>
              <w:rPr>
                <w:rFonts w:ascii="微软雅黑" w:hAnsi="微软雅黑" w:eastAsia="微软雅黑" w:cs="微软雅黑"/>
                <w:color w:val="1A1A1A"/>
                <w:sz w:val="22"/>
                <w:szCs w:val="22"/>
              </w:rPr>
              <w:t>检验测试组与对照组的用户特征分布是否发生偏移，A/B分组是否随机均衡。</w:t>
            </w:r>
          </w:p>
        </w:tc>
      </w:tr>
    </w:tbl>
    <w:p w14:paraId="14CAF091">
      <w:pPr>
        <w:spacing w:before="60" w:after="60"/>
      </w:pPr>
    </w:p>
    <w:tbl>
      <w:tblPr>
        <w:tblStyle w:val="3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7626"/>
      </w:tblGrid>
      <w:tr w14:paraId="14D9A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1F5C99"/>
            <w:tcMar>
              <w:top w:w="100" w:type="dxa"/>
              <w:left w:w="120" w:type="dxa"/>
              <w:bottom w:w="100" w:type="dxa"/>
              <w:right w:w="120" w:type="dxa"/>
            </w:tcMar>
            <w:vAlign w:val="center"/>
          </w:tcPr>
          <w:p w14:paraId="2108563D">
            <w:pPr>
              <w:jc w:val="center"/>
            </w:pPr>
            <w:r>
              <w:rPr>
                <w:rFonts w:ascii="微软雅黑" w:hAnsi="微软雅黑" w:eastAsia="微软雅黑" w:cs="微软雅黑"/>
                <w:b/>
                <w:bCs/>
                <w:color w:val="FFFFFF"/>
                <w:sz w:val="22"/>
                <w:szCs w:val="22"/>
              </w:rPr>
              <w:t>数据质量</w:t>
            </w:r>
          </w:p>
        </w:tc>
        <w:tc>
          <w:tcPr>
            <w:tcW w:w="7626" w:type="dxa"/>
            <w:tcBorders>
              <w:top w:val="single" w:color="CCCCCC" w:sz="0" w:space="0"/>
              <w:left w:val="single" w:color="CCCCCC" w:sz="0" w:space="0"/>
              <w:bottom w:val="single" w:color="CCCCCC" w:sz="0" w:space="0"/>
              <w:right w:val="single" w:color="CCCCCC" w:sz="0" w:space="0"/>
            </w:tcBorders>
            <w:shd w:val="clear" w:color="auto" w:fill="D6E4F0"/>
            <w:tcMar>
              <w:top w:w="100" w:type="dxa"/>
              <w:left w:w="150" w:type="dxa"/>
              <w:bottom w:w="100" w:type="dxa"/>
              <w:right w:w="150" w:type="dxa"/>
            </w:tcMar>
          </w:tcPr>
          <w:p w14:paraId="7FEEA375">
            <w:r>
              <w:rPr>
                <w:rFonts w:ascii="微软雅黑" w:hAnsi="微软雅黑" w:eastAsia="微软雅黑" w:cs="微软雅黑"/>
                <w:color w:val="1A1A1A"/>
                <w:sz w:val="22"/>
                <w:szCs w:val="22"/>
              </w:rPr>
              <w:t>核实数据采集、清洗、传输链路的完整性，确认特征值无缺失或异常。</w:t>
            </w:r>
          </w:p>
        </w:tc>
      </w:tr>
    </w:tbl>
    <w:p w14:paraId="3064426B">
      <w:pPr>
        <w:spacing w:before="60" w:after="60"/>
      </w:pPr>
    </w:p>
    <w:tbl>
      <w:tblPr>
        <w:tblStyle w:val="3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7626"/>
      </w:tblGrid>
      <w:tr w14:paraId="402C6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1F5C99"/>
            <w:tcMar>
              <w:top w:w="100" w:type="dxa"/>
              <w:left w:w="120" w:type="dxa"/>
              <w:bottom w:w="100" w:type="dxa"/>
              <w:right w:w="120" w:type="dxa"/>
            </w:tcMar>
            <w:vAlign w:val="center"/>
          </w:tcPr>
          <w:p w14:paraId="70A2ACB6">
            <w:pPr>
              <w:jc w:val="center"/>
            </w:pPr>
            <w:r>
              <w:rPr>
                <w:rFonts w:ascii="微软雅黑" w:hAnsi="微软雅黑" w:eastAsia="微软雅黑" w:cs="微软雅黑"/>
                <w:b/>
                <w:bCs/>
                <w:color w:val="FFFFFF"/>
                <w:sz w:val="22"/>
                <w:szCs w:val="22"/>
              </w:rPr>
              <w:t>策略部署</w:t>
            </w:r>
          </w:p>
        </w:tc>
        <w:tc>
          <w:tcPr>
            <w:tcW w:w="7626" w:type="dxa"/>
            <w:tcBorders>
              <w:top w:val="single" w:color="CCCCCC" w:sz="0" w:space="0"/>
              <w:left w:val="single" w:color="CCCCCC" w:sz="0" w:space="0"/>
              <w:bottom w:val="single" w:color="CCCCCC" w:sz="0" w:space="0"/>
              <w:right w:val="single" w:color="CCCCCC" w:sz="0" w:space="0"/>
            </w:tcBorders>
            <w:shd w:val="clear" w:color="auto" w:fill="D6E4F0"/>
            <w:tcMar>
              <w:top w:w="100" w:type="dxa"/>
              <w:left w:w="150" w:type="dxa"/>
              <w:bottom w:w="100" w:type="dxa"/>
              <w:right w:w="150" w:type="dxa"/>
            </w:tcMar>
          </w:tcPr>
          <w:p w14:paraId="40569AED">
            <w:r>
              <w:rPr>
                <w:rFonts w:ascii="微软雅黑" w:hAnsi="微软雅黑" w:eastAsia="微软雅黑" w:cs="微软雅黑"/>
                <w:color w:val="1A1A1A"/>
                <w:sz w:val="22"/>
                <w:szCs w:val="22"/>
              </w:rPr>
              <w:t>确认策略规则是否按预期上线，版本与配置是否与测试方案一致。</w:t>
            </w:r>
          </w:p>
        </w:tc>
      </w:tr>
    </w:tbl>
    <w:p w14:paraId="189DAFD8">
      <w:pPr>
        <w:spacing w:before="60" w:after="60"/>
      </w:pPr>
    </w:p>
    <w:p w14:paraId="6A94DC2D">
      <w:pPr>
        <w:spacing w:before="80" w:after="80" w:line="360" w:lineRule="auto"/>
        <w:ind w:firstLine="440"/>
        <w:jc w:val="both"/>
      </w:pPr>
      <w:r>
        <w:rPr>
          <w:rFonts w:ascii="微软雅黑" w:hAnsi="微软雅黑" w:eastAsia="微软雅黑" w:cs="微软雅黑"/>
          <w:color w:val="1A1A1A"/>
          <w:sz w:val="22"/>
          <w:szCs w:val="22"/>
        </w:rPr>
        <w:t>找到根本原因后，针对性优化策略并重新进行测试，循环迭代直至效果达标。</w:t>
      </w:r>
    </w:p>
    <w:p w14:paraId="7397A5D8"/>
    <w:p w14:paraId="01BC748E">
      <w:pPr>
        <w:pStyle w:val="3"/>
      </w:pPr>
      <w:r>
        <w:rPr>
          <w:rFonts w:ascii="微软雅黑" w:hAnsi="微软雅黑" w:eastAsia="微软雅黑"/>
          <w:color w:val="1F3864"/>
        </w:rPr>
        <w:t>三、定价策略体系</w:t>
      </w:r>
    </w:p>
    <w:p w14:paraId="6E3D46B9">
      <w:pPr>
        <w:pStyle w:val="4"/>
      </w:pPr>
      <w:r>
        <w:rPr>
          <w:rFonts w:ascii="微软雅黑" w:hAnsi="微软雅黑" w:eastAsia="微软雅黑"/>
          <w:color w:val="2E75B6"/>
        </w:rPr>
        <w:t>3.1 风险定价(RBP)原则</w:t>
      </w:r>
    </w:p>
    <w:p w14:paraId="1B396BCA">
      <w:pPr>
        <w:spacing w:after="80"/>
        <w:ind w:left="0"/>
        <w:rPr>
          <w:rFonts w:ascii="微软雅黑" w:hAnsi="微软雅黑" w:eastAsia="微软雅黑"/>
          <w:b w:val="0"/>
          <w:sz w:val="21"/>
        </w:rPr>
      </w:pPr>
      <w:r>
        <w:rPr>
          <w:rFonts w:ascii="微软雅黑" w:hAnsi="微软雅黑" w:eastAsia="微软雅黑"/>
          <w:b w:val="0"/>
          <w:sz w:val="21"/>
        </w:rPr>
        <w:t>风险定价（Risk-Based Pricing）是指金融机构根据借款人的</w:t>
      </w:r>
      <w:r>
        <w:rPr>
          <w:rFonts w:hint="eastAsia"/>
          <w:b w:val="0"/>
          <w:sz w:val="21"/>
          <w:lang w:val="en-US" w:eastAsia="zh-CN"/>
        </w:rPr>
        <w:t>违约</w:t>
      </w:r>
      <w:r>
        <w:rPr>
          <w:rFonts w:ascii="微软雅黑" w:hAnsi="微软雅黑" w:eastAsia="微软雅黑"/>
          <w:b w:val="0"/>
          <w:sz w:val="21"/>
        </w:rPr>
        <w:t>风险高低，差异化地</w:t>
      </w:r>
      <w:r>
        <w:rPr>
          <w:rFonts w:hint="eastAsia"/>
          <w:b w:val="0"/>
          <w:sz w:val="21"/>
          <w:lang w:val="en-US" w:eastAsia="zh-CN"/>
        </w:rPr>
        <w:t>制定信贷</w:t>
      </w:r>
      <w:r>
        <w:rPr>
          <w:rFonts w:ascii="微软雅黑" w:hAnsi="微软雅黑" w:eastAsia="微软雅黑"/>
          <w:b w:val="0"/>
          <w:sz w:val="21"/>
        </w:rPr>
        <w:t>利率的过程。</w:t>
      </w:r>
    </w:p>
    <w:p w14:paraId="18FCC8D4">
      <w:pPr>
        <w:spacing w:after="80"/>
        <w:ind w:left="0"/>
        <w:rPr>
          <w:rFonts w:ascii="微软雅黑" w:hAnsi="微软雅黑" w:eastAsia="微软雅黑"/>
          <w:b w:val="0"/>
          <w:sz w:val="21"/>
        </w:rPr>
      </w:pPr>
      <w:r>
        <w:rPr>
          <w:rFonts w:ascii="微软雅黑" w:hAnsi="微软雅黑" w:eastAsia="微软雅黑"/>
          <w:b w:val="0"/>
          <w:sz w:val="21"/>
        </w:rPr>
        <w:t>核心思想很简单：风险越高，要求的回报越高</w:t>
      </w:r>
      <w:r>
        <w:rPr>
          <w:rFonts w:hint="eastAsia"/>
          <w:b w:val="0"/>
          <w:sz w:val="21"/>
          <w:lang w:val="en-US" w:eastAsia="zh-CN"/>
        </w:rPr>
        <w:t>(风浪越大鱼越贵)</w:t>
      </w:r>
      <w:r>
        <w:rPr>
          <w:rFonts w:ascii="微软雅黑" w:hAnsi="微软雅黑" w:eastAsia="微软雅黑"/>
          <w:b w:val="0"/>
          <w:sz w:val="21"/>
        </w:rPr>
        <w:t>。就像保险公司给不同人收不同保费一样——有过事故的司机，保费当然更贵。</w:t>
      </w:r>
    </w:p>
    <w:p w14:paraId="6A14A6C5">
      <w:pPr>
        <w:pStyle w:val="4"/>
        <w:rPr>
          <w:rFonts w:hint="default" w:ascii="微软雅黑" w:hAnsi="微软雅黑" w:eastAsia="微软雅黑"/>
          <w:color w:val="2E75B6"/>
          <w:lang w:val="en-US" w:eastAsia="zh-CN"/>
        </w:rPr>
      </w:pPr>
      <w:r>
        <w:rPr>
          <w:rFonts w:hint="eastAsia" w:ascii="微软雅黑" w:hAnsi="微软雅黑" w:eastAsia="微软雅黑"/>
          <w:color w:val="2E75B6"/>
          <w:lang w:val="en-US" w:eastAsia="zh-CN"/>
        </w:rPr>
        <w:t xml:space="preserve">3.2 </w:t>
      </w:r>
      <w:r>
        <w:rPr>
          <w:rFonts w:ascii="微软雅黑" w:hAnsi="微软雅黑" w:eastAsia="微软雅黑"/>
          <w:color w:val="2E75B6"/>
        </w:rPr>
        <w:t>核心定价公式拆解</w:t>
      </w:r>
    </w:p>
    <w:p w14:paraId="6DAE8B04">
      <w:pPr>
        <w:spacing w:after="80"/>
        <w:ind w:left="0"/>
        <w:rPr>
          <w:rFonts w:ascii="微软雅黑" w:hAnsi="微软雅黑" w:eastAsia="微软雅黑"/>
          <w:b/>
          <w:sz w:val="21"/>
        </w:rPr>
      </w:pPr>
      <w:r>
        <w:rPr>
          <w:rFonts w:ascii="微软雅黑" w:hAnsi="微软雅黑" w:eastAsia="微软雅黑"/>
          <w:b/>
          <w:sz w:val="21"/>
        </w:rPr>
        <w:t>定价公式：</w:t>
      </w:r>
    </w:p>
    <w:p w14:paraId="4AC88B77">
      <w:pPr>
        <w:spacing w:after="80"/>
        <w:ind w:left="0" w:firstLine="720" w:firstLineChars="0"/>
        <w:rPr>
          <w:rFonts w:ascii="微软雅黑" w:hAnsi="微软雅黑" w:eastAsia="微软雅黑"/>
          <w:b/>
          <w:sz w:val="21"/>
        </w:rPr>
      </w:pPr>
      <w:r>
        <w:rPr>
          <w:rFonts w:hint="eastAsia"/>
          <w:b/>
          <w:sz w:val="21"/>
          <w:lang w:val="en-US" w:eastAsia="zh-CN"/>
        </w:rPr>
        <w:t>贷款预计收益=期限*月息</w:t>
      </w:r>
      <w:r>
        <w:rPr>
          <w:rFonts w:ascii="微软雅黑" w:hAnsi="微软雅黑" w:eastAsia="微软雅黑"/>
          <w:b/>
          <w:sz w:val="21"/>
        </w:rPr>
        <w:t xml:space="preserve"> = 资金成本率 + 运营成本率 + </w:t>
      </w:r>
      <w:r>
        <w:rPr>
          <w:rFonts w:hint="eastAsia"/>
          <w:b/>
          <w:sz w:val="21"/>
          <w:lang w:val="en-US" w:eastAsia="zh-CN"/>
        </w:rPr>
        <w:t>坏账 +利率损失</w:t>
      </w:r>
      <w:r>
        <w:rPr>
          <w:rFonts w:ascii="微软雅黑" w:hAnsi="微软雅黑" w:eastAsia="微软雅黑"/>
          <w:b/>
          <w:sz w:val="21"/>
        </w:rPr>
        <w:t xml:space="preserve"> + 目标利润率</w:t>
      </w:r>
    </w:p>
    <w:p w14:paraId="3A464B50">
      <w:pPr>
        <w:spacing w:after="80"/>
        <w:ind w:left="0" w:firstLine="720" w:firstLineChars="0"/>
        <w:rPr>
          <w:rFonts w:ascii="微软雅黑" w:hAnsi="微软雅黑" w:eastAsia="微软雅黑"/>
          <w:b/>
          <w:sz w:val="21"/>
        </w:rPr>
      </w:pPr>
    </w:p>
    <w:p w14:paraId="27F54C13">
      <w:pPr>
        <w:pStyle w:val="4"/>
        <w:rPr>
          <w:rFonts w:hint="eastAsia" w:ascii="微软雅黑" w:hAnsi="微软雅黑" w:eastAsia="微软雅黑"/>
          <w:color w:val="2E75B6"/>
          <w:lang w:val="en-US" w:eastAsia="zh-CN"/>
        </w:rPr>
      </w:pPr>
      <w:r>
        <w:rPr>
          <w:rFonts w:hint="eastAsia" w:ascii="微软雅黑" w:hAnsi="微软雅黑" w:eastAsia="微软雅黑"/>
          <w:color w:val="2E75B6"/>
          <w:lang w:val="en-US" w:eastAsia="zh-CN"/>
        </w:rPr>
        <w:t>3.3 风险定价如何制定</w:t>
      </w:r>
    </w:p>
    <w:p w14:paraId="3BD8B6CB">
      <w:pPr>
        <w:pStyle w:val="30"/>
        <w:keepNext w:val="0"/>
        <w:keepLines w:val="0"/>
        <w:widowControl/>
        <w:suppressLineNumbers w:val="0"/>
        <w:rPr>
          <w:rFonts w:ascii="微软雅黑" w:hAnsi="微软雅黑" w:eastAsia="微软雅黑" w:cstheme="minorBidi"/>
          <w:b w:val="0"/>
          <w:kern w:val="0"/>
          <w:sz w:val="21"/>
          <w:szCs w:val="22"/>
          <w:lang w:val="en-US" w:eastAsia="en-US" w:bidi="ar-SA"/>
        </w:rPr>
      </w:pPr>
      <w:r>
        <w:rPr>
          <w:rFonts w:ascii="微软雅黑" w:hAnsi="微软雅黑" w:eastAsia="微软雅黑" w:cstheme="minorBidi"/>
          <w:b w:val="0"/>
          <w:kern w:val="0"/>
          <w:sz w:val="21"/>
          <w:szCs w:val="22"/>
          <w:lang w:val="en-US" w:eastAsia="en-US" w:bidi="ar-SA"/>
        </w:rPr>
        <w:t>1). 使用A卡评分，对用户划分低/中/高风险等级，如果有还款能力模型的话，可以交叉A卡和还款能力模型生成新的用户风险等级划分</w:t>
      </w:r>
    </w:p>
    <w:p w14:paraId="7F639B33">
      <w:pPr>
        <w:pStyle w:val="30"/>
        <w:keepNext w:val="0"/>
        <w:keepLines w:val="0"/>
        <w:widowControl/>
        <w:suppressLineNumbers w:val="0"/>
        <w:rPr>
          <w:rFonts w:ascii="微软雅黑" w:hAnsi="微软雅黑" w:eastAsia="微软雅黑" w:cstheme="minorBidi"/>
          <w:b w:val="0"/>
          <w:kern w:val="0"/>
          <w:sz w:val="21"/>
          <w:szCs w:val="22"/>
          <w:lang w:val="en-US" w:eastAsia="en-US" w:bidi="ar-SA"/>
        </w:rPr>
      </w:pPr>
      <w:r>
        <w:rPr>
          <w:rFonts w:ascii="微软雅黑" w:hAnsi="微软雅黑" w:eastAsia="微软雅黑" w:cstheme="minorBidi"/>
          <w:b w:val="0"/>
          <w:kern w:val="0"/>
          <w:sz w:val="21"/>
          <w:szCs w:val="22"/>
          <w:lang w:val="en-US" w:eastAsia="en-US" w:bidi="ar-SA"/>
        </w:rPr>
        <w:t>2). 根据历史经验，划分出低/中高/风险等级用户的利息，以及坏账</w:t>
      </w:r>
    </w:p>
    <w:p w14:paraId="63C12059">
      <w:pPr>
        <w:pStyle w:val="30"/>
        <w:keepNext w:val="0"/>
        <w:keepLines w:val="0"/>
        <w:widowControl/>
        <w:suppressLineNumbers w:val="0"/>
        <w:rPr>
          <w:rFonts w:ascii="微软雅黑" w:hAnsi="微软雅黑" w:eastAsia="微软雅黑" w:cstheme="minorBidi"/>
          <w:b w:val="0"/>
          <w:kern w:val="0"/>
          <w:sz w:val="21"/>
          <w:szCs w:val="22"/>
          <w:lang w:val="en-US" w:eastAsia="en-US" w:bidi="ar-SA"/>
        </w:rPr>
      </w:pPr>
      <w:r>
        <w:rPr>
          <w:rFonts w:ascii="微软雅黑" w:hAnsi="微软雅黑" w:eastAsia="微软雅黑" w:cstheme="minorBidi"/>
          <w:b w:val="0"/>
          <w:kern w:val="0"/>
          <w:sz w:val="21"/>
          <w:szCs w:val="22"/>
          <w:lang w:val="en-US" w:eastAsia="en-US" w:bidi="ar-SA"/>
        </w:rPr>
        <w:t>3). 与市场/财务/业务进行沟通，分别获客成本/资金成本/运营成本等收入和支出项</w:t>
      </w:r>
    </w:p>
    <w:p w14:paraId="61CAE0F8">
      <w:pPr>
        <w:pStyle w:val="30"/>
        <w:keepNext w:val="0"/>
        <w:keepLines w:val="0"/>
        <w:widowControl/>
        <w:suppressLineNumbers w:val="0"/>
        <w:rPr>
          <w:rFonts w:ascii="微软雅黑" w:hAnsi="微软雅黑" w:eastAsia="微软雅黑" w:cstheme="minorBidi"/>
          <w:b w:val="0"/>
          <w:kern w:val="0"/>
          <w:sz w:val="21"/>
          <w:szCs w:val="22"/>
          <w:lang w:val="en-US" w:eastAsia="en-US" w:bidi="ar-SA"/>
        </w:rPr>
      </w:pPr>
      <w:r>
        <w:rPr>
          <w:rFonts w:ascii="微软雅黑" w:hAnsi="微软雅黑" w:eastAsia="微软雅黑" w:cstheme="minorBidi"/>
          <w:b w:val="0"/>
          <w:kern w:val="0"/>
          <w:sz w:val="21"/>
          <w:szCs w:val="22"/>
          <w:lang w:val="en-US" w:eastAsia="en-US" w:bidi="ar-SA"/>
        </w:rPr>
        <w:t>4). 根据不同成本&amp;收入项的算法，计算不同风险等级用户ue明细</w:t>
      </w:r>
    </w:p>
    <w:p w14:paraId="7D88B59D">
      <w:pPr>
        <w:pStyle w:val="30"/>
        <w:keepNext w:val="0"/>
        <w:keepLines w:val="0"/>
        <w:widowControl/>
        <w:suppressLineNumbers w:val="0"/>
        <w:rPr>
          <w:rFonts w:ascii="微软雅黑" w:hAnsi="微软雅黑" w:eastAsia="微软雅黑" w:cstheme="minorBidi"/>
          <w:b/>
          <w:bCs/>
          <w:kern w:val="0"/>
          <w:sz w:val="21"/>
          <w:szCs w:val="22"/>
          <w:lang w:val="en-US" w:eastAsia="en-US" w:bidi="ar-SA"/>
        </w:rPr>
      </w:pPr>
      <w:r>
        <w:rPr>
          <w:rFonts w:ascii="微软雅黑" w:hAnsi="微软雅黑" w:eastAsia="微软雅黑" w:cstheme="minorBidi"/>
          <w:b/>
          <w:bCs/>
          <w:kern w:val="0"/>
          <w:sz w:val="21"/>
          <w:szCs w:val="22"/>
          <w:lang w:val="en-US" w:eastAsia="en-US" w:bidi="ar-SA"/>
        </w:rPr>
        <w:t>ue列表如下:</w:t>
      </w:r>
    </w:p>
    <w:p w14:paraId="6F945446">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756275" cy="3616960"/>
            <wp:effectExtent l="0" t="0" r="9525" b="2540"/>
            <wp:docPr id="6"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descr="IMG_256"/>
                    <pic:cNvPicPr>
                      <a:picLocks noChangeAspect="1"/>
                    </pic:cNvPicPr>
                  </pic:nvPicPr>
                  <pic:blipFill>
                    <a:blip r:embed="rId8"/>
                    <a:stretch>
                      <a:fillRect/>
                    </a:stretch>
                  </pic:blipFill>
                  <pic:spPr>
                    <a:xfrm>
                      <a:off x="0" y="0"/>
                      <a:ext cx="5756275" cy="3616960"/>
                    </a:xfrm>
                    <a:prstGeom prst="rect">
                      <a:avLst/>
                    </a:prstGeom>
                    <a:noFill/>
                    <a:ln w="9525">
                      <a:noFill/>
                    </a:ln>
                  </pic:spPr>
                </pic:pic>
              </a:graphicData>
            </a:graphic>
          </wp:inline>
        </w:drawing>
      </w:r>
    </w:p>
    <w:p w14:paraId="2D287540"/>
    <w:p w14:paraId="46BC6B30">
      <w:pPr>
        <w:pStyle w:val="4"/>
      </w:pPr>
      <w:r>
        <w:rPr>
          <w:rFonts w:ascii="微软雅黑" w:hAnsi="微软雅黑" w:eastAsia="微软雅黑"/>
          <w:color w:val="2E75B6"/>
        </w:rPr>
        <w:t>3.</w:t>
      </w:r>
      <w:r>
        <w:rPr>
          <w:rFonts w:hint="eastAsia" w:ascii="微软雅黑" w:hAnsi="微软雅黑" w:eastAsia="微软雅黑"/>
          <w:color w:val="2E75B6"/>
          <w:lang w:val="en-US" w:eastAsia="zh-CN"/>
        </w:rPr>
        <w:t>4</w:t>
      </w:r>
      <w:r>
        <w:rPr>
          <w:rFonts w:ascii="微软雅黑" w:hAnsi="微软雅黑" w:eastAsia="微软雅黑"/>
          <w:color w:val="2E75B6"/>
        </w:rPr>
        <w:t xml:space="preserve"> 差异化定价落地策略</w:t>
      </w:r>
    </w:p>
    <w:p w14:paraId="05443565">
      <w:pPr>
        <w:spacing w:after="80"/>
        <w:ind w:left="0"/>
      </w:pPr>
      <w:r>
        <w:rPr>
          <w:rFonts w:ascii="微软雅黑" w:hAnsi="微软雅黑" w:eastAsia="微软雅黑"/>
          <w:b w:val="0"/>
          <w:sz w:val="21"/>
        </w:rPr>
        <w:t>在实际定价中，除了风险因素外，还需考虑市场竞争、客户留存、监管限制等综合因素：</w:t>
      </w:r>
    </w:p>
    <w:p w14:paraId="70696873">
      <w:pPr>
        <w:pStyle w:val="16"/>
      </w:pPr>
      <w:r>
        <w:rPr>
          <w:rFonts w:ascii="微软雅黑" w:hAnsi="微软雅黑" w:eastAsia="微软雅黑"/>
          <w:sz w:val="21"/>
        </w:rPr>
        <w:t>市场竞争溢价：在风险定价基础上，根据市场竞争情况适当调整</w:t>
      </w:r>
    </w:p>
    <w:p w14:paraId="413F1543">
      <w:pPr>
        <w:pStyle w:val="16"/>
      </w:pPr>
      <w:r>
        <w:rPr>
          <w:rFonts w:ascii="微软雅黑" w:hAnsi="微软雅黑" w:eastAsia="微软雅黑"/>
          <w:sz w:val="21"/>
        </w:rPr>
        <w:t>留存优惠利率：针对老客户、高价值客户给予利率优惠(降低1-3个百分点)</w:t>
      </w:r>
    </w:p>
    <w:p w14:paraId="001FC7CB">
      <w:pPr>
        <w:pStyle w:val="16"/>
      </w:pPr>
      <w:r>
        <w:rPr>
          <w:rFonts w:ascii="微软雅黑" w:hAnsi="微软雅黑" w:eastAsia="微软雅黑"/>
          <w:sz w:val="21"/>
        </w:rPr>
        <w:t>产品差异化定价：不同产品线(现金贷/分期/信用购)实施差异定价</w:t>
      </w:r>
    </w:p>
    <w:p w14:paraId="6D478840">
      <w:pPr>
        <w:pStyle w:val="16"/>
      </w:pPr>
      <w:r>
        <w:rPr>
          <w:rFonts w:ascii="微软雅黑" w:hAnsi="微软雅黑" w:eastAsia="微软雅黑"/>
          <w:sz w:val="21"/>
        </w:rPr>
        <w:t>渠道差异化定价：自营渠道定价相对优惠，助贷渠道定价相对较高</w:t>
      </w:r>
    </w:p>
    <w:p w14:paraId="243E7140">
      <w:pPr>
        <w:pStyle w:val="16"/>
      </w:pPr>
      <w:r>
        <w:rPr>
          <w:rFonts w:ascii="微软雅黑" w:hAnsi="微软雅黑" w:eastAsia="微软雅黑"/>
          <w:sz w:val="21"/>
        </w:rPr>
        <w:t>监管合规底线：确保APR不超过司法保护上限(24%)/法定上限(36%)</w:t>
      </w:r>
      <w:r>
        <w:rPr>
          <w:rFonts w:hint="eastAsia"/>
          <w:sz w:val="21"/>
          <w:lang w:val="en-US" w:eastAsia="zh-CN"/>
        </w:rPr>
        <w:t>,根据监管要求不同需要对IRR&amp;APR进行换算</w:t>
      </w:r>
    </w:p>
    <w:p w14:paraId="7D836245">
      <w:pPr>
        <w:rPr>
          <w:rFonts w:hint="default"/>
          <w:lang w:val="en-US" w:eastAsia="zh-CN"/>
        </w:rPr>
      </w:pPr>
    </w:p>
    <w:p w14:paraId="7C0CA0D2">
      <w:pPr>
        <w:pStyle w:val="4"/>
        <w:rPr>
          <w:rFonts w:hint="eastAsia" w:ascii="微软雅黑" w:hAnsi="微软雅黑" w:eastAsia="微软雅黑"/>
          <w:color w:val="2E75B6"/>
          <w:lang w:val="en-US" w:eastAsia="zh-CN"/>
        </w:rPr>
      </w:pPr>
      <w:r>
        <w:rPr>
          <w:rFonts w:ascii="微软雅黑" w:hAnsi="微软雅黑" w:eastAsia="微软雅黑"/>
          <w:color w:val="2E75B6"/>
        </w:rPr>
        <w:t>3.</w:t>
      </w:r>
      <w:r>
        <w:rPr>
          <w:rFonts w:hint="eastAsia" w:ascii="微软雅黑" w:hAnsi="微软雅黑" w:eastAsia="微软雅黑"/>
          <w:color w:val="2E75B6"/>
          <w:lang w:val="en-US" w:eastAsia="zh-CN"/>
        </w:rPr>
        <w:t>5</w:t>
      </w:r>
      <w:r>
        <w:rPr>
          <w:rFonts w:ascii="微软雅黑" w:hAnsi="微软雅黑" w:eastAsia="微软雅黑"/>
          <w:color w:val="2E75B6"/>
        </w:rPr>
        <w:t xml:space="preserve"> </w:t>
      </w:r>
      <w:r>
        <w:rPr>
          <w:rFonts w:hint="eastAsia" w:ascii="微软雅黑" w:hAnsi="微软雅黑" w:eastAsia="微软雅黑"/>
          <w:color w:val="2E75B6"/>
          <w:lang w:val="en-US" w:eastAsia="zh-CN"/>
        </w:rPr>
        <w:t>定价优化实战</w:t>
      </w:r>
    </w:p>
    <w:p w14:paraId="32B70FAB">
      <w:pPr>
        <w:spacing w:after="80"/>
        <w:ind w:left="0"/>
        <w:rPr>
          <w:rFonts w:hint="eastAsia"/>
          <w:b w:val="0"/>
          <w:sz w:val="21"/>
          <w:lang w:val="en-US" w:eastAsia="zh-CN"/>
        </w:rPr>
      </w:pPr>
      <w:r>
        <w:rPr>
          <w:rFonts w:hint="eastAsia" w:ascii="微软雅黑" w:hAnsi="微软雅黑" w:eastAsia="微软雅黑"/>
          <w:b/>
          <w:bCs/>
          <w:sz w:val="21"/>
          <w:lang w:val="en-US" w:eastAsia="zh-CN"/>
        </w:rPr>
        <w:t>背景:</w:t>
      </w:r>
      <w:r>
        <w:rPr>
          <w:rFonts w:hint="eastAsia"/>
          <w:b w:val="0"/>
          <w:sz w:val="21"/>
          <w:lang w:val="en-US" w:eastAsia="zh-CN"/>
        </w:rPr>
        <w:t>公司为了提高利润，希望策略部门，在风险不变或者略微上升的情况下，调整后的风险后收益高于调整前的风险后收益</w:t>
      </w:r>
    </w:p>
    <w:p w14:paraId="1FFA02D4">
      <w:pPr>
        <w:spacing w:after="80"/>
        <w:ind w:left="0"/>
        <w:rPr>
          <w:rFonts w:hint="eastAsia"/>
          <w:b w:val="0"/>
          <w:sz w:val="21"/>
          <w:lang w:val="en-US" w:eastAsia="zh-CN"/>
        </w:rPr>
      </w:pPr>
    </w:p>
    <w:p w14:paraId="3E02DD83">
      <w:pPr>
        <w:spacing w:after="80"/>
        <w:ind w:left="0"/>
        <w:rPr>
          <w:rFonts w:hint="eastAsia"/>
          <w:b w:val="0"/>
          <w:sz w:val="21"/>
          <w:lang w:val="en-US" w:eastAsia="zh-CN"/>
        </w:rPr>
      </w:pPr>
      <w:r>
        <w:rPr>
          <w:rFonts w:hint="eastAsia"/>
          <w:b w:val="0"/>
          <w:sz w:val="21"/>
          <w:lang w:val="en-US" w:eastAsia="zh-CN"/>
        </w:rPr>
        <w:t>收到这个需求后，首先是需要从全盘出发，看哪个用户等级对定价敏感度相对较低，且提价后风险基本不变或者略微上升。根据经验来说，中风险用户的价格敏感度较低，现在我们也不知道是否真的对定价敏感度角度，然后对中风险用户进行定价的A/B测试：</w:t>
      </w:r>
    </w:p>
    <w:p w14:paraId="50867070">
      <w:pPr>
        <w:spacing w:after="80"/>
        <w:ind w:left="0"/>
        <w:rPr>
          <w:rFonts w:hint="eastAsia"/>
          <w:b w:val="0"/>
          <w:sz w:val="21"/>
          <w:lang w:val="en-US" w:eastAsia="zh-CN"/>
        </w:rPr>
      </w:pPr>
    </w:p>
    <w:p w14:paraId="22CF6F3A">
      <w:pPr>
        <w:numPr>
          <w:ilvl w:val="0"/>
          <w:numId w:val="9"/>
        </w:numPr>
        <w:spacing w:after="80"/>
        <w:ind w:left="0"/>
        <w:rPr>
          <w:rFonts w:hint="eastAsia"/>
          <w:b w:val="0"/>
          <w:sz w:val="21"/>
          <w:lang w:val="en-US" w:eastAsia="zh-CN"/>
        </w:rPr>
      </w:pPr>
      <w:r>
        <w:rPr>
          <w:rFonts w:hint="eastAsia"/>
          <w:b w:val="0"/>
          <w:sz w:val="21"/>
          <w:lang w:val="en-US" w:eastAsia="zh-CN"/>
        </w:rPr>
        <w:t>把中风险用户分成3组(60%对照组/20%月息增加0.05%/20%月息增加0.1%)</w:t>
      </w:r>
    </w:p>
    <w:p w14:paraId="3FAB3A24">
      <w:pPr>
        <w:spacing w:after="80"/>
        <w:ind w:left="0"/>
        <w:rPr>
          <w:rFonts w:hint="eastAsia"/>
          <w:b w:val="0"/>
          <w:sz w:val="21"/>
          <w:lang w:val="en-US" w:eastAsia="zh-CN"/>
        </w:rPr>
      </w:pPr>
      <w:r>
        <w:rPr>
          <w:rFonts w:hint="eastAsia"/>
          <w:b w:val="0"/>
          <w:sz w:val="21"/>
          <w:lang w:val="en-US" w:eastAsia="zh-CN"/>
        </w:rPr>
        <w:t>该实验的预期影响如下(UE%/GMV/支用/坏账)：</w:t>
      </w:r>
      <w:bookmarkStart w:id="0" w:name="_GoBack"/>
      <w:bookmarkEnd w:id="0"/>
    </w:p>
    <w:p w14:paraId="0A2D0471">
      <w:pPr>
        <w:spacing w:after="80"/>
        <w:ind w:left="0"/>
        <w:rPr>
          <w:rFonts w:hint="default"/>
          <w:b w:val="0"/>
          <w:sz w:val="21"/>
          <w:lang w:val="en-US" w:eastAsia="zh-CN"/>
        </w:rPr>
      </w:pPr>
      <w:r>
        <w:rPr>
          <w:rFonts w:hint="eastAsia"/>
          <w:b w:val="0"/>
          <w:sz w:val="21"/>
          <w:lang w:val="en-US" w:eastAsia="zh-CN"/>
        </w:rPr>
        <w:t>本截图</w:t>
      </w:r>
      <w:r>
        <w:rPr>
          <w:rFonts w:hint="eastAsia"/>
          <w:b/>
          <w:bCs/>
          <w:sz w:val="21"/>
          <w:lang w:val="en-US" w:eastAsia="zh-CN"/>
        </w:rPr>
        <w:t>仅</w:t>
      </w:r>
      <w:r>
        <w:rPr>
          <w:rFonts w:hint="eastAsia"/>
          <w:b w:val="0"/>
          <w:sz w:val="21"/>
          <w:lang w:val="en-US" w:eastAsia="zh-CN"/>
        </w:rPr>
        <w:t>展示同一风险等级情况下，不同定价对UE%的影响:</w:t>
      </w:r>
    </w:p>
    <w:p w14:paraId="41EA3F69">
      <w:pPr>
        <w:spacing w:after="80"/>
        <w:ind w:left="0"/>
        <w:rPr>
          <w:rFonts w:hint="default"/>
          <w:b w:val="0"/>
          <w:sz w:val="21"/>
          <w:lang w:val="en-US" w:eastAsia="zh-CN"/>
        </w:rPr>
      </w:pPr>
      <w:r>
        <w:drawing>
          <wp:inline distT="0" distB="0" distL="114300" distR="114300">
            <wp:extent cx="3486150" cy="2012950"/>
            <wp:effectExtent l="0" t="0" r="6350" b="635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9"/>
                    <a:stretch>
                      <a:fillRect/>
                    </a:stretch>
                  </pic:blipFill>
                  <pic:spPr>
                    <a:xfrm>
                      <a:off x="0" y="0"/>
                      <a:ext cx="3486150" cy="2012950"/>
                    </a:xfrm>
                    <a:prstGeom prst="rect">
                      <a:avLst/>
                    </a:prstGeom>
                    <a:noFill/>
                    <a:ln>
                      <a:noFill/>
                    </a:ln>
                  </pic:spPr>
                </pic:pic>
              </a:graphicData>
            </a:graphic>
          </wp:inline>
        </w:drawing>
      </w:r>
    </w:p>
    <w:p w14:paraId="17236FC7">
      <w:pPr>
        <w:rPr>
          <w:rFonts w:hint="eastAsia"/>
          <w:lang w:val="en-US" w:eastAsia="zh-CN"/>
        </w:rPr>
      </w:pPr>
      <w:r>
        <w:rPr>
          <w:rFonts w:hint="eastAsia"/>
          <w:lang w:val="en-US" w:eastAsia="zh-CN"/>
        </w:rPr>
        <w:t>上线后就进行监控：</w:t>
      </w:r>
    </w:p>
    <w:p w14:paraId="0DAB4B1B">
      <w:pPr>
        <w:pStyle w:val="16"/>
        <w:rPr>
          <w:rFonts w:hint="default" w:ascii="微软雅黑" w:hAnsi="微软雅黑" w:eastAsia="微软雅黑"/>
          <w:sz w:val="21"/>
          <w:lang w:val="en-US" w:eastAsia="zh-CN"/>
        </w:rPr>
      </w:pPr>
      <w:r>
        <w:rPr>
          <w:rFonts w:hint="default" w:ascii="微软雅黑" w:hAnsi="微软雅黑" w:eastAsia="微软雅黑"/>
          <w:sz w:val="21"/>
          <w:lang w:val="en-US" w:eastAsia="zh-CN"/>
        </w:rPr>
        <w:t>风险是否符合逾期</w:t>
      </w:r>
      <w:r>
        <w:rPr>
          <w:rFonts w:hint="eastAsia"/>
          <w:sz w:val="21"/>
          <w:lang w:val="en-US" w:eastAsia="zh-CN"/>
        </w:rPr>
        <w:t>(早期FPD7/FPD30，全流程用 vintage)</w:t>
      </w:r>
      <w:r>
        <w:rPr>
          <w:rFonts w:hint="default" w:ascii="微软雅黑" w:hAnsi="微软雅黑" w:eastAsia="微软雅黑"/>
          <w:sz w:val="21"/>
          <w:lang w:val="en-US" w:eastAsia="zh-CN"/>
        </w:rPr>
        <w:tab/>
      </w:r>
      <w:r>
        <w:rPr>
          <w:rFonts w:hint="default" w:ascii="微软雅黑" w:hAnsi="微软雅黑" w:eastAsia="微软雅黑"/>
          <w:sz w:val="21"/>
          <w:lang w:val="en-US" w:eastAsia="zh-CN"/>
        </w:rPr>
        <w:tab/>
      </w:r>
      <w:r>
        <w:rPr>
          <w:rFonts w:hint="default" w:ascii="微软雅黑" w:hAnsi="微软雅黑" w:eastAsia="微软雅黑"/>
          <w:sz w:val="21"/>
          <w:lang w:val="en-US" w:eastAsia="zh-CN"/>
        </w:rPr>
        <w:tab/>
      </w:r>
      <w:r>
        <w:rPr>
          <w:rFonts w:hint="default" w:ascii="微软雅黑" w:hAnsi="微软雅黑" w:eastAsia="微软雅黑"/>
          <w:sz w:val="21"/>
          <w:lang w:val="en-US" w:eastAsia="zh-CN"/>
        </w:rPr>
        <w:tab/>
      </w:r>
    </w:p>
    <w:p w14:paraId="08800CAF">
      <w:pPr>
        <w:pStyle w:val="16"/>
        <w:rPr>
          <w:rFonts w:hint="default" w:ascii="微软雅黑" w:hAnsi="微软雅黑" w:eastAsia="微软雅黑"/>
          <w:sz w:val="21"/>
          <w:lang w:val="en-US" w:eastAsia="zh-CN"/>
        </w:rPr>
      </w:pPr>
      <w:r>
        <w:rPr>
          <w:rFonts w:hint="default" w:ascii="微软雅黑" w:hAnsi="微软雅黑" w:eastAsia="微软雅黑"/>
          <w:sz w:val="21"/>
          <w:lang w:val="en-US" w:eastAsia="zh-CN"/>
        </w:rPr>
        <w:t>支用是否符合预期</w:t>
      </w:r>
      <w:r>
        <w:rPr>
          <w:rFonts w:hint="default" w:ascii="微软雅黑" w:hAnsi="微软雅黑" w:eastAsia="微软雅黑"/>
          <w:sz w:val="21"/>
          <w:lang w:val="en-US" w:eastAsia="zh-CN"/>
        </w:rPr>
        <w:tab/>
      </w:r>
      <w:r>
        <w:rPr>
          <w:rFonts w:hint="default" w:ascii="微软雅黑" w:hAnsi="微软雅黑" w:eastAsia="微软雅黑"/>
          <w:sz w:val="21"/>
          <w:lang w:val="en-US" w:eastAsia="zh-CN"/>
        </w:rPr>
        <w:tab/>
      </w:r>
      <w:r>
        <w:rPr>
          <w:rFonts w:hint="default" w:ascii="微软雅黑" w:hAnsi="微软雅黑" w:eastAsia="微软雅黑"/>
          <w:sz w:val="21"/>
          <w:lang w:val="en-US" w:eastAsia="zh-CN"/>
        </w:rPr>
        <w:tab/>
      </w:r>
      <w:r>
        <w:rPr>
          <w:rFonts w:hint="default" w:ascii="微软雅黑" w:hAnsi="微软雅黑" w:eastAsia="微软雅黑"/>
          <w:sz w:val="21"/>
          <w:lang w:val="en-US" w:eastAsia="zh-CN"/>
        </w:rPr>
        <w:tab/>
      </w:r>
      <w:r>
        <w:rPr>
          <w:rFonts w:hint="default" w:ascii="微软雅黑" w:hAnsi="微软雅黑" w:eastAsia="微软雅黑"/>
          <w:sz w:val="21"/>
          <w:lang w:val="en-US" w:eastAsia="zh-CN"/>
        </w:rPr>
        <w:tab/>
      </w:r>
    </w:p>
    <w:p w14:paraId="63E03B8F">
      <w:pPr>
        <w:pStyle w:val="16"/>
        <w:rPr>
          <w:rFonts w:hint="default" w:ascii="微软雅黑" w:hAnsi="微软雅黑" w:eastAsia="微软雅黑"/>
          <w:sz w:val="21"/>
          <w:lang w:val="en-US" w:eastAsia="zh-CN"/>
        </w:rPr>
      </w:pPr>
      <w:r>
        <w:rPr>
          <w:rFonts w:hint="eastAsia"/>
          <w:sz w:val="21"/>
          <w:lang w:val="en-US" w:eastAsia="zh-CN"/>
        </w:rPr>
        <w:t>人均交易金额</w:t>
      </w:r>
      <w:r>
        <w:rPr>
          <w:rFonts w:hint="default" w:ascii="微软雅黑" w:hAnsi="微软雅黑" w:eastAsia="微软雅黑"/>
          <w:sz w:val="21"/>
          <w:lang w:val="en-US" w:eastAsia="zh-CN"/>
        </w:rPr>
        <w:t>是否符合预期</w:t>
      </w:r>
      <w:r>
        <w:rPr>
          <w:rFonts w:hint="default" w:ascii="微软雅黑" w:hAnsi="微软雅黑" w:eastAsia="微软雅黑"/>
          <w:sz w:val="21"/>
          <w:lang w:val="en-US" w:eastAsia="zh-CN"/>
        </w:rPr>
        <w:tab/>
      </w:r>
      <w:r>
        <w:rPr>
          <w:rFonts w:hint="default" w:ascii="微软雅黑" w:hAnsi="微软雅黑" w:eastAsia="微软雅黑"/>
          <w:sz w:val="21"/>
          <w:lang w:val="en-US" w:eastAsia="zh-CN"/>
        </w:rPr>
        <w:tab/>
      </w:r>
      <w:r>
        <w:rPr>
          <w:rFonts w:hint="default" w:ascii="微软雅黑" w:hAnsi="微软雅黑" w:eastAsia="微软雅黑"/>
          <w:sz w:val="21"/>
          <w:lang w:val="en-US" w:eastAsia="zh-CN"/>
        </w:rPr>
        <w:tab/>
      </w:r>
      <w:r>
        <w:rPr>
          <w:rFonts w:hint="default" w:ascii="微软雅黑" w:hAnsi="微软雅黑" w:eastAsia="微软雅黑"/>
          <w:sz w:val="21"/>
          <w:lang w:val="en-US" w:eastAsia="zh-CN"/>
        </w:rPr>
        <w:tab/>
      </w:r>
      <w:r>
        <w:rPr>
          <w:rFonts w:hint="default" w:ascii="微软雅黑" w:hAnsi="微软雅黑" w:eastAsia="微软雅黑"/>
          <w:sz w:val="21"/>
          <w:lang w:val="en-US" w:eastAsia="zh-CN"/>
        </w:rPr>
        <w:tab/>
      </w:r>
    </w:p>
    <w:p w14:paraId="029ACA8F">
      <w:pPr>
        <w:pStyle w:val="16"/>
        <w:rPr>
          <w:rFonts w:hint="default" w:ascii="微软雅黑" w:hAnsi="微软雅黑" w:eastAsia="微软雅黑"/>
          <w:sz w:val="21"/>
          <w:lang w:val="en-US" w:eastAsia="zh-CN"/>
        </w:rPr>
      </w:pPr>
      <w:r>
        <w:rPr>
          <w:rFonts w:hint="default" w:ascii="微软雅黑" w:hAnsi="微软雅黑" w:eastAsia="微软雅黑"/>
          <w:sz w:val="21"/>
          <w:lang w:val="en-US" w:eastAsia="zh-CN"/>
        </w:rPr>
        <w:t>对月度利润的影响</w:t>
      </w:r>
      <w:r>
        <w:rPr>
          <w:rFonts w:hint="default" w:ascii="微软雅黑" w:hAnsi="微软雅黑" w:eastAsia="微软雅黑"/>
          <w:sz w:val="21"/>
          <w:lang w:val="en-US" w:eastAsia="zh-CN"/>
        </w:rPr>
        <w:tab/>
      </w:r>
      <w:r>
        <w:rPr>
          <w:rFonts w:hint="default" w:ascii="微软雅黑" w:hAnsi="微软雅黑" w:eastAsia="微软雅黑"/>
          <w:sz w:val="21"/>
          <w:lang w:val="en-US" w:eastAsia="zh-CN"/>
        </w:rPr>
        <w:tab/>
      </w:r>
      <w:r>
        <w:rPr>
          <w:rFonts w:hint="default" w:ascii="微软雅黑" w:hAnsi="微软雅黑" w:eastAsia="微软雅黑"/>
          <w:sz w:val="21"/>
          <w:lang w:val="en-US" w:eastAsia="zh-CN"/>
        </w:rPr>
        <w:tab/>
      </w:r>
      <w:r>
        <w:rPr>
          <w:rFonts w:hint="default" w:ascii="微软雅黑" w:hAnsi="微软雅黑" w:eastAsia="微软雅黑"/>
          <w:sz w:val="21"/>
          <w:lang w:val="en-US" w:eastAsia="zh-CN"/>
        </w:rPr>
        <w:tab/>
      </w:r>
      <w:r>
        <w:rPr>
          <w:rFonts w:hint="default" w:ascii="微软雅黑" w:hAnsi="微软雅黑" w:eastAsia="微软雅黑"/>
          <w:sz w:val="21"/>
          <w:lang w:val="en-US" w:eastAsia="zh-CN"/>
        </w:rPr>
        <w:tab/>
      </w:r>
    </w:p>
    <w:p w14:paraId="1C730CF3">
      <w:pPr>
        <w:pStyle w:val="16"/>
        <w:numPr>
          <w:ilvl w:val="0"/>
          <w:numId w:val="0"/>
        </w:numPr>
        <w:ind w:leftChars="0"/>
        <w:rPr>
          <w:rFonts w:hint="default"/>
          <w:lang w:val="en-US" w:eastAsia="zh-CN"/>
        </w:rPr>
      </w:pPr>
      <w:r>
        <w:rPr>
          <w:rFonts w:hint="eastAsia"/>
          <w:sz w:val="21"/>
          <w:lang w:val="en-US" w:eastAsia="zh-CN"/>
        </w:rPr>
        <w:t>最终</w:t>
      </w:r>
      <w:r>
        <w:rPr>
          <w:rFonts w:hint="default" w:ascii="微软雅黑" w:hAnsi="微软雅黑" w:eastAsia="微软雅黑"/>
          <w:sz w:val="21"/>
          <w:lang w:val="en-US" w:eastAsia="zh-CN"/>
        </w:rPr>
        <w:t>根据实际情况</w:t>
      </w:r>
      <w:r>
        <w:rPr>
          <w:rFonts w:hint="eastAsia"/>
          <w:sz w:val="21"/>
          <w:lang w:val="en-US" w:eastAsia="zh-CN"/>
        </w:rPr>
        <w:t>持续迭代</w:t>
      </w:r>
    </w:p>
    <w:p w14:paraId="7F47173B">
      <w:pPr>
        <w:pStyle w:val="16"/>
        <w:numPr>
          <w:ilvl w:val="0"/>
          <w:numId w:val="0"/>
        </w:numPr>
        <w:ind w:leftChars="0"/>
        <w:rPr>
          <w:rFonts w:hint="default"/>
          <w:color w:val="FF0000"/>
          <w:lang w:val="en-US" w:eastAsia="zh-CN"/>
        </w:rPr>
      </w:pPr>
      <w:r>
        <w:rPr>
          <w:rFonts w:hint="eastAsia"/>
          <w:color w:val="FF0000"/>
          <w:lang w:val="en-US" w:eastAsia="zh-CN"/>
        </w:rPr>
        <w:t xml:space="preserve">* </w:t>
      </w:r>
      <w:r>
        <w:rPr>
          <w:rFonts w:hint="default"/>
          <w:color w:val="FF0000"/>
          <w:lang w:val="en-US" w:eastAsia="zh-CN"/>
        </w:rPr>
        <w:t>定价尺度也需要参考同行，因为定价太高，优质用户会流失，剩下的都是比较差的用户</w:t>
      </w:r>
      <w:r>
        <w:rPr>
          <w:rFonts w:hint="default"/>
          <w:color w:val="FF0000"/>
          <w:lang w:val="en-US" w:eastAsia="zh-CN"/>
        </w:rPr>
        <w:tab/>
      </w:r>
    </w:p>
    <w:p w14:paraId="2C51B432">
      <w:pPr>
        <w:pStyle w:val="16"/>
        <w:numPr>
          <w:ilvl w:val="0"/>
          <w:numId w:val="0"/>
        </w:numPr>
        <w:ind w:leftChars="0"/>
        <w:rPr>
          <w:rFonts w:hint="default"/>
          <w:color w:val="FF0000"/>
          <w:lang w:val="en-US" w:eastAsia="zh-CN"/>
        </w:rPr>
      </w:pPr>
      <w:r>
        <w:rPr>
          <w:rFonts w:hint="eastAsia"/>
          <w:color w:val="FF0000"/>
          <w:lang w:val="en-US" w:eastAsia="zh-CN"/>
        </w:rPr>
        <w:t>最终根据测试效果进行调整</w:t>
      </w:r>
    </w:p>
    <w:p w14:paraId="62898EDA">
      <w:pPr>
        <w:pStyle w:val="16"/>
        <w:numPr>
          <w:ilvl w:val="0"/>
          <w:numId w:val="0"/>
        </w:numPr>
        <w:ind w:leftChars="0"/>
        <w:rPr>
          <w:rFonts w:hint="default"/>
          <w:lang w:val="en-US" w:eastAsia="zh-CN"/>
        </w:rPr>
      </w:pPr>
      <w:r>
        <w:rPr>
          <w:rFonts w:hint="default"/>
          <w:lang w:val="en-US" w:eastAsia="zh-CN"/>
        </w:rPr>
        <w:tab/>
      </w:r>
      <w:r>
        <w:rPr>
          <w:rFonts w:hint="default"/>
          <w:lang w:val="en-US" w:eastAsia="zh-CN"/>
        </w:rPr>
        <w:tab/>
      </w:r>
    </w:p>
    <w:p w14:paraId="4829D704">
      <w:pPr>
        <w:rPr>
          <w:rFonts w:hint="default"/>
          <w:lang w:val="en-US" w:eastAsia="zh-CN"/>
        </w:rPr>
      </w:pPr>
    </w:p>
    <w:sectPr>
      <w:pgSz w:w="11906" w:h="16838"/>
      <w:pgMar w:top="1134" w:right="1417" w:bottom="1134"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CFBD129"/>
    <w:multiLevelType w:val="singleLevel"/>
    <w:tmpl w:val="ACFBD129"/>
    <w:lvl w:ilvl="0" w:tentative="0">
      <w:start w:val="1"/>
      <w:numFmt w:val="decimal"/>
      <w:suff w:val="space"/>
      <w:lvlText w:val="%1."/>
      <w:lvlJc w:val="left"/>
    </w:lvl>
  </w:abstractNum>
  <w:abstractNum w:abstractNumId="1">
    <w:nsid w:val="D3999638"/>
    <w:multiLevelType w:val="singleLevel"/>
    <w:tmpl w:val="D3999638"/>
    <w:lvl w:ilvl="0" w:tentative="0">
      <w:start w:val="4"/>
      <w:numFmt w:val="upperLetter"/>
      <w:suff w:val="space"/>
      <w:lvlText w:val="%1."/>
      <w:lvlJc w:val="left"/>
    </w:lvl>
  </w:abstractNum>
  <w:abstractNum w:abstractNumId="2">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4">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5">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6">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7">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8">
    <w:nsid w:val="13AA0EDB"/>
    <w:multiLevelType w:val="singleLevel"/>
    <w:tmpl w:val="13AA0EDB"/>
    <w:lvl w:ilvl="0" w:tentative="0">
      <w:start w:val="1"/>
      <w:numFmt w:val="upperLetter"/>
      <w:suff w:val="space"/>
      <w:lvlText w:val="%1."/>
      <w:lvlJc w:val="left"/>
    </w:lvl>
  </w:abstractNum>
  <w:num w:numId="1">
    <w:abstractNumId w:val="3"/>
  </w:num>
  <w:num w:numId="2">
    <w:abstractNumId w:val="6"/>
  </w:num>
  <w:num w:numId="3">
    <w:abstractNumId w:val="7"/>
  </w:num>
  <w:num w:numId="4">
    <w:abstractNumId w:val="4"/>
  </w:num>
  <w:num w:numId="5">
    <w:abstractNumId w:val="2"/>
  </w:num>
  <w:num w:numId="6">
    <w:abstractNumId w:val="5"/>
  </w:num>
  <w:num w:numId="7">
    <w:abstractNumId w:val="8"/>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48812A6"/>
    <w:rsid w:val="06022C71"/>
    <w:rsid w:val="083823D1"/>
    <w:rsid w:val="094B3B92"/>
    <w:rsid w:val="0A210171"/>
    <w:rsid w:val="0B6920E0"/>
    <w:rsid w:val="0BBF7D10"/>
    <w:rsid w:val="0C960A6B"/>
    <w:rsid w:val="0CBE2103"/>
    <w:rsid w:val="10222906"/>
    <w:rsid w:val="11180002"/>
    <w:rsid w:val="11936F43"/>
    <w:rsid w:val="12195A8B"/>
    <w:rsid w:val="12A96C54"/>
    <w:rsid w:val="12BD7AA9"/>
    <w:rsid w:val="13F17C5D"/>
    <w:rsid w:val="143F19AC"/>
    <w:rsid w:val="1D837D50"/>
    <w:rsid w:val="1E8176EB"/>
    <w:rsid w:val="2173382E"/>
    <w:rsid w:val="262139E0"/>
    <w:rsid w:val="28AB6C04"/>
    <w:rsid w:val="2E2B52E1"/>
    <w:rsid w:val="2E6C1D31"/>
    <w:rsid w:val="2E8928E3"/>
    <w:rsid w:val="2F9105DF"/>
    <w:rsid w:val="32DA370D"/>
    <w:rsid w:val="35D25F1A"/>
    <w:rsid w:val="35DF65E0"/>
    <w:rsid w:val="3644415C"/>
    <w:rsid w:val="36484A15"/>
    <w:rsid w:val="37BD0825"/>
    <w:rsid w:val="38317302"/>
    <w:rsid w:val="3C150099"/>
    <w:rsid w:val="3CFB49AC"/>
    <w:rsid w:val="3EB92840"/>
    <w:rsid w:val="414601C0"/>
    <w:rsid w:val="421D1986"/>
    <w:rsid w:val="478E4977"/>
    <w:rsid w:val="48194880"/>
    <w:rsid w:val="48DD58AD"/>
    <w:rsid w:val="4A475EF9"/>
    <w:rsid w:val="4E204CDE"/>
    <w:rsid w:val="4F7336FF"/>
    <w:rsid w:val="500736D4"/>
    <w:rsid w:val="50D43731"/>
    <w:rsid w:val="53FA4195"/>
    <w:rsid w:val="548C2946"/>
    <w:rsid w:val="54F2448F"/>
    <w:rsid w:val="55EE6FC3"/>
    <w:rsid w:val="56410322"/>
    <w:rsid w:val="58DA25AA"/>
    <w:rsid w:val="5B4A518B"/>
    <w:rsid w:val="5B7E6A7C"/>
    <w:rsid w:val="5BDA3BA4"/>
    <w:rsid w:val="5C8131E8"/>
    <w:rsid w:val="5DCA7D57"/>
    <w:rsid w:val="5FA823C8"/>
    <w:rsid w:val="629F3176"/>
    <w:rsid w:val="635D660D"/>
    <w:rsid w:val="64AD73EA"/>
    <w:rsid w:val="64CE28A4"/>
    <w:rsid w:val="6A0E546F"/>
    <w:rsid w:val="6A133641"/>
    <w:rsid w:val="6B28417C"/>
    <w:rsid w:val="6B45098C"/>
    <w:rsid w:val="6B470714"/>
    <w:rsid w:val="6B806664"/>
    <w:rsid w:val="6D560DCE"/>
    <w:rsid w:val="6D632AD8"/>
    <w:rsid w:val="6F3C0F19"/>
    <w:rsid w:val="6FD8720A"/>
    <w:rsid w:val="6FED54DB"/>
    <w:rsid w:val="700205F2"/>
    <w:rsid w:val="730751A7"/>
    <w:rsid w:val="73BC23E0"/>
    <w:rsid w:val="748A7DE8"/>
    <w:rsid w:val="748E670B"/>
    <w:rsid w:val="74A27AE1"/>
    <w:rsid w:val="7569700C"/>
    <w:rsid w:val="797F35A4"/>
    <w:rsid w:val="7B5F3AA1"/>
    <w:rsid w:val="7C702577"/>
    <w:rsid w:val="7DCC76C3"/>
    <w:rsid w:val="7E617F7E"/>
    <w:rsid w:val="7F9164C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1"/>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qFormat/>
    <w:uiPriority w:val="99"/>
    <w:pPr>
      <w:tabs>
        <w:tab w:val="center" w:pos="4680"/>
        <w:tab w:val="right" w:pos="9360"/>
      </w:tabs>
      <w:spacing w:after="0" w:line="240" w:lineRule="auto"/>
    </w:pPr>
  </w:style>
  <w:style w:type="paragraph" w:styleId="25">
    <w:name w:val="header"/>
    <w:basedOn w:val="1"/>
    <w:link w:val="136"/>
    <w:unhideWhenUsed/>
    <w:qFormat/>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qFormat/>
    <w:uiPriority w:val="0"/>
    <w:pPr>
      <w:spacing w:before="0" w:beforeAutospacing="1" w:after="0" w:afterAutospacing="1"/>
      <w:ind w:left="0" w:right="0"/>
      <w:jc w:val="left"/>
    </w:pPr>
    <w:rPr>
      <w:kern w:val="0"/>
      <w:sz w:val="24"/>
      <w:lang w:val="en-US" w:eastAsia="zh-CN" w:bidi="ar"/>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qFormat/>
    <w:uiPriority w:val="99"/>
  </w:style>
  <w:style w:type="character" w:customStyle="1" w:styleId="137">
    <w:name w:val="Footer Char"/>
    <w:basedOn w:val="133"/>
    <w:link w:val="24"/>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qFormat/>
    <w:uiPriority w:val="99"/>
  </w:style>
  <w:style w:type="character" w:customStyle="1" w:styleId="146">
    <w:name w:val="Body Text 2 Char"/>
    <w:basedOn w:val="133"/>
    <w:link w:val="28"/>
    <w:qFormat/>
    <w:uiPriority w:val="99"/>
  </w:style>
  <w:style w:type="character" w:customStyle="1" w:styleId="147">
    <w:name w:val="Body Text 3 Char"/>
    <w:basedOn w:val="133"/>
    <w:link w:val="17"/>
    <w:qFormat/>
    <w:uiPriority w:val="99"/>
    <w:rPr>
      <w:sz w:val="16"/>
      <w:szCs w:val="16"/>
    </w:rPr>
  </w:style>
  <w:style w:type="character" w:customStyle="1" w:styleId="148">
    <w:name w:val="Macro Text Char"/>
    <w:basedOn w:val="133"/>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qFormat/>
    <w:uiPriority w:val="29"/>
    <w:rPr>
      <w:i/>
      <w:iCs/>
      <w:color w:val="000000" w:themeColor="text1"/>
      <w14:textFill>
        <w14:solidFill>
          <w14:schemeClr w14:val="tx1"/>
        </w14:solidFill>
      </w14:textFill>
    </w:rPr>
  </w:style>
  <w:style w:type="character" w:customStyle="1" w:styleId="151">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qFormat/>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 w:type="character" w:customStyle="1" w:styleId="165">
    <w:name w:val="font61"/>
    <w:basedOn w:val="133"/>
    <w:qFormat/>
    <w:uiPriority w:val="0"/>
    <w:rPr>
      <w:rFonts w:ascii="微软雅黑" w:hAnsi="微软雅黑" w:eastAsia="微软雅黑" w:cs="微软雅黑"/>
      <w:b/>
      <w:bCs/>
      <w:color w:val="FFFFFF"/>
      <w:sz w:val="20"/>
      <w:szCs w:val="20"/>
      <w:u w:val="none"/>
    </w:rPr>
  </w:style>
  <w:style w:type="character" w:customStyle="1" w:styleId="166">
    <w:name w:val="font31"/>
    <w:basedOn w:val="133"/>
    <w:qFormat/>
    <w:uiPriority w:val="0"/>
    <w:rPr>
      <w:rFonts w:hint="eastAsia" w:ascii="微软雅黑" w:hAnsi="微软雅黑" w:eastAsia="微软雅黑" w:cs="微软雅黑"/>
      <w:color w:val="000000"/>
      <w:sz w:val="20"/>
      <w:szCs w:val="20"/>
      <w:u w:val="none"/>
    </w:rPr>
  </w:style>
  <w:style w:type="character" w:customStyle="1" w:styleId="167">
    <w:name w:val="font41"/>
    <w:basedOn w:val="133"/>
    <w:qFormat/>
    <w:uiPriority w:val="0"/>
    <w:rPr>
      <w:rFonts w:hint="default" w:ascii="Arial" w:hAnsi="Arial" w:cs="Arial"/>
      <w:color w:val="000000"/>
      <w:sz w:val="20"/>
      <w:szCs w:val="20"/>
      <w:u w:val="none"/>
    </w:rPr>
  </w:style>
  <w:style w:type="character" w:customStyle="1" w:styleId="168">
    <w:name w:val="font71"/>
    <w:basedOn w:val="133"/>
    <w:qFormat/>
    <w:uiPriority w:val="0"/>
    <w:rPr>
      <w:rFonts w:hint="eastAsia" w:ascii="宋体" w:hAnsi="宋体" w:eastAsia="宋体" w:cs="宋体"/>
      <w:color w:val="000000"/>
      <w:sz w:val="20"/>
      <w:szCs w:val="20"/>
      <w:u w:val="none"/>
    </w:rPr>
  </w:style>
  <w:style w:type="character" w:customStyle="1" w:styleId="169">
    <w:name w:val="font81"/>
    <w:basedOn w:val="133"/>
    <w:qFormat/>
    <w:uiPriority w:val="0"/>
    <w:rPr>
      <w:rFonts w:hint="eastAsia" w:ascii="微软雅黑" w:hAnsi="微软雅黑" w:eastAsia="微软雅黑" w:cs="微软雅黑"/>
      <w:b/>
      <w:bCs/>
      <w:color w:val="000000"/>
      <w:sz w:val="20"/>
      <w:szCs w:val="20"/>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1005</Words>
  <Characters>1165</Characters>
  <Lines>0</Lines>
  <Paragraphs>0</Paragraphs>
  <TotalTime>2</TotalTime>
  <ScaleCrop>false</ScaleCrop>
  <LinksUpToDate>false</LinksUpToDate>
  <CharactersWithSpaces>1192</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38671</dc:creator>
  <cp:lastModifiedBy>Mike</cp:lastModifiedBy>
  <dcterms:modified xsi:type="dcterms:W3CDTF">2026-04-15T16:26:16Z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eyJoZGlkIjoiODAyOGM3MWVlYmIxNTk2NWM3ODViMjJiYjUwZmJmYzUiLCJ1c2VySWQiOiI2MTM5NzkyNzEifQ==</vt:lpwstr>
  </property>
  <property fmtid="{D5CDD505-2E9C-101B-9397-08002B2CF9AE}" pid="3" name="KSOProductBuildVer">
    <vt:lpwstr>2052-12.1.0.25865</vt:lpwstr>
  </property>
  <property fmtid="{D5CDD505-2E9C-101B-9397-08002B2CF9AE}" pid="4" name="ICV">
    <vt:lpwstr>0E9CDC9FF84143E48AFBE2E6E8376CEE_12</vt:lpwstr>
  </property>
</Properties>
</file>