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45472"/>
    <w:p w14:paraId="28A2DA6D"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贷中监控与预警体系</w:t>
      </w:r>
    </w:p>
    <w:p w14:paraId="6CB4C04C">
      <w:pPr>
        <w:jc w:val="center"/>
      </w:pPr>
      <w:r>
        <w:rPr>
          <w:rFonts w:ascii="微软雅黑" w:hAnsi="微软雅黑" w:eastAsia="微软雅黑"/>
          <w:color w:val="2E75B6"/>
          <w:sz w:val="28"/>
        </w:rPr>
        <w:t>EWS预警与风险干预详解</w:t>
      </w:r>
    </w:p>
    <w:p w14:paraId="1C55E488"/>
    <w:p w14:paraId="4F260B83">
      <w:pPr>
        <w:jc w:val="center"/>
      </w:pPr>
      <w:r>
        <w:rPr>
          <w:rFonts w:ascii="微软雅黑" w:hAnsi="微软雅黑" w:eastAsia="微软雅黑"/>
          <w:sz w:val="22"/>
        </w:rPr>
        <w:t>2026年4月</w:t>
      </w:r>
    </w:p>
    <w:p w14:paraId="118F1A37">
      <w:r>
        <w:br w:type="page"/>
      </w:r>
    </w:p>
    <w:p w14:paraId="7617C3C4">
      <w:pPr>
        <w:pStyle w:val="3"/>
      </w:pPr>
      <w:r>
        <w:rPr>
          <w:rFonts w:ascii="微软雅黑" w:hAnsi="微软雅黑" w:eastAsia="微软雅黑"/>
          <w:color w:val="1F3864"/>
        </w:rPr>
        <w:t>一、模块概述</w:t>
      </w:r>
    </w:p>
    <w:p w14:paraId="7ED655EE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贷中监控与预警是存量资产质量管理的核心。通过实时行为监控和早期预警系统(EWS)，在客户出现还款困难之前识别风险信号并采取干预措施，能够有效降低逾期转化率、减少坏账损失。</w:t>
      </w:r>
    </w:p>
    <w:p w14:paraId="340F1B47">
      <w:pPr>
        <w:pStyle w:val="3"/>
      </w:pPr>
      <w:r>
        <w:rPr>
          <w:rFonts w:ascii="微软雅黑" w:hAnsi="微软雅黑" w:eastAsia="微软雅黑"/>
          <w:color w:val="1F3864"/>
        </w:rPr>
        <w:t>二、监控指标体系</w:t>
      </w:r>
    </w:p>
    <w:p w14:paraId="296BCCDC">
      <w:pPr>
        <w:pStyle w:val="4"/>
      </w:pPr>
      <w:r>
        <w:rPr>
          <w:rFonts w:ascii="微软雅黑" w:hAnsi="微软雅黑" w:eastAsia="微软雅黑"/>
          <w:color w:val="2E75B6"/>
        </w:rPr>
        <w:t>2.1 逾期梯度指标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6F37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4DEF04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1814" w:type="dxa"/>
            <w:shd w:val="clear" w:color="auto" w:fill="2E75B6"/>
          </w:tcPr>
          <w:p w14:paraId="59C11D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w="1814" w:type="dxa"/>
            <w:shd w:val="clear" w:color="auto" w:fill="2E75B6"/>
          </w:tcPr>
          <w:p w14:paraId="4D8762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计算公式</w:t>
            </w:r>
          </w:p>
        </w:tc>
        <w:tc>
          <w:tcPr>
            <w:tcW w:w="1814" w:type="dxa"/>
            <w:shd w:val="clear" w:color="auto" w:fill="2E75B6"/>
          </w:tcPr>
          <w:p w14:paraId="0C103D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监控频率</w:t>
            </w:r>
          </w:p>
        </w:tc>
        <w:tc>
          <w:tcPr>
            <w:tcW w:w="1814" w:type="dxa"/>
            <w:shd w:val="clear" w:color="auto" w:fill="2E75B6"/>
          </w:tcPr>
          <w:p w14:paraId="5DB189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预警阈值</w:t>
            </w:r>
          </w:p>
        </w:tc>
      </w:tr>
      <w:tr w14:paraId="0147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0EB315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M1逾期率</w:t>
            </w:r>
          </w:p>
        </w:tc>
        <w:tc>
          <w:tcPr>
            <w:tcW w:w="1814" w:type="dxa"/>
            <w:shd w:val="clear" w:color="auto" w:fill="F2F7FF"/>
          </w:tcPr>
          <w:p w14:paraId="14E419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逾期1-30天贷款占比</w:t>
            </w:r>
          </w:p>
        </w:tc>
        <w:tc>
          <w:tcPr>
            <w:tcW w:w="1814" w:type="dxa"/>
            <w:shd w:val="clear" w:color="auto" w:fill="F2F7FF"/>
          </w:tcPr>
          <w:p w14:paraId="771196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M1余额/总贷款余额</w:t>
            </w:r>
          </w:p>
        </w:tc>
        <w:tc>
          <w:tcPr>
            <w:tcW w:w="1814" w:type="dxa"/>
            <w:shd w:val="clear" w:color="auto" w:fill="F2F7FF"/>
          </w:tcPr>
          <w:p w14:paraId="65ADC0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日</w:t>
            </w:r>
          </w:p>
        </w:tc>
        <w:tc>
          <w:tcPr>
            <w:tcW w:w="1814" w:type="dxa"/>
            <w:shd w:val="clear" w:color="auto" w:fill="F2F7FF"/>
          </w:tcPr>
          <w:p w14:paraId="428CD1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&gt;3.5%</w:t>
            </w:r>
          </w:p>
        </w:tc>
      </w:tr>
      <w:tr w14:paraId="7B44E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614B56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M2逾期率</w:t>
            </w:r>
          </w:p>
        </w:tc>
        <w:tc>
          <w:tcPr>
            <w:tcW w:w="1814" w:type="dxa"/>
            <w:shd w:val="clear" w:color="auto" w:fill="FFFFFF"/>
          </w:tcPr>
          <w:p w14:paraId="2E9616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逾期31-60天贷款占比</w:t>
            </w:r>
          </w:p>
        </w:tc>
        <w:tc>
          <w:tcPr>
            <w:tcW w:w="1814" w:type="dxa"/>
            <w:shd w:val="clear" w:color="auto" w:fill="FFFFFF"/>
          </w:tcPr>
          <w:p w14:paraId="416B9B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M2余额/总贷款余额</w:t>
            </w:r>
          </w:p>
        </w:tc>
        <w:tc>
          <w:tcPr>
            <w:tcW w:w="1814" w:type="dxa"/>
            <w:shd w:val="clear" w:color="auto" w:fill="FFFFFF"/>
          </w:tcPr>
          <w:p w14:paraId="24BD50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日</w:t>
            </w:r>
          </w:p>
        </w:tc>
        <w:tc>
          <w:tcPr>
            <w:tcW w:w="1814" w:type="dxa"/>
            <w:shd w:val="clear" w:color="auto" w:fill="FFFFFF"/>
          </w:tcPr>
          <w:p w14:paraId="32525A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&gt;2.0%</w:t>
            </w:r>
          </w:p>
        </w:tc>
      </w:tr>
      <w:tr w14:paraId="403C9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1CF338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M3+逾期率</w:t>
            </w:r>
          </w:p>
        </w:tc>
        <w:tc>
          <w:tcPr>
            <w:tcW w:w="1814" w:type="dxa"/>
            <w:shd w:val="clear" w:color="auto" w:fill="F2F7FF"/>
          </w:tcPr>
          <w:p w14:paraId="1D475D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逾期90天以上贷款占比</w:t>
            </w:r>
          </w:p>
        </w:tc>
        <w:tc>
          <w:tcPr>
            <w:tcW w:w="1814" w:type="dxa"/>
            <w:shd w:val="clear" w:color="auto" w:fill="F2F7FF"/>
          </w:tcPr>
          <w:p w14:paraId="07CC19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M3+余额/总贷款余额</w:t>
            </w:r>
          </w:p>
        </w:tc>
        <w:tc>
          <w:tcPr>
            <w:tcW w:w="1814" w:type="dxa"/>
            <w:shd w:val="clear" w:color="auto" w:fill="F2F7FF"/>
          </w:tcPr>
          <w:p w14:paraId="1E9E3C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日</w:t>
            </w:r>
          </w:p>
        </w:tc>
        <w:tc>
          <w:tcPr>
            <w:tcW w:w="1814" w:type="dxa"/>
            <w:shd w:val="clear" w:color="auto" w:fill="F2F7FF"/>
          </w:tcPr>
          <w:p w14:paraId="7FBCA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&gt;1.5%</w:t>
            </w:r>
          </w:p>
        </w:tc>
      </w:tr>
      <w:tr w14:paraId="47C9E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74D9FE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M1→M2滚动率</w:t>
            </w:r>
          </w:p>
        </w:tc>
        <w:tc>
          <w:tcPr>
            <w:tcW w:w="1814" w:type="dxa"/>
            <w:shd w:val="clear" w:color="auto" w:fill="FFFFFF"/>
          </w:tcPr>
          <w:p w14:paraId="487E45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M1转化为M2的比例</w:t>
            </w:r>
          </w:p>
        </w:tc>
        <w:tc>
          <w:tcPr>
            <w:tcW w:w="1814" w:type="dxa"/>
            <w:shd w:val="clear" w:color="auto" w:fill="FFFFFF"/>
          </w:tcPr>
          <w:p w14:paraId="3E5D17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本月M2中上月为M1的占比</w:t>
            </w:r>
          </w:p>
        </w:tc>
        <w:tc>
          <w:tcPr>
            <w:tcW w:w="1814" w:type="dxa"/>
            <w:shd w:val="clear" w:color="auto" w:fill="FFFFFF"/>
          </w:tcPr>
          <w:p w14:paraId="5C8482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月</w:t>
            </w:r>
          </w:p>
        </w:tc>
        <w:tc>
          <w:tcPr>
            <w:tcW w:w="1814" w:type="dxa"/>
            <w:shd w:val="clear" w:color="auto" w:fill="FFFFFF"/>
          </w:tcPr>
          <w:p w14:paraId="355F35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&gt;45%</w:t>
            </w:r>
          </w:p>
        </w:tc>
      </w:tr>
      <w:tr w14:paraId="5122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734624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M2→M3滚动率</w:t>
            </w:r>
          </w:p>
        </w:tc>
        <w:tc>
          <w:tcPr>
            <w:tcW w:w="1814" w:type="dxa"/>
            <w:shd w:val="clear" w:color="auto" w:fill="F2F7FF"/>
          </w:tcPr>
          <w:p w14:paraId="523C07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M2转化为M3的比例</w:t>
            </w:r>
          </w:p>
        </w:tc>
        <w:tc>
          <w:tcPr>
            <w:tcW w:w="1814" w:type="dxa"/>
            <w:shd w:val="clear" w:color="auto" w:fill="F2F7FF"/>
          </w:tcPr>
          <w:p w14:paraId="70D59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本月M3中上月为M2的占比</w:t>
            </w:r>
          </w:p>
        </w:tc>
        <w:tc>
          <w:tcPr>
            <w:tcW w:w="1814" w:type="dxa"/>
            <w:shd w:val="clear" w:color="auto" w:fill="F2F7FF"/>
          </w:tcPr>
          <w:p w14:paraId="484709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月</w:t>
            </w:r>
          </w:p>
        </w:tc>
        <w:tc>
          <w:tcPr>
            <w:tcW w:w="1814" w:type="dxa"/>
            <w:shd w:val="clear" w:color="auto" w:fill="F2F7FF"/>
          </w:tcPr>
          <w:p w14:paraId="16718D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&gt;</w:t>
            </w:r>
            <w:r>
              <w:rPr>
                <w:rFonts w:hint="eastAsia"/>
                <w:sz w:val="20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sz w:val="20"/>
              </w:rPr>
              <w:t>0%</w:t>
            </w:r>
          </w:p>
        </w:tc>
      </w:tr>
    </w:tbl>
    <w:p w14:paraId="3298432A"/>
    <w:p w14:paraId="55F321E3">
      <w:pPr>
        <w:pStyle w:val="4"/>
      </w:pPr>
      <w:r>
        <w:rPr>
          <w:rFonts w:ascii="微软雅黑" w:hAnsi="微软雅黑" w:eastAsia="微软雅黑"/>
          <w:color w:val="2E75B6"/>
        </w:rPr>
        <w:t>2.2 行为监控指标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135"/>
        <w:gridCol w:w="2401"/>
      </w:tblGrid>
      <w:tr w14:paraId="712E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430817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指标类别</w:t>
            </w:r>
          </w:p>
        </w:tc>
        <w:tc>
          <w:tcPr>
            <w:tcW w:w="2268" w:type="dxa"/>
            <w:shd w:val="clear" w:color="auto" w:fill="2E75B6"/>
          </w:tcPr>
          <w:p w14:paraId="5707AA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具体指标</w:t>
            </w:r>
          </w:p>
        </w:tc>
        <w:tc>
          <w:tcPr>
            <w:tcW w:w="2135" w:type="dxa"/>
            <w:shd w:val="clear" w:color="auto" w:fill="2E75B6"/>
          </w:tcPr>
          <w:p w14:paraId="73109F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</w:t>
            </w:r>
          </w:p>
        </w:tc>
        <w:tc>
          <w:tcPr>
            <w:tcW w:w="2401" w:type="dxa"/>
            <w:shd w:val="clear" w:color="auto" w:fill="2E75B6"/>
          </w:tcPr>
          <w:p w14:paraId="2CAF77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风险信号</w:t>
            </w:r>
          </w:p>
        </w:tc>
      </w:tr>
      <w:tr w14:paraId="17C2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3C1503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还款行为</w:t>
            </w:r>
          </w:p>
        </w:tc>
        <w:tc>
          <w:tcPr>
            <w:tcW w:w="2268" w:type="dxa"/>
            <w:shd w:val="clear" w:color="auto" w:fill="F2F7FF"/>
          </w:tcPr>
          <w:p w14:paraId="618AD9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最低还款占比</w:t>
            </w:r>
          </w:p>
        </w:tc>
        <w:tc>
          <w:tcPr>
            <w:tcW w:w="2135" w:type="dxa"/>
            <w:shd w:val="clear" w:color="auto" w:fill="F2F7FF"/>
          </w:tcPr>
          <w:p w14:paraId="2A6CFC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还款记录</w:t>
            </w:r>
          </w:p>
        </w:tc>
        <w:tc>
          <w:tcPr>
            <w:tcW w:w="2401" w:type="dxa"/>
            <w:shd w:val="clear" w:color="auto" w:fill="F2F7FF"/>
          </w:tcPr>
          <w:p w14:paraId="1CB814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连续3个月最低还款 → 风险上升</w:t>
            </w:r>
          </w:p>
        </w:tc>
      </w:tr>
      <w:tr w14:paraId="4C76C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546DC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还款行为</w:t>
            </w:r>
          </w:p>
        </w:tc>
        <w:tc>
          <w:tcPr>
            <w:tcW w:w="2268" w:type="dxa"/>
            <w:shd w:val="clear" w:color="auto" w:fill="FFFFFF"/>
          </w:tcPr>
          <w:p w14:paraId="6FD3AF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还款日偏离天数</w:t>
            </w:r>
          </w:p>
        </w:tc>
        <w:tc>
          <w:tcPr>
            <w:tcW w:w="2135" w:type="dxa"/>
            <w:shd w:val="clear" w:color="auto" w:fill="FFFFFF"/>
          </w:tcPr>
          <w:p w14:paraId="7820EE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还款记录</w:t>
            </w:r>
          </w:p>
        </w:tc>
        <w:tc>
          <w:tcPr>
            <w:tcW w:w="2401" w:type="dxa"/>
            <w:shd w:val="clear" w:color="auto" w:fill="FFFFFF"/>
          </w:tcPr>
          <w:p w14:paraId="7DE8F5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还款日越来越晚 → 风险上升</w:t>
            </w:r>
          </w:p>
        </w:tc>
      </w:tr>
      <w:tr w14:paraId="18D00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5C9FCF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借贷行为</w:t>
            </w:r>
          </w:p>
        </w:tc>
        <w:tc>
          <w:tcPr>
            <w:tcW w:w="2268" w:type="dxa"/>
            <w:shd w:val="clear" w:color="auto" w:fill="F2F7FF"/>
          </w:tcPr>
          <w:p w14:paraId="0FBBD3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硬查询次数(近7天)</w:t>
            </w:r>
          </w:p>
        </w:tc>
        <w:tc>
          <w:tcPr>
            <w:tcW w:w="2135" w:type="dxa"/>
            <w:shd w:val="clear" w:color="auto" w:fill="F2F7FF"/>
          </w:tcPr>
          <w:p w14:paraId="46B4FC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征信报告</w:t>
            </w:r>
          </w:p>
        </w:tc>
        <w:tc>
          <w:tcPr>
            <w:tcW w:w="2401" w:type="dxa"/>
            <w:shd w:val="clear" w:color="auto" w:fill="F2F7FF"/>
          </w:tcPr>
          <w:p w14:paraId="43E1B3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近7天查询&gt;3次 → 多头借贷风险</w:t>
            </w:r>
          </w:p>
        </w:tc>
      </w:tr>
      <w:tr w14:paraId="7C99C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DAC78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借贷行为</w:t>
            </w:r>
          </w:p>
        </w:tc>
        <w:tc>
          <w:tcPr>
            <w:tcW w:w="2268" w:type="dxa"/>
            <w:shd w:val="clear" w:color="auto" w:fill="FFFFFF"/>
          </w:tcPr>
          <w:p w14:paraId="5D14D9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他行新增贷款</w:t>
            </w:r>
          </w:p>
        </w:tc>
        <w:tc>
          <w:tcPr>
            <w:tcW w:w="2135" w:type="dxa"/>
            <w:shd w:val="clear" w:color="auto" w:fill="FFFFFF"/>
          </w:tcPr>
          <w:p w14:paraId="2FDE55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征信报告</w:t>
            </w:r>
          </w:p>
        </w:tc>
        <w:tc>
          <w:tcPr>
            <w:tcW w:w="2401" w:type="dxa"/>
            <w:shd w:val="clear" w:color="auto" w:fill="FFFFFF"/>
          </w:tcPr>
          <w:p w14:paraId="686B12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新增贷款&gt;3笔 → 负债上升</w:t>
            </w:r>
          </w:p>
        </w:tc>
      </w:tr>
      <w:tr w14:paraId="1255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32B18B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消费行为</w:t>
            </w:r>
          </w:p>
        </w:tc>
        <w:tc>
          <w:tcPr>
            <w:tcW w:w="2268" w:type="dxa"/>
            <w:shd w:val="clear" w:color="auto" w:fill="F2F7FF"/>
          </w:tcPr>
          <w:p w14:paraId="1E5BE9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消费金额环比下降</w:t>
            </w:r>
          </w:p>
        </w:tc>
        <w:tc>
          <w:tcPr>
            <w:tcW w:w="2135" w:type="dxa"/>
            <w:shd w:val="clear" w:color="auto" w:fill="F2F7FF"/>
          </w:tcPr>
          <w:p w14:paraId="49504A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交易数据</w:t>
            </w:r>
          </w:p>
        </w:tc>
        <w:tc>
          <w:tcPr>
            <w:tcW w:w="2401" w:type="dxa"/>
            <w:shd w:val="clear" w:color="auto" w:fill="F2F7FF"/>
          </w:tcPr>
          <w:p w14:paraId="2BD556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消费骤降&gt;50% → 收入异常</w:t>
            </w:r>
          </w:p>
        </w:tc>
      </w:tr>
      <w:tr w14:paraId="6DE06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DC1BA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消费行为</w:t>
            </w:r>
          </w:p>
        </w:tc>
        <w:tc>
          <w:tcPr>
            <w:tcW w:w="2268" w:type="dxa"/>
            <w:shd w:val="clear" w:color="auto" w:fill="FFFFFF"/>
          </w:tcPr>
          <w:p w14:paraId="3350E5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异常交易特征</w:t>
            </w:r>
          </w:p>
        </w:tc>
        <w:tc>
          <w:tcPr>
            <w:tcW w:w="2135" w:type="dxa"/>
            <w:shd w:val="clear" w:color="auto" w:fill="FFFFFF"/>
          </w:tcPr>
          <w:p w14:paraId="7BB12C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交易数据</w:t>
            </w:r>
          </w:p>
        </w:tc>
        <w:tc>
          <w:tcPr>
            <w:tcW w:w="2401" w:type="dxa"/>
            <w:shd w:val="clear" w:color="auto" w:fill="FFFFFF"/>
          </w:tcPr>
          <w:p w14:paraId="098471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深夜大额转账 → 跑路风险</w:t>
            </w:r>
          </w:p>
        </w:tc>
      </w:tr>
      <w:tr w14:paraId="3CB7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18C7A2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App行为</w:t>
            </w:r>
          </w:p>
        </w:tc>
        <w:tc>
          <w:tcPr>
            <w:tcW w:w="2268" w:type="dxa"/>
            <w:shd w:val="clear" w:color="auto" w:fill="F2F7FF"/>
          </w:tcPr>
          <w:p w14:paraId="1E9FD9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APP登录频率</w:t>
            </w:r>
          </w:p>
        </w:tc>
        <w:tc>
          <w:tcPr>
            <w:tcW w:w="2135" w:type="dxa"/>
            <w:shd w:val="clear" w:color="auto" w:fill="F2F7FF"/>
          </w:tcPr>
          <w:p w14:paraId="44A938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APP埋点</w:t>
            </w:r>
          </w:p>
        </w:tc>
        <w:tc>
          <w:tcPr>
            <w:tcW w:w="2401" w:type="dxa"/>
            <w:shd w:val="clear" w:color="auto" w:fill="F2F7FF"/>
          </w:tcPr>
          <w:p w14:paraId="2BBD12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登录频率骤降 → 关联风险</w:t>
            </w:r>
          </w:p>
        </w:tc>
      </w:tr>
    </w:tbl>
    <w:p w14:paraId="1CE3C6E9"/>
    <w:p w14:paraId="6B71DF30">
      <w:pPr>
        <w:pStyle w:val="3"/>
      </w:pPr>
      <w:r>
        <w:rPr>
          <w:rFonts w:ascii="微软雅黑" w:hAnsi="微软雅黑" w:eastAsia="微软雅黑"/>
          <w:color w:val="1F3864"/>
        </w:rPr>
        <w:t>三、EWS预警系统</w:t>
      </w:r>
    </w:p>
    <w:p w14:paraId="78626821">
      <w:pPr>
        <w:pStyle w:val="4"/>
      </w:pPr>
      <w:r>
        <w:rPr>
          <w:rFonts w:ascii="微软雅黑" w:hAnsi="微软雅黑" w:eastAsia="微软雅黑"/>
          <w:color w:val="2E75B6"/>
        </w:rPr>
        <w:t>3.1 预警层级设计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FD16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E75B6"/>
          </w:tcPr>
          <w:p w14:paraId="786536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预警层级</w:t>
            </w:r>
          </w:p>
        </w:tc>
        <w:tc>
          <w:tcPr>
            <w:tcW w:w="1814" w:type="dxa"/>
            <w:shd w:val="clear" w:color="auto" w:fill="2E75B6"/>
          </w:tcPr>
          <w:p w14:paraId="2CA30E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w="1814" w:type="dxa"/>
            <w:shd w:val="clear" w:color="auto" w:fill="2E75B6"/>
          </w:tcPr>
          <w:p w14:paraId="64E1C9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干预措施</w:t>
            </w:r>
          </w:p>
        </w:tc>
        <w:tc>
          <w:tcPr>
            <w:tcW w:w="1814" w:type="dxa"/>
            <w:shd w:val="clear" w:color="auto" w:fill="2E75B6"/>
          </w:tcPr>
          <w:p w14:paraId="160AED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响应时效</w:t>
            </w:r>
          </w:p>
        </w:tc>
        <w:tc>
          <w:tcPr>
            <w:tcW w:w="1814" w:type="dxa"/>
            <w:shd w:val="clear" w:color="auto" w:fill="2E75B6"/>
          </w:tcPr>
          <w:p w14:paraId="566285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</w:tr>
      <w:tr w14:paraId="6A82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549192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L1 关注</w:t>
            </w:r>
          </w:p>
        </w:tc>
        <w:tc>
          <w:tcPr>
            <w:tcW w:w="1814" w:type="dxa"/>
            <w:shd w:val="clear" w:color="auto" w:fill="F2F7FF"/>
          </w:tcPr>
          <w:p w14:paraId="5CC0C8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行为分下降10-20分或近7日查询&gt;3次</w:t>
            </w:r>
          </w:p>
        </w:tc>
        <w:tc>
          <w:tcPr>
            <w:tcW w:w="1814" w:type="dxa"/>
            <w:shd w:val="clear" w:color="auto" w:fill="F2F7FF"/>
          </w:tcPr>
          <w:p w14:paraId="766C2F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标注关注</w:t>
            </w:r>
          </w:p>
        </w:tc>
        <w:tc>
          <w:tcPr>
            <w:tcW w:w="1814" w:type="dxa"/>
            <w:shd w:val="clear" w:color="auto" w:fill="F2F7FF"/>
          </w:tcPr>
          <w:p w14:paraId="116F0F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24小时</w:t>
            </w:r>
          </w:p>
        </w:tc>
        <w:tc>
          <w:tcPr>
            <w:tcW w:w="1814" w:type="dxa"/>
            <w:shd w:val="clear" w:color="auto" w:fill="F2F7FF"/>
          </w:tcPr>
          <w:p w14:paraId="67C34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系统自动</w:t>
            </w:r>
          </w:p>
        </w:tc>
      </w:tr>
      <w:tr w14:paraId="6F950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1B065E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L2 预警</w:t>
            </w:r>
          </w:p>
        </w:tc>
        <w:tc>
          <w:tcPr>
            <w:tcW w:w="1814" w:type="dxa"/>
            <w:shd w:val="clear" w:color="auto" w:fill="FFFFFF"/>
          </w:tcPr>
          <w:p w14:paraId="7F629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行为分下降&gt;20分或连续3月最低还款</w:t>
            </w:r>
          </w:p>
        </w:tc>
        <w:tc>
          <w:tcPr>
            <w:tcW w:w="1814" w:type="dxa"/>
            <w:shd w:val="clear" w:color="auto" w:fill="FFFFFF"/>
          </w:tcPr>
          <w:p w14:paraId="7D81E5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压缩可用额度30%，暂停提额</w:t>
            </w:r>
          </w:p>
        </w:tc>
        <w:tc>
          <w:tcPr>
            <w:tcW w:w="1814" w:type="dxa"/>
            <w:shd w:val="clear" w:color="auto" w:fill="FFFFFF"/>
          </w:tcPr>
          <w:p w14:paraId="1AA13D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4小时</w:t>
            </w:r>
          </w:p>
        </w:tc>
        <w:tc>
          <w:tcPr>
            <w:tcW w:w="1814" w:type="dxa"/>
            <w:shd w:val="clear" w:color="auto" w:fill="FFFFFF"/>
          </w:tcPr>
          <w:p w14:paraId="4C7B0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系统自动+人工复核</w:t>
            </w:r>
          </w:p>
        </w:tc>
      </w:tr>
      <w:tr w14:paraId="78EBB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7FF"/>
          </w:tcPr>
          <w:p w14:paraId="325EF2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L3 高危</w:t>
            </w:r>
          </w:p>
        </w:tc>
        <w:tc>
          <w:tcPr>
            <w:tcW w:w="1814" w:type="dxa"/>
            <w:shd w:val="clear" w:color="auto" w:fill="F2F7FF"/>
          </w:tcPr>
          <w:p w14:paraId="3F754F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行为分下降&gt;40分或出现1日逾期</w:t>
            </w:r>
          </w:p>
        </w:tc>
        <w:tc>
          <w:tcPr>
            <w:tcW w:w="1814" w:type="dxa"/>
            <w:shd w:val="clear" w:color="auto" w:fill="F2F7FF"/>
          </w:tcPr>
          <w:p w14:paraId="48C1ED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额度冻结，主动外呼催收</w:t>
            </w:r>
          </w:p>
        </w:tc>
        <w:tc>
          <w:tcPr>
            <w:tcW w:w="1814" w:type="dxa"/>
            <w:shd w:val="clear" w:color="auto" w:fill="F2F7FF"/>
          </w:tcPr>
          <w:p w14:paraId="13CBD1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1小时</w:t>
            </w:r>
          </w:p>
        </w:tc>
        <w:tc>
          <w:tcPr>
            <w:tcW w:w="1814" w:type="dxa"/>
            <w:shd w:val="clear" w:color="auto" w:fill="F2F7FF"/>
          </w:tcPr>
          <w:p w14:paraId="547E07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人工处理</w:t>
            </w:r>
          </w:p>
        </w:tc>
      </w:tr>
      <w:tr w14:paraId="79F5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</w:tcPr>
          <w:p w14:paraId="79F334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L4 违约</w:t>
            </w:r>
          </w:p>
        </w:tc>
        <w:tc>
          <w:tcPr>
            <w:tcW w:w="1814" w:type="dxa"/>
            <w:shd w:val="clear" w:color="auto" w:fill="FFFFFF"/>
          </w:tcPr>
          <w:p w14:paraId="06AF84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sz w:val="20"/>
              </w:rPr>
              <w:t>+已逾期</w:t>
            </w:r>
          </w:p>
        </w:tc>
        <w:tc>
          <w:tcPr>
            <w:tcW w:w="1814" w:type="dxa"/>
            <w:shd w:val="clear" w:color="auto" w:fill="FFFFFF"/>
          </w:tcPr>
          <w:p w14:paraId="21BE3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全额冻结，启动正式催收</w:t>
            </w:r>
          </w:p>
        </w:tc>
        <w:tc>
          <w:tcPr>
            <w:tcW w:w="1814" w:type="dxa"/>
            <w:shd w:val="clear" w:color="auto" w:fill="FFFFFF"/>
          </w:tcPr>
          <w:p w14:paraId="6D02A4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实时</w:t>
            </w:r>
          </w:p>
        </w:tc>
        <w:tc>
          <w:tcPr>
            <w:tcW w:w="1814" w:type="dxa"/>
            <w:shd w:val="clear" w:color="auto" w:fill="FFFFFF"/>
          </w:tcPr>
          <w:p w14:paraId="52496C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催收系统</w:t>
            </w:r>
          </w:p>
        </w:tc>
      </w:tr>
    </w:tbl>
    <w:p w14:paraId="1D7A233C"/>
    <w:p w14:paraId="077E7A0A">
      <w:pPr>
        <w:pStyle w:val="4"/>
      </w:pPr>
      <w:r>
        <w:rPr>
          <w:rFonts w:ascii="微软雅黑" w:hAnsi="微软雅黑" w:eastAsia="微软雅黑"/>
          <w:color w:val="2E75B6"/>
        </w:rPr>
        <w:t>3.2 行为评分卡(B卡)</w:t>
      </w:r>
    </w:p>
    <w:p w14:paraId="12366294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行为评分卡是EWS预警系统的核心模型，基于客户入账后的行为数据进行持续评分：</w:t>
      </w:r>
    </w:p>
    <w:p w14:paraId="5FF9B53B">
      <w:pPr>
        <w:pStyle w:val="16"/>
      </w:pPr>
      <w:r>
        <w:rPr>
          <w:rFonts w:ascii="微软雅黑" w:hAnsi="微软雅黑" w:eastAsia="微软雅黑"/>
          <w:sz w:val="21"/>
        </w:rPr>
        <w:t>入模特征：还款及时性(30%)、消费稳定性(25%)、借贷行为(20%)、征信查询(15%)、App使用(10%)</w:t>
      </w:r>
    </w:p>
    <w:p w14:paraId="5B7932AE">
      <w:pPr>
        <w:pStyle w:val="16"/>
      </w:pPr>
      <w:r>
        <w:rPr>
          <w:rFonts w:ascii="微软雅黑" w:hAnsi="微软雅黑" w:eastAsia="微软雅黑"/>
          <w:sz w:val="21"/>
        </w:rPr>
        <w:t>更新频率：每月更新一次行为评分</w:t>
      </w:r>
    </w:p>
    <w:p w14:paraId="154C5CBE">
      <w:pPr>
        <w:pStyle w:val="16"/>
      </w:pPr>
      <w:r>
        <w:rPr>
          <w:rFonts w:ascii="微软雅黑" w:hAnsi="微软雅黑" w:eastAsia="微软雅黑"/>
          <w:sz w:val="21"/>
        </w:rPr>
        <w:t>评分范围：300-850分，分数越高风险越低</w:t>
      </w:r>
    </w:p>
    <w:p w14:paraId="54044A67">
      <w:pPr>
        <w:pStyle w:val="16"/>
      </w:pPr>
      <w:r>
        <w:rPr>
          <w:rFonts w:ascii="微软雅黑" w:hAnsi="微软雅黑" w:eastAsia="微软雅黑"/>
          <w:sz w:val="21"/>
        </w:rPr>
        <w:t>与A卡联动：B卡分数下降可能触发CLD额度压缩</w:t>
      </w:r>
    </w:p>
    <w:p w14:paraId="4C1850D7">
      <w:pPr>
        <w:pStyle w:val="3"/>
      </w:pPr>
      <w:r>
        <w:rPr>
          <w:rFonts w:ascii="微软雅黑" w:hAnsi="微软雅黑" w:eastAsia="微软雅黑"/>
          <w:color w:val="1F3864"/>
        </w:rPr>
        <w:t>四、干预措施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BAE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1A3C7B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干预类型</w:t>
            </w:r>
          </w:p>
        </w:tc>
        <w:tc>
          <w:tcPr>
            <w:tcW w:w="2268" w:type="dxa"/>
            <w:shd w:val="clear" w:color="auto" w:fill="2E75B6"/>
          </w:tcPr>
          <w:p w14:paraId="3A3E43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w="2268" w:type="dxa"/>
            <w:shd w:val="clear" w:color="auto" w:fill="2E75B6"/>
          </w:tcPr>
          <w:p w14:paraId="21D8B4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具体措施</w:t>
            </w:r>
          </w:p>
        </w:tc>
        <w:tc>
          <w:tcPr>
            <w:tcW w:w="2268" w:type="dxa"/>
            <w:shd w:val="clear" w:color="auto" w:fill="2E75B6"/>
          </w:tcPr>
          <w:p w14:paraId="33649B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预期效果</w:t>
            </w:r>
          </w:p>
        </w:tc>
      </w:tr>
      <w:tr w14:paraId="7A17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72CCAA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温和干预</w:t>
            </w:r>
          </w:p>
        </w:tc>
        <w:tc>
          <w:tcPr>
            <w:tcW w:w="2268" w:type="dxa"/>
            <w:shd w:val="clear" w:color="auto" w:fill="F2F7FF"/>
          </w:tcPr>
          <w:p w14:paraId="5DFE69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L1关注客户</w:t>
            </w:r>
          </w:p>
        </w:tc>
        <w:tc>
          <w:tcPr>
            <w:tcW w:w="2268" w:type="dxa"/>
            <w:shd w:val="clear" w:color="auto" w:fill="F2F7FF"/>
          </w:tcPr>
          <w:p w14:paraId="2B6AC8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还款提醒短信、账单提前推送、分期方案推荐</w:t>
            </w:r>
          </w:p>
        </w:tc>
        <w:tc>
          <w:tcPr>
            <w:tcW w:w="2268" w:type="dxa"/>
            <w:shd w:val="clear" w:color="auto" w:fill="F2F7FF"/>
          </w:tcPr>
          <w:p w14:paraId="18F3C7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预防性降低逾期风险</w:t>
            </w:r>
          </w:p>
        </w:tc>
      </w:tr>
      <w:tr w14:paraId="23D7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A20F4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限制干预</w:t>
            </w:r>
          </w:p>
        </w:tc>
        <w:tc>
          <w:tcPr>
            <w:tcW w:w="2268" w:type="dxa"/>
            <w:shd w:val="clear" w:color="auto" w:fill="FFFFFF"/>
          </w:tcPr>
          <w:p w14:paraId="7BE6E9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L2预警客户</w:t>
            </w:r>
          </w:p>
        </w:tc>
        <w:tc>
          <w:tcPr>
            <w:tcW w:w="2268" w:type="dxa"/>
            <w:shd w:val="clear" w:color="auto" w:fill="FFFFFF"/>
          </w:tcPr>
          <w:p w14:paraId="28E458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额度压缩、暂停提额、限制大额提现</w:t>
            </w:r>
          </w:p>
        </w:tc>
        <w:tc>
          <w:tcPr>
            <w:tcW w:w="2268" w:type="dxa"/>
            <w:shd w:val="clear" w:color="auto" w:fill="FFFFFF"/>
          </w:tcPr>
          <w:p w14:paraId="74AE48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控制新增敞口</w:t>
            </w:r>
          </w:p>
        </w:tc>
      </w:tr>
      <w:tr w14:paraId="5C065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550B5F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强制干预</w:t>
            </w:r>
          </w:p>
        </w:tc>
        <w:tc>
          <w:tcPr>
            <w:tcW w:w="2268" w:type="dxa"/>
            <w:shd w:val="clear" w:color="auto" w:fill="F2F7FF"/>
          </w:tcPr>
          <w:p w14:paraId="68ED61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L3高危客户</w:t>
            </w:r>
          </w:p>
        </w:tc>
        <w:tc>
          <w:tcPr>
            <w:tcW w:w="2268" w:type="dxa"/>
            <w:shd w:val="clear" w:color="auto" w:fill="F2F7FF"/>
          </w:tcPr>
          <w:p w14:paraId="3AAB9D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额度冻结、主动外呼、协商还款方案</w:t>
            </w:r>
          </w:p>
        </w:tc>
        <w:tc>
          <w:tcPr>
            <w:tcW w:w="2268" w:type="dxa"/>
            <w:shd w:val="clear" w:color="auto" w:fill="F2F7FF"/>
          </w:tcPr>
          <w:p w14:paraId="30D6D6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防止逾期发生</w:t>
            </w:r>
          </w:p>
        </w:tc>
      </w:tr>
      <w:tr w14:paraId="046F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881A2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催收介入</w:t>
            </w:r>
          </w:p>
        </w:tc>
        <w:tc>
          <w:tcPr>
            <w:tcW w:w="2268" w:type="dxa"/>
            <w:shd w:val="clear" w:color="auto" w:fill="FFFFFF"/>
          </w:tcPr>
          <w:p w14:paraId="1476FF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L4违约客户</w:t>
            </w:r>
          </w:p>
        </w:tc>
        <w:tc>
          <w:tcPr>
            <w:tcW w:w="2268" w:type="dxa"/>
            <w:shd w:val="clear" w:color="auto" w:fill="FFFFFF"/>
          </w:tcPr>
          <w:p w14:paraId="107A23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正式催收流程、法务催收、和解方案</w:t>
            </w:r>
          </w:p>
        </w:tc>
        <w:tc>
          <w:tcPr>
            <w:tcW w:w="2268" w:type="dxa"/>
            <w:shd w:val="clear" w:color="auto" w:fill="FFFFFF"/>
          </w:tcPr>
          <w:p w14:paraId="564307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最大化回收率</w:t>
            </w:r>
          </w:p>
        </w:tc>
      </w:tr>
    </w:tbl>
    <w:p w14:paraId="0690CFD8"/>
    <w:p w14:paraId="723FDDEA">
      <w:pPr>
        <w:pStyle w:val="3"/>
      </w:pPr>
      <w:r>
        <w:rPr>
          <w:rFonts w:ascii="微软雅黑" w:hAnsi="微软雅黑" w:eastAsia="微软雅黑"/>
          <w:color w:val="1F3864"/>
        </w:rPr>
        <w:t>五、风险看板设计</w:t>
      </w:r>
    </w:p>
    <w:p w14:paraId="098973A4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建立自动化风险KPI看板，每日推送核心指标至管理层：</w:t>
      </w:r>
    </w:p>
    <w:p w14:paraId="5662ABE4">
      <w:pPr>
        <w:pStyle w:val="16"/>
      </w:pPr>
      <w:r>
        <w:rPr>
          <w:rFonts w:ascii="微软雅黑" w:hAnsi="微软雅黑" w:eastAsia="微软雅黑"/>
          <w:sz w:val="21"/>
        </w:rPr>
        <w:t>实时看板：当日新增逾期金额、EWS预警触发量、干预成功率</w:t>
      </w:r>
    </w:p>
    <w:p w14:paraId="438F70E9">
      <w:pPr>
        <w:pStyle w:val="16"/>
      </w:pPr>
      <w:r>
        <w:rPr>
          <w:rFonts w:ascii="微软雅黑" w:hAnsi="微软雅黑" w:eastAsia="微软雅黑"/>
          <w:sz w:val="21"/>
        </w:rPr>
        <w:t>日报：M1/M2/M3+逾期率环比、滚动率变化、放款质量指标</w:t>
      </w:r>
    </w:p>
    <w:p w14:paraId="457C73DF">
      <w:pPr>
        <w:pStyle w:val="16"/>
      </w:pPr>
      <w:r>
        <w:rPr>
          <w:rFonts w:ascii="微软雅黑" w:hAnsi="微软雅黑" w:eastAsia="微软雅黑"/>
          <w:sz w:val="21"/>
        </w:rPr>
        <w:t>周报：</w:t>
      </w:r>
      <w:r>
        <w:rPr>
          <w:rFonts w:hint="eastAsia"/>
          <w:sz w:val="21"/>
          <w:lang w:val="en-US" w:eastAsia="zh-CN"/>
        </w:rPr>
        <w:t>FPD</w:t>
      </w:r>
      <w:r>
        <w:rPr>
          <w:rFonts w:ascii="微软雅黑" w:hAnsi="微软雅黑" w:eastAsia="微软雅黑"/>
          <w:sz w:val="21"/>
        </w:rPr>
        <w:t>、渠道质量分析、策略A/B测试结果</w:t>
      </w:r>
    </w:p>
    <w:p w14:paraId="46FA9E64">
      <w:pPr>
        <w:pStyle w:val="16"/>
        <w:rPr>
          <w:rFonts w:hint="default"/>
          <w:lang w:val="en-US"/>
        </w:rPr>
      </w:pPr>
      <w:r>
        <w:rPr>
          <w:rFonts w:ascii="微软雅黑" w:hAnsi="微软雅黑" w:eastAsia="微软雅黑"/>
          <w:sz w:val="21"/>
        </w:rPr>
        <w:t>月报：Vintage</w:t>
      </w:r>
      <w:r>
        <w:rPr>
          <w:rFonts w:hint="eastAsia"/>
          <w:sz w:val="21"/>
          <w:lang w:val="en-US" w:eastAsia="zh-CN"/>
        </w:rPr>
        <w:t>X+</w:t>
      </w:r>
      <w:r>
        <w:rPr>
          <w:rFonts w:ascii="微软雅黑" w:hAnsi="微软雅黑" w:eastAsia="微软雅黑"/>
          <w:sz w:val="21"/>
        </w:rPr>
        <w:t>、损失率、</w:t>
      </w:r>
      <w:r>
        <w:rPr>
          <w:rFonts w:hint="eastAsia"/>
          <w:sz w:val="21"/>
          <w:lang w:val="en-US" w:eastAsia="zh-CN"/>
        </w:rPr>
        <w:t>LTV$/UE%</w:t>
      </w:r>
      <w:r>
        <w:rPr>
          <w:rFonts w:ascii="微软雅黑" w:hAnsi="微软雅黑" w:eastAsia="微软雅黑"/>
          <w:sz w:val="21"/>
        </w:rPr>
        <w:t>、</w:t>
      </w:r>
      <w:r>
        <w:rPr>
          <w:rFonts w:hint="eastAsia"/>
          <w:sz w:val="21"/>
          <w:lang w:val="en-US" w:eastAsia="zh-CN"/>
        </w:rPr>
        <w:t>Roll rate%</w:t>
      </w:r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C43894"/>
    <w:rsid w:val="1FB262C1"/>
    <w:rsid w:val="260016E6"/>
    <w:rsid w:val="26FF663E"/>
    <w:rsid w:val="32E60491"/>
    <w:rsid w:val="35120181"/>
    <w:rsid w:val="397D4DF2"/>
    <w:rsid w:val="413B20C9"/>
    <w:rsid w:val="485C742F"/>
    <w:rsid w:val="4E516B22"/>
    <w:rsid w:val="52AD4542"/>
    <w:rsid w:val="609603C4"/>
    <w:rsid w:val="62E2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1057</Words>
  <Characters>1210</Characters>
  <DocSecurity>0</DocSecurity>
  <Lines>0</Lines>
  <Paragraphs>0</Paragraphs>
  <ScaleCrop>false</ScaleCrop>
  <LinksUpToDate>false</LinksUpToDate>
  <CharactersWithSpaces>1232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2026-04-03T07:38:48Z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61B2203F78F34857B3D518934EB531E4_12</vt:lpwstr>
  </property>
</Properties>
</file>