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A3AF1"/>
    <w:p w14:paraId="67318204"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催收管理体系</w:t>
      </w:r>
    </w:p>
    <w:p w14:paraId="4D0D4A63">
      <w:pPr>
        <w:jc w:val="center"/>
      </w:pPr>
      <w:r>
        <w:rPr>
          <w:rFonts w:ascii="微软雅黑" w:hAnsi="微软雅黑" w:eastAsia="微软雅黑"/>
          <w:color w:val="2E75B6"/>
          <w:sz w:val="28"/>
        </w:rPr>
        <w:t>分层催收与AI智能化详解</w:t>
      </w:r>
    </w:p>
    <w:p w14:paraId="39D49D8C"/>
    <w:p w14:paraId="432A5E89">
      <w:pPr>
        <w:jc w:val="center"/>
      </w:pPr>
      <w:r>
        <w:rPr>
          <w:rFonts w:ascii="微软雅黑" w:hAnsi="微软雅黑" w:eastAsia="微软雅黑"/>
          <w:sz w:val="22"/>
        </w:rPr>
        <w:t>2026年4月</w:t>
      </w:r>
    </w:p>
    <w:p w14:paraId="63A8B2D2">
      <w:r>
        <w:br w:type="page"/>
      </w:r>
    </w:p>
    <w:p w14:paraId="5C84F73E">
      <w:pPr>
        <w:pStyle w:val="3"/>
      </w:pPr>
      <w:r>
        <w:rPr>
          <w:rFonts w:ascii="微软雅黑" w:hAnsi="微软雅黑" w:eastAsia="微软雅黑"/>
          <w:color w:val="1F3864"/>
        </w:rPr>
        <w:t>一、模块概述</w:t>
      </w:r>
    </w:p>
    <w:p w14:paraId="2A34A562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催收管理是消费金融资产回收的最后一道防线。在控制合规风险的前提下，最大化回收率，降低坏账损失。随着AI技术的发展，智能催收</w:t>
      </w:r>
      <w:r>
        <w:rPr>
          <w:rFonts w:hint="eastAsia"/>
          <w:b w:val="0"/>
          <w:sz w:val="21"/>
          <w:lang w:val="en-US" w:eastAsia="zh-CN"/>
        </w:rPr>
        <w:t>也极大的提高了催收的效率和准确性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64F87C8C">
      <w:pPr>
        <w:pStyle w:val="3"/>
      </w:pPr>
      <w:r>
        <w:rPr>
          <w:rFonts w:ascii="微软雅黑" w:hAnsi="微软雅黑" w:eastAsia="微软雅黑"/>
          <w:color w:val="1F3864"/>
        </w:rPr>
        <w:t>二、催收分层策略</w:t>
      </w:r>
    </w:p>
    <w:p w14:paraId="15B5E41C">
      <w:pPr>
        <w:pStyle w:val="4"/>
      </w:pPr>
      <w:r>
        <w:rPr>
          <w:rFonts w:ascii="微软雅黑" w:hAnsi="微软雅黑" w:eastAsia="微软雅黑"/>
          <w:color w:val="2E75B6"/>
        </w:rPr>
        <w:t>2.1 逾期阶段分层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371"/>
        <w:gridCol w:w="2257"/>
        <w:gridCol w:w="1814"/>
        <w:gridCol w:w="1814"/>
      </w:tblGrid>
      <w:tr w14:paraId="21E7F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E75B6"/>
          </w:tcPr>
          <w:p w14:paraId="7B46A9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逾期阶段</w:t>
            </w:r>
          </w:p>
        </w:tc>
        <w:tc>
          <w:tcPr>
            <w:tcW w:w="1371" w:type="dxa"/>
            <w:shd w:val="clear" w:color="auto" w:fill="2E75B6"/>
          </w:tcPr>
          <w:p w14:paraId="508472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逾期天数</w:t>
            </w:r>
          </w:p>
        </w:tc>
        <w:tc>
          <w:tcPr>
            <w:tcW w:w="2257" w:type="dxa"/>
            <w:shd w:val="clear" w:color="auto" w:fill="2E75B6"/>
          </w:tcPr>
          <w:p w14:paraId="70D6AC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催收目标</w:t>
            </w:r>
          </w:p>
        </w:tc>
        <w:tc>
          <w:tcPr>
            <w:tcW w:w="1814" w:type="dxa"/>
            <w:shd w:val="clear" w:color="auto" w:fill="2E75B6"/>
          </w:tcPr>
          <w:p w14:paraId="30223C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策略定位</w:t>
            </w:r>
          </w:p>
        </w:tc>
        <w:tc>
          <w:tcPr>
            <w:tcW w:w="1814" w:type="dxa"/>
            <w:shd w:val="clear" w:color="auto" w:fill="2E75B6"/>
          </w:tcPr>
          <w:p w14:paraId="71994A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核心渠道</w:t>
            </w:r>
          </w:p>
        </w:tc>
      </w:tr>
      <w:tr w14:paraId="34E38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7FF"/>
          </w:tcPr>
          <w:p w14:paraId="20F9EF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M0</w:t>
            </w:r>
          </w:p>
        </w:tc>
        <w:tc>
          <w:tcPr>
            <w:tcW w:w="1371" w:type="dxa"/>
            <w:shd w:val="clear" w:color="auto" w:fill="F2F7FF"/>
          </w:tcPr>
          <w:p w14:paraId="791411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1-30天</w:t>
            </w:r>
          </w:p>
        </w:tc>
        <w:tc>
          <w:tcPr>
            <w:tcW w:w="2257" w:type="dxa"/>
            <w:shd w:val="clear" w:color="auto" w:fill="F2F7FF"/>
          </w:tcPr>
          <w:p w14:paraId="1140ED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提醒还款，防止滚动</w:t>
            </w:r>
          </w:p>
        </w:tc>
        <w:tc>
          <w:tcPr>
            <w:tcW w:w="1814" w:type="dxa"/>
            <w:shd w:val="clear" w:color="auto" w:fill="F2F7FF"/>
          </w:tcPr>
          <w:p w14:paraId="6676AC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预防性催收</w:t>
            </w:r>
          </w:p>
        </w:tc>
        <w:tc>
          <w:tcPr>
            <w:tcW w:w="1814" w:type="dxa"/>
            <w:shd w:val="clear" w:color="auto" w:fill="F2F7FF"/>
          </w:tcPr>
          <w:p w14:paraId="345C3A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AI外呼+短信</w:t>
            </w:r>
          </w:p>
        </w:tc>
      </w:tr>
      <w:tr w14:paraId="0BEF5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</w:tcPr>
          <w:p w14:paraId="30EDF5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M1</w:t>
            </w:r>
          </w:p>
        </w:tc>
        <w:tc>
          <w:tcPr>
            <w:tcW w:w="1371" w:type="dxa"/>
            <w:shd w:val="clear" w:color="auto" w:fill="FFFFFF"/>
          </w:tcPr>
          <w:p w14:paraId="2FD6C4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31-60天</w:t>
            </w:r>
          </w:p>
        </w:tc>
        <w:tc>
          <w:tcPr>
            <w:tcW w:w="2257" w:type="dxa"/>
            <w:shd w:val="clear" w:color="auto" w:fill="FFFFFF"/>
          </w:tcPr>
          <w:p w14:paraId="4DDD8E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促使其还款，阻止升级</w:t>
            </w:r>
          </w:p>
        </w:tc>
        <w:tc>
          <w:tcPr>
            <w:tcW w:w="1814" w:type="dxa"/>
            <w:shd w:val="clear" w:color="auto" w:fill="FFFFFF"/>
          </w:tcPr>
          <w:p w14:paraId="448445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标准化催收</w:t>
            </w:r>
          </w:p>
        </w:tc>
        <w:tc>
          <w:tcPr>
            <w:tcW w:w="1814" w:type="dxa"/>
            <w:shd w:val="clear" w:color="auto" w:fill="FFFFFF"/>
          </w:tcPr>
          <w:p w14:paraId="610FB5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AI+人工混合</w:t>
            </w:r>
          </w:p>
        </w:tc>
      </w:tr>
      <w:tr w14:paraId="6CD15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7FF"/>
          </w:tcPr>
          <w:p w14:paraId="12303B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M2</w:t>
            </w:r>
          </w:p>
        </w:tc>
        <w:tc>
          <w:tcPr>
            <w:tcW w:w="1371" w:type="dxa"/>
            <w:shd w:val="clear" w:color="auto" w:fill="F2F7FF"/>
          </w:tcPr>
          <w:p w14:paraId="54E9C7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61-90天</w:t>
            </w:r>
          </w:p>
        </w:tc>
        <w:tc>
          <w:tcPr>
            <w:tcW w:w="2257" w:type="dxa"/>
            <w:shd w:val="clear" w:color="auto" w:fill="F2F7FF"/>
          </w:tcPr>
          <w:p w14:paraId="68EC52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深度催收，谈判还款</w:t>
            </w:r>
          </w:p>
        </w:tc>
        <w:tc>
          <w:tcPr>
            <w:tcW w:w="1814" w:type="dxa"/>
            <w:shd w:val="clear" w:color="auto" w:fill="F2F7FF"/>
          </w:tcPr>
          <w:p w14:paraId="137A54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强化催收</w:t>
            </w:r>
          </w:p>
        </w:tc>
        <w:tc>
          <w:tcPr>
            <w:tcW w:w="1814" w:type="dxa"/>
            <w:shd w:val="clear" w:color="auto" w:fill="F2F7FF"/>
          </w:tcPr>
          <w:p w14:paraId="7DD4A3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专职人工催收</w:t>
            </w:r>
          </w:p>
        </w:tc>
      </w:tr>
      <w:tr w14:paraId="751F2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</w:tcPr>
          <w:p w14:paraId="7BD451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M3</w:t>
            </w:r>
          </w:p>
        </w:tc>
        <w:tc>
          <w:tcPr>
            <w:tcW w:w="1371" w:type="dxa"/>
            <w:shd w:val="clear" w:color="auto" w:fill="FFFFFF"/>
          </w:tcPr>
          <w:p w14:paraId="071AA5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91-180天</w:t>
            </w:r>
          </w:p>
        </w:tc>
        <w:tc>
          <w:tcPr>
            <w:tcW w:w="2257" w:type="dxa"/>
            <w:shd w:val="clear" w:color="auto" w:fill="FFFFFF"/>
          </w:tcPr>
          <w:p w14:paraId="467C16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法务介入，和解协商</w:t>
            </w:r>
          </w:p>
        </w:tc>
        <w:tc>
          <w:tcPr>
            <w:tcW w:w="1814" w:type="dxa"/>
            <w:shd w:val="clear" w:color="auto" w:fill="FFFFFF"/>
          </w:tcPr>
          <w:p w14:paraId="18CCBB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法律催收</w:t>
            </w:r>
          </w:p>
        </w:tc>
        <w:tc>
          <w:tcPr>
            <w:tcW w:w="1814" w:type="dxa"/>
            <w:shd w:val="clear" w:color="auto" w:fill="FFFFFF"/>
          </w:tcPr>
          <w:p w14:paraId="2C2111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法务+谈判</w:t>
            </w:r>
          </w:p>
        </w:tc>
      </w:tr>
      <w:tr w14:paraId="0DC9C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7FF"/>
          </w:tcPr>
          <w:p w14:paraId="30B88E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M6+</w:t>
            </w:r>
          </w:p>
        </w:tc>
        <w:tc>
          <w:tcPr>
            <w:tcW w:w="1371" w:type="dxa"/>
            <w:shd w:val="clear" w:color="auto" w:fill="F2F7FF"/>
          </w:tcPr>
          <w:p w14:paraId="46639E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180天以上</w:t>
            </w:r>
          </w:p>
        </w:tc>
        <w:tc>
          <w:tcPr>
            <w:tcW w:w="2257" w:type="dxa"/>
            <w:shd w:val="clear" w:color="auto" w:fill="F2F7FF"/>
          </w:tcPr>
          <w:p w14:paraId="7F7816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诉讼/批量核销</w:t>
            </w:r>
          </w:p>
        </w:tc>
        <w:tc>
          <w:tcPr>
            <w:tcW w:w="1814" w:type="dxa"/>
            <w:shd w:val="clear" w:color="auto" w:fill="F2F7FF"/>
          </w:tcPr>
          <w:p w14:paraId="433209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终结处理</w:t>
            </w:r>
          </w:p>
        </w:tc>
        <w:tc>
          <w:tcPr>
            <w:tcW w:w="1814" w:type="dxa"/>
            <w:shd w:val="clear" w:color="auto" w:fill="F2F7FF"/>
          </w:tcPr>
          <w:p w14:paraId="2D6CCE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律所/AMC</w:t>
            </w:r>
          </w:p>
        </w:tc>
      </w:tr>
    </w:tbl>
    <w:p w14:paraId="46F5B3E1"/>
    <w:p w14:paraId="54A57024">
      <w:pPr>
        <w:pStyle w:val="4"/>
      </w:pPr>
      <w:r>
        <w:rPr>
          <w:rFonts w:ascii="微软雅黑" w:hAnsi="微软雅黑" w:eastAsia="微软雅黑"/>
          <w:color w:val="2E75B6"/>
        </w:rPr>
        <w:t>2.2 催收话术策略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1944"/>
        <w:gridCol w:w="2467"/>
        <w:gridCol w:w="3086"/>
      </w:tblGrid>
      <w:tr w14:paraId="3C18E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5" w:type="dxa"/>
            <w:shd w:val="clear" w:color="auto" w:fill="2E75B6"/>
          </w:tcPr>
          <w:p w14:paraId="486A9E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逾期阶段</w:t>
            </w:r>
          </w:p>
        </w:tc>
        <w:tc>
          <w:tcPr>
            <w:tcW w:w="1944" w:type="dxa"/>
            <w:shd w:val="clear" w:color="auto" w:fill="2E75B6"/>
          </w:tcPr>
          <w:p w14:paraId="1A600E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客户心态</w:t>
            </w:r>
          </w:p>
        </w:tc>
        <w:tc>
          <w:tcPr>
            <w:tcW w:w="2467" w:type="dxa"/>
            <w:shd w:val="clear" w:color="auto" w:fill="2E75B6"/>
          </w:tcPr>
          <w:p w14:paraId="0A1EF9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话术策略</w:t>
            </w:r>
          </w:p>
        </w:tc>
        <w:tc>
          <w:tcPr>
            <w:tcW w:w="3086" w:type="dxa"/>
            <w:shd w:val="clear" w:color="auto" w:fill="2E75B6"/>
          </w:tcPr>
          <w:p w14:paraId="607463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 w14:paraId="40E78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5" w:type="dxa"/>
            <w:shd w:val="clear" w:color="auto" w:fill="F2F7FF"/>
          </w:tcPr>
          <w:p w14:paraId="418BD9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M0-M1</w:t>
            </w:r>
          </w:p>
        </w:tc>
        <w:tc>
          <w:tcPr>
            <w:tcW w:w="1944" w:type="dxa"/>
            <w:shd w:val="clear" w:color="auto" w:fill="F2F7FF"/>
          </w:tcPr>
          <w:p w14:paraId="2CAD25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遗忘/疏忽</w:t>
            </w:r>
          </w:p>
        </w:tc>
        <w:tc>
          <w:tcPr>
            <w:tcW w:w="2467" w:type="dxa"/>
            <w:shd w:val="clear" w:color="auto" w:fill="F2F7FF"/>
          </w:tcPr>
          <w:p w14:paraId="615F59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温和提醒+后果告知</w:t>
            </w:r>
          </w:p>
        </w:tc>
        <w:tc>
          <w:tcPr>
            <w:tcW w:w="3086" w:type="dxa"/>
            <w:shd w:val="clear" w:color="auto" w:fill="F2F7FF"/>
          </w:tcPr>
          <w:p w14:paraId="232242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即时还款/3天内还款承诺</w:t>
            </w:r>
          </w:p>
        </w:tc>
      </w:tr>
      <w:tr w14:paraId="5F70F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5" w:type="dxa"/>
            <w:shd w:val="clear" w:color="auto" w:fill="FFFFFF"/>
          </w:tcPr>
          <w:p w14:paraId="57AA0E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M1-M2</w:t>
            </w:r>
          </w:p>
        </w:tc>
        <w:tc>
          <w:tcPr>
            <w:tcW w:w="1944" w:type="dxa"/>
            <w:shd w:val="clear" w:color="auto" w:fill="FFFFFF"/>
          </w:tcPr>
          <w:p w14:paraId="0D1BEB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资金周转困难</w:t>
            </w:r>
          </w:p>
        </w:tc>
        <w:tc>
          <w:tcPr>
            <w:tcW w:w="2467" w:type="dxa"/>
            <w:shd w:val="clear" w:color="auto" w:fill="FFFFFF"/>
          </w:tcPr>
          <w:p w14:paraId="58AE8F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同理心+分期方案引导</w:t>
            </w:r>
          </w:p>
        </w:tc>
        <w:tc>
          <w:tcPr>
            <w:tcW w:w="3086" w:type="dxa"/>
            <w:shd w:val="clear" w:color="auto" w:fill="FFFFFF"/>
          </w:tcPr>
          <w:p w14:paraId="0B5C90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3-6期分期还款方案</w:t>
            </w:r>
          </w:p>
        </w:tc>
      </w:tr>
      <w:tr w14:paraId="16F25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75" w:type="dxa"/>
            <w:shd w:val="clear" w:color="auto" w:fill="F2F7FF"/>
          </w:tcPr>
          <w:p w14:paraId="40F856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M2-M3</w:t>
            </w:r>
          </w:p>
        </w:tc>
        <w:tc>
          <w:tcPr>
            <w:tcW w:w="1944" w:type="dxa"/>
            <w:shd w:val="clear" w:color="auto" w:fill="F2F7FF"/>
          </w:tcPr>
          <w:p w14:paraId="7472F2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还款意愿下降</w:t>
            </w:r>
          </w:p>
        </w:tc>
        <w:tc>
          <w:tcPr>
            <w:tcW w:w="2467" w:type="dxa"/>
            <w:shd w:val="clear" w:color="auto" w:fill="F2F7FF"/>
          </w:tcPr>
          <w:p w14:paraId="40DFD1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法律后果告知+信用影响</w:t>
            </w:r>
          </w:p>
        </w:tc>
        <w:tc>
          <w:tcPr>
            <w:tcW w:w="3086" w:type="dxa"/>
            <w:shd w:val="clear" w:color="auto" w:fill="F2F7FF"/>
          </w:tcPr>
          <w:p w14:paraId="472D49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一次性减免+结清方案</w:t>
            </w:r>
          </w:p>
        </w:tc>
      </w:tr>
      <w:tr w14:paraId="4FA58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5" w:type="dxa"/>
            <w:shd w:val="clear" w:color="auto" w:fill="FFFFFF"/>
          </w:tcPr>
          <w:p w14:paraId="21355F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M3+</w:t>
            </w:r>
          </w:p>
        </w:tc>
        <w:tc>
          <w:tcPr>
            <w:tcW w:w="1944" w:type="dxa"/>
            <w:shd w:val="clear" w:color="auto" w:fill="FFFFFF"/>
          </w:tcPr>
          <w:p w14:paraId="13F0FB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拒绝沟通/失联</w:t>
            </w:r>
          </w:p>
        </w:tc>
        <w:tc>
          <w:tcPr>
            <w:tcW w:w="2467" w:type="dxa"/>
            <w:shd w:val="clear" w:color="auto" w:fill="FFFFFF"/>
          </w:tcPr>
          <w:p w14:paraId="4A916C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法务催收+上门拜访</w:t>
            </w:r>
          </w:p>
        </w:tc>
        <w:tc>
          <w:tcPr>
            <w:tcW w:w="3086" w:type="dxa"/>
            <w:shd w:val="clear" w:color="auto" w:fill="FFFFFF"/>
          </w:tcPr>
          <w:p w14:paraId="691730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诉前和解/诉讼</w:t>
            </w:r>
          </w:p>
        </w:tc>
      </w:tr>
    </w:tbl>
    <w:p w14:paraId="5F411964"/>
    <w:p w14:paraId="71B8700B">
      <w:pPr>
        <w:pStyle w:val="3"/>
      </w:pPr>
      <w:r>
        <w:rPr>
          <w:rFonts w:ascii="微软雅黑" w:hAnsi="微软雅黑" w:eastAsia="微软雅黑"/>
          <w:color w:val="1F3864"/>
        </w:rPr>
        <w:t>三、AI智能催收</w:t>
      </w:r>
    </w:p>
    <w:p w14:paraId="0B6C47ED">
      <w:pPr>
        <w:pStyle w:val="4"/>
      </w:pPr>
      <w:r>
        <w:rPr>
          <w:rFonts w:ascii="微软雅黑" w:hAnsi="微软雅黑" w:eastAsia="微软雅黑"/>
          <w:color w:val="2E75B6"/>
        </w:rPr>
        <w:t>3.1 AI催收机器人核心能力</w:t>
      </w:r>
    </w:p>
    <w:p w14:paraId="41E74AFC">
      <w:pPr>
        <w:pStyle w:val="16"/>
      </w:pPr>
      <w:r>
        <w:rPr>
          <w:rFonts w:ascii="微软雅黑" w:hAnsi="微软雅黑" w:eastAsia="微软雅黑"/>
          <w:sz w:val="21"/>
        </w:rPr>
        <w:t>自然语言理解(NLU)：识别客户还款意愿、还款能力</w:t>
      </w:r>
    </w:p>
    <w:p w14:paraId="6B3B55C6">
      <w:pPr>
        <w:pStyle w:val="16"/>
      </w:pPr>
      <w:r>
        <w:rPr>
          <w:rFonts w:ascii="微软雅黑" w:hAnsi="微软雅黑" w:eastAsia="微软雅黑"/>
          <w:sz w:val="21"/>
        </w:rPr>
        <w:t>情绪分析：实时</w:t>
      </w:r>
      <w:r>
        <w:rPr>
          <w:rFonts w:hint="eastAsia"/>
          <w:sz w:val="21"/>
          <w:lang w:val="en-US" w:eastAsia="zh-CN"/>
        </w:rPr>
        <w:t>监测</w:t>
      </w:r>
      <w:r>
        <w:rPr>
          <w:rFonts w:ascii="微软雅黑" w:hAnsi="微软雅黑" w:eastAsia="微软雅黑"/>
          <w:sz w:val="21"/>
        </w:rPr>
        <w:t>客户情绪状态，愤怒/焦虑时自动转人工</w:t>
      </w:r>
    </w:p>
    <w:p w14:paraId="4D57689C">
      <w:pPr>
        <w:pStyle w:val="16"/>
      </w:pPr>
      <w:r>
        <w:rPr>
          <w:rFonts w:ascii="微软雅黑" w:hAnsi="微软雅黑" w:eastAsia="微软雅黑"/>
          <w:sz w:val="21"/>
        </w:rPr>
        <w:t>智能话术：根据客户画像动态生成个性化话术</w:t>
      </w:r>
    </w:p>
    <w:p w14:paraId="736514A8">
      <w:pPr>
        <w:pStyle w:val="16"/>
      </w:pPr>
      <w:r>
        <w:rPr>
          <w:rFonts w:ascii="微软雅黑" w:hAnsi="微软雅黑" w:eastAsia="微软雅黑"/>
          <w:sz w:val="21"/>
        </w:rPr>
        <w:t>还款方案推荐：根据客户</w:t>
      </w:r>
      <w:r>
        <w:rPr>
          <w:rFonts w:hint="eastAsia"/>
          <w:sz w:val="21"/>
          <w:lang w:val="en-US" w:eastAsia="zh-CN"/>
        </w:rPr>
        <w:t>实际</w:t>
      </w:r>
      <w:r>
        <w:rPr>
          <w:rFonts w:ascii="微软雅黑" w:hAnsi="微软雅黑" w:eastAsia="微软雅黑"/>
          <w:sz w:val="21"/>
        </w:rPr>
        <w:t>情况推荐最优还款方案(宽限期/分期/最低还款</w:t>
      </w:r>
      <w:r>
        <w:rPr>
          <w:rFonts w:hint="eastAsia"/>
          <w:sz w:val="21"/>
          <w:lang w:val="en-US" w:eastAsia="zh-CN"/>
        </w:rPr>
        <w:t>等</w:t>
      </w:r>
      <w:r>
        <w:rPr>
          <w:rFonts w:ascii="微软雅黑" w:hAnsi="微软雅黑" w:eastAsia="微软雅黑"/>
          <w:sz w:val="21"/>
        </w:rPr>
        <w:t>)</w:t>
      </w:r>
    </w:p>
    <w:p w14:paraId="27747D53">
      <w:pPr>
        <w:pStyle w:val="16"/>
      </w:pPr>
      <w:r>
        <w:rPr>
          <w:rFonts w:ascii="微软雅黑" w:hAnsi="微软雅黑" w:eastAsia="微软雅黑"/>
          <w:sz w:val="21"/>
        </w:rPr>
        <w:t>合规保障：100%录音留存，话术内容实时合规检查</w:t>
      </w:r>
    </w:p>
    <w:p w14:paraId="30A1E9DC">
      <w:pPr>
        <w:pStyle w:val="4"/>
      </w:pPr>
      <w:r>
        <w:rPr>
          <w:rFonts w:ascii="微软雅黑" w:hAnsi="微软雅黑" w:eastAsia="微软雅黑"/>
          <w:color w:val="2E75B6"/>
        </w:rPr>
        <w:t>3.2 AI vs人工催收效率对比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87B6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340DC8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2268" w:type="dxa"/>
            <w:shd w:val="clear" w:color="auto" w:fill="2E75B6"/>
          </w:tcPr>
          <w:p w14:paraId="3AD7FE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AI催收</w:t>
            </w:r>
          </w:p>
        </w:tc>
        <w:tc>
          <w:tcPr>
            <w:tcW w:w="2268" w:type="dxa"/>
            <w:shd w:val="clear" w:color="auto" w:fill="2E75B6"/>
          </w:tcPr>
          <w:p w14:paraId="6A1052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人工催收</w:t>
            </w:r>
          </w:p>
        </w:tc>
        <w:tc>
          <w:tcPr>
            <w:tcW w:w="2268" w:type="dxa"/>
            <w:shd w:val="clear" w:color="auto" w:fill="2E75B6"/>
          </w:tcPr>
          <w:p w14:paraId="15043B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差异</w:t>
            </w:r>
          </w:p>
        </w:tc>
      </w:tr>
      <w:tr w14:paraId="50DA4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0046A7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日处理案件量</w:t>
            </w:r>
          </w:p>
        </w:tc>
        <w:tc>
          <w:tcPr>
            <w:tcW w:w="2268" w:type="dxa"/>
            <w:shd w:val="clear" w:color="auto" w:fill="F2F7FF"/>
          </w:tcPr>
          <w:p w14:paraId="2CD6F6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200-300件/机器人</w:t>
            </w:r>
          </w:p>
        </w:tc>
        <w:tc>
          <w:tcPr>
            <w:tcW w:w="2268" w:type="dxa"/>
            <w:shd w:val="clear" w:color="auto" w:fill="F2F7FF"/>
          </w:tcPr>
          <w:p w14:paraId="4476C9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50-80件/人</w:t>
            </w:r>
          </w:p>
        </w:tc>
        <w:tc>
          <w:tcPr>
            <w:tcW w:w="2268" w:type="dxa"/>
            <w:shd w:val="clear" w:color="auto" w:fill="F2F7FF"/>
          </w:tcPr>
          <w:p w14:paraId="753864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AI效率3-5倍</w:t>
            </w:r>
          </w:p>
        </w:tc>
      </w:tr>
      <w:tr w14:paraId="68BCE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6D31C2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单件平均时长</w:t>
            </w:r>
          </w:p>
        </w:tc>
        <w:tc>
          <w:tcPr>
            <w:tcW w:w="2268" w:type="dxa"/>
            <w:shd w:val="clear" w:color="auto" w:fill="FFFFFF"/>
          </w:tcPr>
          <w:p w14:paraId="1A57BE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3-5分钟</w:t>
            </w:r>
          </w:p>
        </w:tc>
        <w:tc>
          <w:tcPr>
            <w:tcW w:w="2268" w:type="dxa"/>
            <w:shd w:val="clear" w:color="auto" w:fill="FFFFFF"/>
          </w:tcPr>
          <w:p w14:paraId="7D2F48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10-15分钟</w:t>
            </w:r>
          </w:p>
        </w:tc>
        <w:tc>
          <w:tcPr>
            <w:tcW w:w="2268" w:type="dxa"/>
            <w:shd w:val="clear" w:color="auto" w:fill="FFFFFF"/>
          </w:tcPr>
          <w:p w14:paraId="1CDA8E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AI快60%</w:t>
            </w:r>
          </w:p>
        </w:tc>
      </w:tr>
      <w:tr w14:paraId="1BDCD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1B69B8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工作时间</w:t>
            </w:r>
          </w:p>
        </w:tc>
        <w:tc>
          <w:tcPr>
            <w:tcW w:w="2268" w:type="dxa"/>
            <w:shd w:val="clear" w:color="auto" w:fill="F2F7FF"/>
          </w:tcPr>
          <w:p w14:paraId="28FDBE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7x24小时</w:t>
            </w:r>
          </w:p>
        </w:tc>
        <w:tc>
          <w:tcPr>
            <w:tcW w:w="2268" w:type="dxa"/>
            <w:shd w:val="clear" w:color="auto" w:fill="F2F7FF"/>
          </w:tcPr>
          <w:p w14:paraId="2C0C96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8小时x5天</w:t>
            </w:r>
          </w:p>
        </w:tc>
        <w:tc>
          <w:tcPr>
            <w:tcW w:w="2268" w:type="dxa"/>
            <w:shd w:val="clear" w:color="auto" w:fill="F2F7FF"/>
          </w:tcPr>
          <w:p w14:paraId="2CCCFE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AI全天候</w:t>
            </w:r>
          </w:p>
        </w:tc>
      </w:tr>
      <w:tr w14:paraId="0035A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73049D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月均成本</w:t>
            </w:r>
          </w:p>
        </w:tc>
        <w:tc>
          <w:tcPr>
            <w:tcW w:w="2268" w:type="dxa"/>
            <w:shd w:val="clear" w:color="auto" w:fill="FFFFFF"/>
          </w:tcPr>
          <w:p w14:paraId="09B2F5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0.5万元/机器人</w:t>
            </w:r>
          </w:p>
        </w:tc>
        <w:tc>
          <w:tcPr>
            <w:tcW w:w="2268" w:type="dxa"/>
            <w:shd w:val="clear" w:color="auto" w:fill="FFFFFF"/>
          </w:tcPr>
          <w:p w14:paraId="60A341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1.2万元/人</w:t>
            </w:r>
          </w:p>
        </w:tc>
        <w:tc>
          <w:tcPr>
            <w:tcW w:w="2268" w:type="dxa"/>
            <w:shd w:val="clear" w:color="auto" w:fill="FFFFFF"/>
          </w:tcPr>
          <w:p w14:paraId="151E59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AI成本低58%</w:t>
            </w:r>
          </w:p>
        </w:tc>
      </w:tr>
      <w:tr w14:paraId="098D6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02300E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M0回收率</w:t>
            </w:r>
          </w:p>
        </w:tc>
        <w:tc>
          <w:tcPr>
            <w:tcW w:w="2268" w:type="dxa"/>
            <w:shd w:val="clear" w:color="auto" w:fill="F2F7FF"/>
          </w:tcPr>
          <w:p w14:paraId="0EC1CA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65%-70%</w:t>
            </w:r>
          </w:p>
        </w:tc>
        <w:tc>
          <w:tcPr>
            <w:tcW w:w="2268" w:type="dxa"/>
            <w:shd w:val="clear" w:color="auto" w:fill="F2F7FF"/>
          </w:tcPr>
          <w:p w14:paraId="2FA227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80%-85%</w:t>
            </w:r>
          </w:p>
        </w:tc>
        <w:tc>
          <w:tcPr>
            <w:tcW w:w="2268" w:type="dxa"/>
            <w:shd w:val="clear" w:color="auto" w:fill="F2F7FF"/>
          </w:tcPr>
          <w:p w14:paraId="6D89ED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人工更优</w:t>
            </w:r>
          </w:p>
        </w:tc>
      </w:tr>
      <w:tr w14:paraId="1C55E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64079C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M1回收率</w:t>
            </w:r>
          </w:p>
        </w:tc>
        <w:tc>
          <w:tcPr>
            <w:tcW w:w="2268" w:type="dxa"/>
            <w:shd w:val="clear" w:color="auto" w:fill="FFFFFF"/>
          </w:tcPr>
          <w:p w14:paraId="163F5D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40%-45%</w:t>
            </w:r>
          </w:p>
        </w:tc>
        <w:tc>
          <w:tcPr>
            <w:tcW w:w="2268" w:type="dxa"/>
            <w:shd w:val="clear" w:color="auto" w:fill="FFFFFF"/>
          </w:tcPr>
          <w:p w14:paraId="523868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60%-65%</w:t>
            </w:r>
          </w:p>
        </w:tc>
        <w:tc>
          <w:tcPr>
            <w:tcW w:w="2268" w:type="dxa"/>
            <w:shd w:val="clear" w:color="auto" w:fill="FFFFFF"/>
          </w:tcPr>
          <w:p w14:paraId="28AC07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人工更优</w:t>
            </w:r>
          </w:p>
        </w:tc>
      </w:tr>
      <w:tr w14:paraId="7B3E6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1C4586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情绪管理</w:t>
            </w:r>
          </w:p>
        </w:tc>
        <w:tc>
          <w:tcPr>
            <w:tcW w:w="2268" w:type="dxa"/>
            <w:shd w:val="clear" w:color="auto" w:fill="F2F7FF"/>
          </w:tcPr>
          <w:p w14:paraId="01860E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无情绪波动</w:t>
            </w:r>
          </w:p>
        </w:tc>
        <w:tc>
          <w:tcPr>
            <w:tcW w:w="2268" w:type="dxa"/>
            <w:shd w:val="clear" w:color="auto" w:fill="F2F7FF"/>
          </w:tcPr>
          <w:p w14:paraId="5B7B97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受情绪影响</w:t>
            </w:r>
          </w:p>
        </w:tc>
        <w:tc>
          <w:tcPr>
            <w:tcW w:w="2268" w:type="dxa"/>
            <w:shd w:val="clear" w:color="auto" w:fill="F2F7FF"/>
          </w:tcPr>
          <w:p w14:paraId="71D252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AI更稳定</w:t>
            </w:r>
          </w:p>
        </w:tc>
      </w:tr>
      <w:tr w14:paraId="7D865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3A100C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合规风险</w:t>
            </w:r>
          </w:p>
        </w:tc>
        <w:tc>
          <w:tcPr>
            <w:tcW w:w="2268" w:type="dxa"/>
            <w:shd w:val="clear" w:color="auto" w:fill="FFFFFF"/>
          </w:tcPr>
          <w:p w14:paraId="62F8A0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话术标准化</w:t>
            </w:r>
          </w:p>
        </w:tc>
        <w:tc>
          <w:tcPr>
            <w:tcW w:w="2268" w:type="dxa"/>
            <w:shd w:val="clear" w:color="auto" w:fill="FFFFFF"/>
          </w:tcPr>
          <w:p w14:paraId="12FF2C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存在违规风险</w:t>
            </w:r>
          </w:p>
        </w:tc>
        <w:tc>
          <w:tcPr>
            <w:tcW w:w="2268" w:type="dxa"/>
            <w:shd w:val="clear" w:color="auto" w:fill="FFFFFF"/>
          </w:tcPr>
          <w:p w14:paraId="054845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AI更安全</w:t>
            </w:r>
          </w:p>
        </w:tc>
      </w:tr>
    </w:tbl>
    <w:p w14:paraId="1BDB2167"/>
    <w:p w14:paraId="069A7C65">
      <w:pPr>
        <w:pStyle w:val="3"/>
      </w:pPr>
      <w:r>
        <w:rPr>
          <w:rFonts w:ascii="微软雅黑" w:hAnsi="微软雅黑" w:eastAsia="微软雅黑"/>
          <w:color w:val="1F3864"/>
        </w:rPr>
        <w:t>四、催收合规管理</w:t>
      </w:r>
    </w:p>
    <w:p w14:paraId="274DF3EE">
      <w:pPr>
        <w:pStyle w:val="4"/>
      </w:pPr>
      <w:r>
        <w:rPr>
          <w:rFonts w:ascii="微软雅黑" w:hAnsi="微软雅黑" w:eastAsia="微软雅黑"/>
          <w:color w:val="2E75B6"/>
        </w:rPr>
        <w:t>4.1 催收禁令(监管红线)</w:t>
      </w:r>
    </w:p>
    <w:p w14:paraId="63056DD3">
      <w:pPr>
        <w:pStyle w:val="16"/>
      </w:pPr>
      <w:r>
        <w:rPr>
          <w:rFonts w:ascii="微软雅黑" w:hAnsi="微软雅黑" w:eastAsia="微软雅黑"/>
          <w:sz w:val="21"/>
        </w:rPr>
        <w:t>禁止在22:00-8:00进行催收电话</w:t>
      </w:r>
    </w:p>
    <w:p w14:paraId="787A5EE4">
      <w:pPr>
        <w:pStyle w:val="16"/>
      </w:pPr>
      <w:r>
        <w:rPr>
          <w:rFonts w:ascii="微软雅黑" w:hAnsi="微软雅黑" w:eastAsia="微软雅黑"/>
          <w:sz w:val="21"/>
        </w:rPr>
        <w:t>禁止使用恐吓、威胁、侮辱等不当手段</w:t>
      </w:r>
    </w:p>
    <w:p w14:paraId="5BAD5A70">
      <w:pPr>
        <w:pStyle w:val="16"/>
      </w:pPr>
      <w:r>
        <w:rPr>
          <w:rFonts w:ascii="微软雅黑" w:hAnsi="微软雅黑" w:eastAsia="微软雅黑"/>
          <w:sz w:val="21"/>
        </w:rPr>
        <w:t>禁止向第三方(亲属、同事、朋友)透露债务信息</w:t>
      </w:r>
    </w:p>
    <w:p w14:paraId="1C450C3F">
      <w:pPr>
        <w:pStyle w:val="16"/>
      </w:pPr>
      <w:r>
        <w:rPr>
          <w:rFonts w:ascii="微软雅黑" w:hAnsi="微软雅黑" w:eastAsia="微软雅黑"/>
          <w:sz w:val="21"/>
        </w:rPr>
        <w:t>禁止虚假冒充司法机关工作人员</w:t>
      </w:r>
    </w:p>
    <w:p w14:paraId="41469FBF">
      <w:pPr>
        <w:pStyle w:val="4"/>
      </w:pPr>
      <w:r>
        <w:rPr>
          <w:rFonts w:ascii="微软雅黑" w:hAnsi="微软雅黑" w:eastAsia="微软雅黑"/>
          <w:color w:val="2E75B6"/>
        </w:rPr>
        <w:t>4.2 外包催收管理</w:t>
      </w:r>
    </w:p>
    <w:tbl>
      <w:tblPr>
        <w:tblStyle w:val="33"/>
        <w:tblW w:w="93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5046"/>
        <w:gridCol w:w="2576"/>
      </w:tblGrid>
      <w:tr w14:paraId="52A3B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shd w:val="clear" w:color="auto" w:fill="2E75B6"/>
          </w:tcPr>
          <w:p w14:paraId="7BA785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管理维度</w:t>
            </w:r>
          </w:p>
        </w:tc>
        <w:tc>
          <w:tcPr>
            <w:tcW w:w="5046" w:type="dxa"/>
            <w:shd w:val="clear" w:color="auto" w:fill="2E75B6"/>
          </w:tcPr>
          <w:p w14:paraId="064E57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管理要求</w:t>
            </w:r>
          </w:p>
        </w:tc>
        <w:tc>
          <w:tcPr>
            <w:tcW w:w="2576" w:type="dxa"/>
            <w:shd w:val="clear" w:color="auto" w:fill="2E75B6"/>
          </w:tcPr>
          <w:p w14:paraId="140238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考核指标</w:t>
            </w:r>
          </w:p>
        </w:tc>
      </w:tr>
      <w:tr w14:paraId="04A37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shd w:val="clear" w:color="auto" w:fill="F2F7FF"/>
          </w:tcPr>
          <w:p w14:paraId="33F38D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资质审查</w:t>
            </w:r>
          </w:p>
        </w:tc>
        <w:tc>
          <w:tcPr>
            <w:tcW w:w="5046" w:type="dxa"/>
            <w:shd w:val="clear" w:color="auto" w:fill="F2F7FF"/>
          </w:tcPr>
          <w:p w14:paraId="5D15AA5C">
            <w:pPr>
              <w:spacing w:after="0" w:line="240" w:lineRule="auto"/>
            </w:pPr>
            <w:r>
              <w:rPr>
                <w:rFonts w:hint="eastAsia"/>
                <w:sz w:val="20"/>
                <w:lang w:val="en-US" w:eastAsia="zh-CN"/>
              </w:rPr>
              <w:t>第三方催收</w:t>
            </w:r>
            <w:r>
              <w:rPr>
                <w:rFonts w:ascii="微软雅黑" w:hAnsi="微软雅黑" w:eastAsia="微软雅黑"/>
                <w:sz w:val="20"/>
              </w:rPr>
              <w:t>机构需具备合法资质，签署合规协议</w:t>
            </w:r>
          </w:p>
        </w:tc>
        <w:tc>
          <w:tcPr>
            <w:tcW w:w="2576" w:type="dxa"/>
            <w:shd w:val="clear" w:color="auto" w:fill="F2F7FF"/>
          </w:tcPr>
          <w:p w14:paraId="1D7BF9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资质合规率100%</w:t>
            </w:r>
          </w:p>
        </w:tc>
      </w:tr>
      <w:tr w14:paraId="691E9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shd w:val="clear" w:color="auto" w:fill="FFFFFF"/>
          </w:tcPr>
          <w:p w14:paraId="70AB12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过程监控</w:t>
            </w:r>
          </w:p>
        </w:tc>
        <w:tc>
          <w:tcPr>
            <w:tcW w:w="5046" w:type="dxa"/>
            <w:shd w:val="clear" w:color="auto" w:fill="FFFFFF"/>
          </w:tcPr>
          <w:p w14:paraId="23BBC7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实时监控催收通话录音，合规抽查比例&gt;10%</w:t>
            </w:r>
          </w:p>
        </w:tc>
        <w:tc>
          <w:tcPr>
            <w:tcW w:w="2576" w:type="dxa"/>
            <w:shd w:val="clear" w:color="auto" w:fill="FFFFFF"/>
          </w:tcPr>
          <w:p w14:paraId="5CF883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合规违规率&lt;1%</w:t>
            </w:r>
          </w:p>
        </w:tc>
      </w:tr>
      <w:tr w14:paraId="118EA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shd w:val="clear" w:color="auto" w:fill="F2F7FF"/>
          </w:tcPr>
          <w:p w14:paraId="0AAD5E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效果考核</w:t>
            </w:r>
          </w:p>
        </w:tc>
        <w:tc>
          <w:tcPr>
            <w:tcW w:w="5046" w:type="dxa"/>
            <w:shd w:val="clear" w:color="auto" w:fill="F2F7FF"/>
          </w:tcPr>
          <w:p w14:paraId="520433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设定M1/M2回收率考核标准</w:t>
            </w:r>
          </w:p>
        </w:tc>
        <w:tc>
          <w:tcPr>
            <w:tcW w:w="2576" w:type="dxa"/>
            <w:shd w:val="clear" w:color="auto" w:fill="F2F7FF"/>
          </w:tcPr>
          <w:p w14:paraId="3ED0BE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M1回收率&gt;目标值</w:t>
            </w:r>
          </w:p>
        </w:tc>
      </w:tr>
      <w:tr w14:paraId="5A731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shd w:val="clear" w:color="auto" w:fill="FFFFFF"/>
          </w:tcPr>
          <w:p w14:paraId="4FD571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信息安全</w:t>
            </w:r>
          </w:p>
        </w:tc>
        <w:tc>
          <w:tcPr>
            <w:tcW w:w="5046" w:type="dxa"/>
            <w:shd w:val="clear" w:color="auto" w:fill="FFFFFF"/>
          </w:tcPr>
          <w:p w14:paraId="457EB2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数据脱敏传输，禁止</w:t>
            </w:r>
            <w:r>
              <w:rPr>
                <w:rFonts w:hint="eastAsia"/>
                <w:sz w:val="20"/>
                <w:lang w:val="en-US" w:eastAsia="zh-CN"/>
              </w:rPr>
              <w:t>第三方催收</w:t>
            </w:r>
            <w:r>
              <w:rPr>
                <w:rFonts w:ascii="微软雅黑" w:hAnsi="微软雅黑" w:eastAsia="微软雅黑"/>
                <w:sz w:val="20"/>
              </w:rPr>
              <w:t>永久保存客户数据</w:t>
            </w:r>
          </w:p>
        </w:tc>
        <w:tc>
          <w:tcPr>
            <w:tcW w:w="2576" w:type="dxa"/>
            <w:shd w:val="clear" w:color="auto" w:fill="FFFFFF"/>
          </w:tcPr>
          <w:p w14:paraId="0FD939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数据安全0事故</w:t>
            </w:r>
          </w:p>
        </w:tc>
      </w:tr>
    </w:tbl>
    <w:p w14:paraId="3D05A3E2"/>
    <w:p w14:paraId="7880AF45">
      <w:pPr>
        <w:pStyle w:val="3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/>
          <w:color w:val="1F3864"/>
          <w:lang w:val="en-US" w:eastAsia="zh-CN"/>
        </w:rPr>
        <w:t>五</w:t>
      </w:r>
      <w:r>
        <w:rPr>
          <w:rFonts w:ascii="微软雅黑" w:hAnsi="微软雅黑" w:eastAsia="微软雅黑"/>
          <w:color w:val="1F3864"/>
        </w:rPr>
        <w:t>、</w:t>
      </w:r>
      <w:r>
        <w:rPr>
          <w:rFonts w:hint="eastAsia" w:ascii="微软雅黑" w:hAnsi="微软雅黑" w:eastAsia="微软雅黑"/>
          <w:color w:val="1F3864"/>
          <w:lang w:val="en-US" w:eastAsia="zh-CN"/>
        </w:rPr>
        <w:t>监控指标</w:t>
      </w:r>
    </w:p>
    <w:p w14:paraId="05740B8D">
      <w:pPr>
        <w:pStyle w:val="4"/>
        <w:rPr>
          <w:rFonts w:hint="eastAsia" w:ascii="微软雅黑" w:hAnsi="微软雅黑" w:eastAsia="微软雅黑"/>
          <w:color w:val="2E75B6"/>
          <w:lang w:val="en-US" w:eastAsia="zh-CN"/>
        </w:rPr>
      </w:pPr>
      <w:r>
        <w:rPr>
          <w:rFonts w:hint="eastAsia" w:ascii="微软雅黑" w:hAnsi="微软雅黑" w:eastAsia="微软雅黑"/>
          <w:color w:val="2E75B6"/>
          <w:lang w:val="en-US" w:eastAsia="zh-CN"/>
        </w:rPr>
        <w:t>5</w:t>
      </w:r>
      <w:r>
        <w:rPr>
          <w:rFonts w:ascii="微软雅黑" w:hAnsi="微软雅黑" w:eastAsia="微软雅黑"/>
          <w:color w:val="2E75B6"/>
        </w:rPr>
        <w:t xml:space="preserve">.1 </w:t>
      </w:r>
      <w:r>
        <w:rPr>
          <w:rFonts w:hint="eastAsia" w:ascii="微软雅黑" w:hAnsi="微软雅黑" w:eastAsia="微软雅黑"/>
          <w:color w:val="2E75B6"/>
          <w:lang w:val="en-US" w:eastAsia="zh-CN"/>
        </w:rPr>
        <w:t>指标体系前景</w:t>
      </w:r>
    </w:p>
    <w:tbl>
      <w:tblPr>
        <w:tblW w:w="845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1389"/>
        <w:gridCol w:w="1622"/>
        <w:gridCol w:w="4722"/>
      </w:tblGrid>
      <w:tr w14:paraId="4C5AD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6"/>
            <w:vAlign w:val="center"/>
          </w:tcPr>
          <w:p w14:paraId="390A5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6"/>
            <w:vAlign w:val="center"/>
          </w:tcPr>
          <w:p w14:paraId="0B255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1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6"/>
            <w:vAlign w:val="center"/>
          </w:tcPr>
          <w:p w14:paraId="36454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英文缩写</w:t>
            </w:r>
          </w:p>
        </w:tc>
        <w:tc>
          <w:tcPr>
            <w:tcW w:w="4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6"/>
            <w:vAlign w:val="center"/>
          </w:tcPr>
          <w:p w14:paraId="51CB6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核心作用</w:t>
            </w:r>
          </w:p>
        </w:tc>
      </w:tr>
      <w:tr w14:paraId="38520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7FF"/>
            <w:vAlign w:val="center"/>
          </w:tcPr>
          <w:p w14:paraId="005DD8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333333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7FF"/>
            <w:vAlign w:val="center"/>
          </w:tcPr>
          <w:p w14:paraId="407E21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333333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入催DPD</w:t>
            </w:r>
          </w:p>
        </w:tc>
        <w:tc>
          <w:tcPr>
            <w:tcW w:w="1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7FF"/>
            <w:vAlign w:val="center"/>
          </w:tcPr>
          <w:p w14:paraId="40B9C8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333333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Days Past Due</w:t>
            </w:r>
          </w:p>
        </w:tc>
        <w:tc>
          <w:tcPr>
            <w:tcW w:w="4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7FF"/>
            <w:vAlign w:val="center"/>
          </w:tcPr>
          <w:p w14:paraId="44DAC7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333333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逾期未还款的天数，从应还款日起计算，是触发催收流程的核心阈值指标</w:t>
            </w:r>
          </w:p>
        </w:tc>
      </w:tr>
      <w:tr w14:paraId="25461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7FF"/>
            <w:vAlign w:val="center"/>
          </w:tcPr>
          <w:p w14:paraId="2A8B5B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333333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7FF"/>
            <w:vAlign w:val="center"/>
          </w:tcPr>
          <w:p w14:paraId="52EC1C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333333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出催CRR</w:t>
            </w:r>
          </w:p>
        </w:tc>
        <w:tc>
          <w:tcPr>
            <w:tcW w:w="1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7FF"/>
            <w:vAlign w:val="center"/>
          </w:tcPr>
          <w:p w14:paraId="25BB9F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333333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CRR</w:t>
            </w:r>
          </w:p>
        </w:tc>
        <w:tc>
          <w:tcPr>
            <w:tcW w:w="4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7FF"/>
            <w:vAlign w:val="center"/>
          </w:tcPr>
          <w:p w14:paraId="658EBC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333333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催收案件中，在规定周期内成功回收欠款的比例，是评估催收效能的核心</w:t>
            </w:r>
            <w:r>
              <w:rPr>
                <w:rStyle w:val="164"/>
                <w:rFonts w:eastAsia="宋体"/>
                <w:bdr w:val="none" w:color="auto" w:sz="0" w:space="0"/>
                <w:lang w:val="en-US" w:eastAsia="zh-CN" w:bidi="ar"/>
              </w:rPr>
              <w:t>KPI</w:t>
            </w:r>
            <w:r>
              <w:rPr>
                <w:rStyle w:val="165"/>
                <w:bdr w:val="none" w:color="auto" w:sz="0" w:space="0"/>
                <w:lang w:val="en-US" w:eastAsia="zh-CN" w:bidi="ar"/>
              </w:rPr>
              <w:t>指标</w:t>
            </w:r>
          </w:p>
        </w:tc>
      </w:tr>
      <w:tr w14:paraId="0D74C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7FF"/>
            <w:vAlign w:val="center"/>
          </w:tcPr>
          <w:p w14:paraId="3D4388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333333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7FF"/>
            <w:vAlign w:val="center"/>
          </w:tcPr>
          <w:p w14:paraId="7758E1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333333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Roll Rate</w:t>
            </w:r>
          </w:p>
        </w:tc>
        <w:tc>
          <w:tcPr>
            <w:tcW w:w="1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7FF"/>
            <w:vAlign w:val="center"/>
          </w:tcPr>
          <w:p w14:paraId="60FA07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333333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Roll Rate</w:t>
            </w:r>
          </w:p>
        </w:tc>
        <w:tc>
          <w:tcPr>
            <w:tcW w:w="4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7FF"/>
            <w:vAlign w:val="center"/>
          </w:tcPr>
          <w:p w14:paraId="35DC20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333333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衡量逾期账户在不同</w:t>
            </w:r>
            <w:r>
              <w:rPr>
                <w:rStyle w:val="164"/>
                <w:rFonts w:eastAsia="宋体"/>
                <w:bdr w:val="none" w:color="auto" w:sz="0" w:space="0"/>
                <w:lang w:val="en-US" w:eastAsia="zh-CN" w:bidi="ar"/>
              </w:rPr>
              <w:t>DPD</w:t>
            </w:r>
            <w:r>
              <w:rPr>
                <w:rStyle w:val="165"/>
                <w:bdr w:val="none" w:color="auto" w:sz="0" w:space="0"/>
                <w:lang w:val="en-US" w:eastAsia="zh-CN" w:bidi="ar"/>
              </w:rPr>
              <w:t>区间之间迁移的比例，反映资产质量的动态恶化或改善趋势</w:t>
            </w:r>
          </w:p>
        </w:tc>
      </w:tr>
      <w:tr w14:paraId="00799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7FF"/>
            <w:vAlign w:val="center"/>
          </w:tcPr>
          <w:p w14:paraId="7686CA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  <w:lang w:val="en-US" w:eastAsia="zh-CN"/>
              </w:rPr>
              <w:t>4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7FF"/>
            <w:vAlign w:val="center"/>
          </w:tcPr>
          <w:p w14:paraId="5A39B4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333333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Contact Rate</w:t>
            </w:r>
          </w:p>
        </w:tc>
        <w:tc>
          <w:tcPr>
            <w:tcW w:w="1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7FF"/>
            <w:vAlign w:val="center"/>
          </w:tcPr>
          <w:p w14:paraId="14851E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333333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Contact Rate</w:t>
            </w:r>
          </w:p>
        </w:tc>
        <w:tc>
          <w:tcPr>
            <w:tcW w:w="4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7FF"/>
            <w:vAlign w:val="center"/>
          </w:tcPr>
          <w:p w14:paraId="6CBA1C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333333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催收人员实际触达债务人（本人接听</w:t>
            </w:r>
            <w:r>
              <w:rPr>
                <w:rStyle w:val="164"/>
                <w:rFonts w:eastAsia="宋体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65"/>
                <w:bdr w:val="none" w:color="auto" w:sz="0" w:space="0"/>
                <w:lang w:val="en-US" w:eastAsia="zh-CN" w:bidi="ar"/>
              </w:rPr>
              <w:t>回复）的比例，是衡量催收效率的过程性指标</w:t>
            </w:r>
          </w:p>
        </w:tc>
      </w:tr>
      <w:tr w14:paraId="56A4C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7FF"/>
            <w:vAlign w:val="center"/>
          </w:tcPr>
          <w:p w14:paraId="202A19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  <w:lang w:val="en-US" w:eastAsia="zh-CN"/>
              </w:rPr>
              <w:t>5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7FF"/>
            <w:vAlign w:val="center"/>
          </w:tcPr>
          <w:p w14:paraId="5DF877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333333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PTP Rate</w:t>
            </w:r>
          </w:p>
        </w:tc>
        <w:tc>
          <w:tcPr>
            <w:tcW w:w="1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7FF"/>
            <w:vAlign w:val="center"/>
          </w:tcPr>
          <w:p w14:paraId="2E7A91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333333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PTP Rate</w:t>
            </w:r>
          </w:p>
        </w:tc>
        <w:tc>
          <w:tcPr>
            <w:tcW w:w="4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7FF"/>
            <w:vAlign w:val="center"/>
          </w:tcPr>
          <w:p w14:paraId="72E993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333333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Promise to Pay</w:t>
            </w:r>
            <w:r>
              <w:rPr>
                <w:rStyle w:val="165"/>
                <w:bdr w:val="none" w:color="auto" w:sz="0" w:space="0"/>
                <w:lang w:val="en-US" w:eastAsia="zh-CN" w:bidi="ar"/>
              </w:rPr>
              <w:t>率，债务人承诺在约定日期还款，并实际履约的比例</w:t>
            </w:r>
          </w:p>
        </w:tc>
      </w:tr>
    </w:tbl>
    <w:p w14:paraId="68B6B20A">
      <w:pPr>
        <w:rPr>
          <w:rFonts w:hint="eastAsia" w:ascii="微软雅黑" w:hAnsi="微软雅黑" w:eastAsia="微软雅黑"/>
          <w:color w:val="2E75B6"/>
          <w:lang w:val="en-US" w:eastAsia="zh-CN"/>
        </w:rPr>
      </w:pPr>
    </w:p>
    <w:p w14:paraId="544DDE5A">
      <w:pPr>
        <w:pStyle w:val="4"/>
        <w:rPr>
          <w:rFonts w:hint="default" w:ascii="微软雅黑" w:hAnsi="微软雅黑" w:eastAsia="微软雅黑"/>
          <w:color w:val="2E75B6"/>
          <w:lang w:val="en-US" w:eastAsia="zh-CN"/>
        </w:rPr>
      </w:pPr>
      <w:r>
        <w:rPr>
          <w:rFonts w:hint="eastAsia" w:ascii="微软雅黑" w:hAnsi="微软雅黑" w:eastAsia="微软雅黑"/>
          <w:color w:val="2E75B6"/>
          <w:lang w:val="en-US" w:eastAsia="zh-CN"/>
        </w:rPr>
        <w:t>5</w:t>
      </w:r>
      <w:r>
        <w:rPr>
          <w:rFonts w:ascii="微软雅黑" w:hAnsi="微软雅黑" w:eastAsia="微软雅黑"/>
          <w:color w:val="2E75B6"/>
        </w:rPr>
        <w:t>.</w:t>
      </w:r>
      <w:r>
        <w:rPr>
          <w:rFonts w:hint="eastAsia" w:ascii="微软雅黑" w:hAnsi="微软雅黑" w:eastAsia="微软雅黑"/>
          <w:color w:val="2E75B6"/>
          <w:lang w:val="en-US" w:eastAsia="zh-CN"/>
        </w:rPr>
        <w:t>2</w:t>
      </w:r>
      <w:r>
        <w:rPr>
          <w:rFonts w:ascii="微软雅黑" w:hAnsi="微软雅黑" w:eastAsia="微软雅黑"/>
          <w:color w:val="2E75B6"/>
        </w:rPr>
        <w:t xml:space="preserve"> </w:t>
      </w:r>
      <w:r>
        <w:rPr>
          <w:rFonts w:hint="eastAsia" w:ascii="微软雅黑" w:hAnsi="微软雅黑" w:eastAsia="微软雅黑"/>
          <w:color w:val="2E75B6"/>
          <w:lang w:val="en-US" w:eastAsia="zh-CN"/>
        </w:rPr>
        <w:t>各指标详细说明</w:t>
      </w:r>
    </w:p>
    <w:p w14:paraId="389148CA">
      <w:pPr>
        <w:pStyle w:val="4"/>
        <w:spacing w:before="240" w:after="160"/>
      </w:pPr>
      <w:r>
        <w:rPr>
          <w:rFonts w:hint="eastAsia" w:ascii="Arial" w:hAnsi="Arial" w:eastAsia="宋体" w:cs="Arial"/>
          <w:b/>
          <w:bCs/>
          <w:color w:val="2E75B6"/>
          <w:sz w:val="26"/>
          <w:szCs w:val="26"/>
          <w:lang w:val="en-US" w:eastAsia="zh-CN"/>
        </w:rPr>
        <w:t>5.2.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 入催DPD（Days Past Due）</w:t>
      </w:r>
    </w:p>
    <w:tbl>
      <w:tblPr>
        <w:tblStyle w:val="32"/>
        <w:tblW w:w="9360" w:type="dxa"/>
        <w:tblInd w:w="0" w:type="dxa"/>
        <w:tblBorders>
          <w:top w:val="single" w:color="BDC3C7" w:sz="0" w:space="0"/>
          <w:left w:val="single" w:color="BDC3C7" w:sz="0" w:space="0"/>
          <w:bottom w:val="single" w:color="BDC3C7" w:sz="0" w:space="0"/>
          <w:right w:val="single" w:color="BDC3C7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64964646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C0D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73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669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21C0CAC1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6432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指标定义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09D7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逾期未还款的天数，从应还款日起计算，是触发催收流程的核心阈值指标。</w:t>
            </w:r>
          </w:p>
        </w:tc>
      </w:tr>
      <w:tr w14:paraId="128F5721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FD13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计算公式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66B8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入催DPD = 当前日期 − 最近一次应还款日</w:t>
            </w:r>
          </w:p>
        </w:tc>
      </w:tr>
      <w:tr w14:paraId="69E0EDC1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1455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关键参数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BCC4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【DPD1+】逾期1天及以上  ｜  【DPD30+】逾期30天及以上（中度风险）  ｜  【DPD60+】逾期60天及以上（高风险）  ｜  【DPD90+】逾期90天及以上（严重风险/核销预警）</w:t>
            </w:r>
          </w:p>
        </w:tc>
      </w:tr>
      <w:tr w14:paraId="79D25264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019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业务用途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462C5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机构通常以DPD1+、DPD7+、DPD30+、DPD60+、DPD90+为分层触发催收策略，不同DPD段配置差异化催收资源（短信/电话/上门）。</w:t>
            </w:r>
          </w:p>
        </w:tc>
      </w:tr>
      <w:tr w14:paraId="66782121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D5D3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计算示例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C772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某客户2024年1月1日应还款，实际于2024年1月16日还款，则DPD=15天，属于DPD15，触发电话催收流程。</w:t>
            </w:r>
          </w:p>
        </w:tc>
      </w:tr>
      <w:tr w14:paraId="15B5D9E9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082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行业基准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7D42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金融行业通常以DPD30+比率低于3%为健康水位，DPD90+比率超过2%需启动核销预警机制。</w:t>
            </w:r>
          </w:p>
        </w:tc>
      </w:tr>
    </w:tbl>
    <w:p w14:paraId="631EA75F">
      <w:pPr>
        <w:pStyle w:val="4"/>
        <w:spacing w:before="240" w:after="160"/>
      </w:pPr>
      <w:r>
        <w:rPr>
          <w:rFonts w:hint="eastAsia" w:ascii="Arial" w:hAnsi="Arial" w:eastAsia="宋体" w:cs="Arial"/>
          <w:b/>
          <w:bCs/>
          <w:color w:val="2E75B6"/>
          <w:sz w:val="26"/>
          <w:szCs w:val="26"/>
          <w:lang w:val="en-US" w:eastAsia="zh-CN"/>
        </w:rPr>
        <w:t>5.2.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 出催回收率（CRR）</w:t>
      </w:r>
    </w:p>
    <w:tbl>
      <w:tblPr>
        <w:tblStyle w:val="32"/>
        <w:tblW w:w="9360" w:type="dxa"/>
        <w:tblInd w:w="0" w:type="dxa"/>
        <w:tblBorders>
          <w:top w:val="single" w:color="BDC3C7" w:sz="0" w:space="0"/>
          <w:left w:val="single" w:color="BDC3C7" w:sz="0" w:space="0"/>
          <w:bottom w:val="single" w:color="BDC3C7" w:sz="0" w:space="0"/>
          <w:right w:val="single" w:color="BDC3C7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550C8A49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A2F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73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241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103363E8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4694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指标定义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4C34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催收案件中，在规定周期内成功回收欠款的比例，是评估催收效能的核心KPI指标。</w:t>
            </w:r>
          </w:p>
        </w:tc>
      </w:tr>
      <w:tr w14:paraId="0094AAB9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FAAC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计算公式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D472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CRR = 期间回收金额 ÷ 期初催收案件本金余额 × 100%</w:t>
            </w:r>
          </w:p>
        </w:tc>
      </w:tr>
      <w:tr w14:paraId="333E5E36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05A9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关键参数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7244">
            <w:pP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【分母】期初分配给催收渠道的案件本金余额  </w:t>
            </w:r>
          </w:p>
          <w:p w14:paraId="05BD5554">
            <w:pP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【分子】该周期内实际回收金额（</w:t>
            </w:r>
            <w:r>
              <w:rPr>
                <w:rFonts w:hint="eastAsia" w:ascii="Arial" w:hAnsi="Arial" w:eastAsia="宋体" w:cs="Arial"/>
                <w:b w:val="0"/>
                <w:bCs w:val="0"/>
                <w:sz w:val="19"/>
                <w:szCs w:val="19"/>
                <w:lang w:val="en-US" w:eastAsia="zh-CN"/>
              </w:rPr>
              <w:t>是否含利息根据实际情况而定</w:t>
            </w: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）  </w:t>
            </w:r>
          </w:p>
          <w:p w14:paraId="54DE0B79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【统计口径】通常按月/季度滚动统计</w:t>
            </w:r>
          </w:p>
        </w:tc>
      </w:tr>
      <w:tr w14:paraId="53378EFC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41D3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业务用途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1C6C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用于评估内催团队、外催机构的绩效，作为佣金结算依据；同时用于预测资产减值准备金计提比率。</w:t>
            </w:r>
          </w:p>
        </w:tc>
      </w:tr>
      <w:tr w14:paraId="71C12D2C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FC2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计算示例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7241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某外催机构本月分配DPD90+案件1,000万，实际回收120万，则CRR=12%。</w:t>
            </w:r>
          </w:p>
        </w:tc>
      </w:tr>
      <w:tr w14:paraId="64BD4AA7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2C34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行业基准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E0A5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DPD30-60案件CRR参考值15%-35%；DPD90+案件CRR参考值5%-15%；核销案件CRR参考值1%-5%。</w:t>
            </w:r>
          </w:p>
        </w:tc>
      </w:tr>
    </w:tbl>
    <w:p w14:paraId="145B9769">
      <w:pPr>
        <w:rPr>
          <w:rFonts w:hint="eastAsia" w:ascii="微软雅黑" w:hAnsi="微软雅黑" w:eastAsia="微软雅黑"/>
          <w:color w:val="2E75B6"/>
          <w:lang w:val="en-US" w:eastAsia="zh-CN"/>
        </w:rPr>
      </w:pPr>
    </w:p>
    <w:p w14:paraId="21216FF0">
      <w:pPr>
        <w:pStyle w:val="4"/>
        <w:spacing w:before="240" w:after="160"/>
      </w:pPr>
      <w:r>
        <w:rPr>
          <w:rFonts w:hint="eastAsia" w:ascii="Arial" w:hAnsi="Arial" w:eastAsia="宋体" w:cs="Arial"/>
          <w:b/>
          <w:bCs/>
          <w:color w:val="2E75B6"/>
          <w:sz w:val="26"/>
          <w:szCs w:val="26"/>
          <w:lang w:val="en-US" w:eastAsia="zh-CN"/>
        </w:rPr>
        <w:t>5.2.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 滚动率（Roll Rate）</w:t>
      </w:r>
    </w:p>
    <w:tbl>
      <w:tblPr>
        <w:tblStyle w:val="32"/>
        <w:tblW w:w="9360" w:type="dxa"/>
        <w:tblInd w:w="0" w:type="dxa"/>
        <w:tblBorders>
          <w:top w:val="single" w:color="BDC3C7" w:sz="0" w:space="0"/>
          <w:left w:val="single" w:color="BDC3C7" w:sz="0" w:space="0"/>
          <w:bottom w:val="single" w:color="BDC3C7" w:sz="0" w:space="0"/>
          <w:right w:val="single" w:color="BDC3C7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1E6D6AFE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887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73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4FC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441A5786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08B3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指标定义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049A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衡量逾期账户在不同DPD区间之间迁移的比例，反映资产质量的动态恶化或改善趋势。</w:t>
            </w:r>
          </w:p>
        </w:tc>
      </w:tr>
      <w:tr w14:paraId="65720D17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E45C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计算公式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2EF6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滚动率（N→N+1段）= 本期进入N+1段账户余额 ÷ 上期N段账户余额 × 100%</w:t>
            </w:r>
          </w:p>
        </w:tc>
      </w:tr>
      <w:tr w14:paraId="46E6C950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80D0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关键参数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EC3A">
            <w:pP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【正向滚动（恶化）】DPD30+迁入DPD60+  </w:t>
            </w:r>
          </w:p>
          <w:p w14:paraId="18BF6589">
            <w:pP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【负向滚动（改善）】DPD60+迁回DPD30+（治愈）  </w:t>
            </w:r>
          </w:p>
          <w:p w14:paraId="6453C331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【静止滚动】保持在同一DPD段不迁移</w:t>
            </w:r>
          </w:p>
        </w:tc>
      </w:tr>
      <w:tr w14:paraId="2B1A2118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9F5F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业务用途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3226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预测未来不良资产规模，用于压力测试、拨备计提和催收资源配置规划。</w:t>
            </w:r>
          </w:p>
        </w:tc>
      </w:tr>
      <w:tr w14:paraId="49746DF5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BE0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计算示例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96F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上月DPD30-59段余额5,000万，本月其中2,000万迁入DPD60+，则30→60滚动率=40%。</w:t>
            </w:r>
          </w:p>
        </w:tc>
      </w:tr>
      <w:tr w14:paraId="4741BF0C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77FB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行业基准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C80D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健康组合滚动率：M1→M2 &lt; 30%，M2→M3 &lt; 25%，M3→核销 &lt; 20%。</w:t>
            </w:r>
          </w:p>
        </w:tc>
      </w:tr>
    </w:tbl>
    <w:p w14:paraId="183F41FC">
      <w:pPr>
        <w:pStyle w:val="4"/>
        <w:spacing w:before="240" w:after="160"/>
      </w:pPr>
      <w:r>
        <w:rPr>
          <w:rFonts w:hint="eastAsia" w:ascii="Arial" w:hAnsi="Arial" w:eastAsia="宋体" w:cs="Arial"/>
          <w:b/>
          <w:bCs/>
          <w:color w:val="2E75B6"/>
          <w:sz w:val="26"/>
          <w:szCs w:val="26"/>
          <w:lang w:val="en-US" w:eastAsia="zh-CN"/>
        </w:rPr>
        <w:t>5.2.4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. 催收到位率（Contact Rate）</w:t>
      </w:r>
    </w:p>
    <w:tbl>
      <w:tblPr>
        <w:tblStyle w:val="32"/>
        <w:tblW w:w="9360" w:type="dxa"/>
        <w:tblInd w:w="0" w:type="dxa"/>
        <w:tblBorders>
          <w:top w:val="single" w:color="BDC3C7" w:sz="0" w:space="0"/>
          <w:left w:val="single" w:color="BDC3C7" w:sz="0" w:space="0"/>
          <w:bottom w:val="single" w:color="BDC3C7" w:sz="0" w:space="0"/>
          <w:right w:val="single" w:color="BDC3C7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22C82AF7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2AA0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73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347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1E9C1C01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87BC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指标定义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C6A2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催收人员实际触达债务人（本人接听/回复）的比例，是衡量催收效率的过程性指标。</w:t>
            </w:r>
          </w:p>
        </w:tc>
      </w:tr>
      <w:tr w14:paraId="4F87F285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82B1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计算公式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9F0E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Contact Rate = 成功触达账户数 ÷ 尝试联系账户总数 × 100%</w:t>
            </w:r>
          </w:p>
        </w:tc>
      </w:tr>
      <w:tr w14:paraId="78A7FC8F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7FCF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关键参数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8C91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【电话到位率】债务人本人接听电话比例  ｜  【短信回复率】债务人回复催收短信比例  ｜  【上门到位率】上门催收成功见到债务人比例</w:t>
            </w:r>
          </w:p>
        </w:tc>
      </w:tr>
      <w:tr w14:paraId="77081A26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28E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业务用途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389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评估联系方式有效性和联系策略效果，Contact Rate下降预警数据失效或债务人规避行为增加。</w:t>
            </w:r>
          </w:p>
        </w:tc>
      </w:tr>
      <w:tr w14:paraId="6DD1C3AE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9014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计算示例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D173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某催收团队本周拨打电话1,000次，债务人本人接听380次，Contact Rate=38%。</w:t>
            </w:r>
          </w:p>
        </w:tc>
      </w:tr>
      <w:tr w14:paraId="2EAD398F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F2F9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行业基准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9E340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电话催收Contact Rate行业参考：DPD30以内40%-60%；DPD90+20%-35%。</w:t>
            </w:r>
          </w:p>
        </w:tc>
      </w:tr>
    </w:tbl>
    <w:p w14:paraId="6D16E852">
      <w:pPr>
        <w:spacing w:before="200" w:after="0"/>
      </w:pPr>
    </w:p>
    <w:p w14:paraId="4AB9322D">
      <w:pPr>
        <w:spacing w:before="0" w:after="0"/>
      </w:pPr>
    </w:p>
    <w:p w14:paraId="2261C454">
      <w:pPr>
        <w:pStyle w:val="4"/>
        <w:spacing w:before="240" w:after="160"/>
      </w:pPr>
      <w:r>
        <w:rPr>
          <w:rFonts w:hint="eastAsia" w:ascii="Arial" w:hAnsi="Arial" w:eastAsia="宋体" w:cs="Arial"/>
          <w:b/>
          <w:bCs/>
          <w:color w:val="2E75B6"/>
          <w:sz w:val="26"/>
          <w:szCs w:val="26"/>
          <w:lang w:val="en-US" w:eastAsia="zh-CN"/>
        </w:rPr>
        <w:t>5.2.</w:t>
      </w:r>
      <w:bookmarkStart w:id="0" w:name="_GoBack"/>
      <w:bookmarkEnd w:id="0"/>
      <w:r>
        <w:rPr>
          <w:rFonts w:hint="eastAsia" w:ascii="Arial" w:hAnsi="Arial" w:eastAsia="宋体" w:cs="Arial"/>
          <w:b/>
          <w:bCs/>
          <w:color w:val="2E75B6"/>
          <w:sz w:val="26"/>
          <w:szCs w:val="26"/>
          <w:lang w:val="en-US" w:eastAsia="zh-CN"/>
        </w:rPr>
        <w:t>5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. 承诺还款履约率（PTP Rate）</w:t>
      </w:r>
    </w:p>
    <w:tbl>
      <w:tblPr>
        <w:tblStyle w:val="32"/>
        <w:tblW w:w="9360" w:type="dxa"/>
        <w:tblInd w:w="0" w:type="dxa"/>
        <w:tblBorders>
          <w:top w:val="single" w:color="BDC3C7" w:sz="0" w:space="0"/>
          <w:left w:val="single" w:color="BDC3C7" w:sz="0" w:space="0"/>
          <w:bottom w:val="single" w:color="BDC3C7" w:sz="0" w:space="0"/>
          <w:right w:val="single" w:color="BDC3C7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513D1008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6EB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73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C36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30DCF8B3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8166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指标定义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B200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Promise to Pay率，债务人承诺在约定日期还款，并实际履约的比例。</w:t>
            </w:r>
          </w:p>
        </w:tc>
      </w:tr>
      <w:tr w14:paraId="41831EE7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02D5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计算公式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1515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PTP履约率 = 实际履约PTP账户数 ÷ 期间内PTP承诺账户总数 × 100%</w:t>
            </w:r>
          </w:p>
        </w:tc>
      </w:tr>
      <w:tr w14:paraId="7C08BCE5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0591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关键参数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6457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【PTP达成率】成功获得债务人还款承诺的比例  ｜  【PTP履约率】承诺还款后实际完成还款的比例  ｜  【PTP金额履约率】按金额口径统计的履约率</w:t>
            </w:r>
          </w:p>
        </w:tc>
      </w:tr>
      <w:tr w14:paraId="14F95C8C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0206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业务用途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A3A4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是预测短期回款的先行指标，高PTP履约率说明催收与债务人沟通质量好；同时作为催收员绩效考核维度。</w:t>
            </w:r>
          </w:p>
        </w:tc>
      </w:tr>
      <w:tr w14:paraId="67CC2C01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79B5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计算示例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D459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本月获得500个PTP承诺，约定日期前400个完成还款，PTP履约率=80%。</w:t>
            </w:r>
          </w:p>
        </w:tc>
      </w:tr>
      <w:tr w14:paraId="3D8EECB1">
        <w:tblPrEx>
          <w:tblBorders>
            <w:top w:val="single" w:color="BDC3C7" w:sz="0" w:space="0"/>
            <w:left w:val="single" w:color="BDC3C7" w:sz="0" w:space="0"/>
            <w:bottom w:val="single" w:color="BDC3C7" w:sz="0" w:space="0"/>
            <w:right w:val="single" w:color="BDC3C7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9586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行业基准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57FF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优秀催收团队PTP履约率应达到70%+；低于50%需检视催收对话质量和债务人筛选策略。</w:t>
            </w:r>
          </w:p>
        </w:tc>
      </w:tr>
    </w:tbl>
    <w:p w14:paraId="67F9623F"/>
    <w:p w14:paraId="4400CDBB"/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DB1EB1"/>
    <w:rsid w:val="03F711D5"/>
    <w:rsid w:val="044B1BF8"/>
    <w:rsid w:val="0A69357B"/>
    <w:rsid w:val="0B532D06"/>
    <w:rsid w:val="0C5377C5"/>
    <w:rsid w:val="0D913B3D"/>
    <w:rsid w:val="0FE443F8"/>
    <w:rsid w:val="13573133"/>
    <w:rsid w:val="156E22DD"/>
    <w:rsid w:val="157B1F69"/>
    <w:rsid w:val="1A0C111B"/>
    <w:rsid w:val="1E1B1CAB"/>
    <w:rsid w:val="209E7196"/>
    <w:rsid w:val="229F04A6"/>
    <w:rsid w:val="2572488B"/>
    <w:rsid w:val="27052670"/>
    <w:rsid w:val="27065FE4"/>
    <w:rsid w:val="276854B7"/>
    <w:rsid w:val="27A209C9"/>
    <w:rsid w:val="29400374"/>
    <w:rsid w:val="326C2300"/>
    <w:rsid w:val="34BB756E"/>
    <w:rsid w:val="35E31544"/>
    <w:rsid w:val="360950CB"/>
    <w:rsid w:val="39682C9D"/>
    <w:rsid w:val="4194717D"/>
    <w:rsid w:val="44822D46"/>
    <w:rsid w:val="46031291"/>
    <w:rsid w:val="4B9A4E48"/>
    <w:rsid w:val="4BD300CC"/>
    <w:rsid w:val="59C56616"/>
    <w:rsid w:val="5CD526CC"/>
    <w:rsid w:val="610A2B60"/>
    <w:rsid w:val="611B0561"/>
    <w:rsid w:val="65130235"/>
    <w:rsid w:val="685179D9"/>
    <w:rsid w:val="69960756"/>
    <w:rsid w:val="71121CE9"/>
    <w:rsid w:val="72111FA0"/>
    <w:rsid w:val="737F118B"/>
    <w:rsid w:val="74A6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4">
    <w:name w:val="font31"/>
    <w:basedOn w:val="132"/>
    <w:uiPriority w:val="0"/>
    <w:rPr>
      <w:rFonts w:hint="default" w:ascii="Arial" w:hAnsi="Arial" w:cs="Arial"/>
      <w:color w:val="000000"/>
      <w:sz w:val="19"/>
      <w:szCs w:val="19"/>
      <w:u w:val="none"/>
    </w:rPr>
  </w:style>
  <w:style w:type="character" w:customStyle="1" w:styleId="165">
    <w:name w:val="font41"/>
    <w:basedOn w:val="132"/>
    <w:uiPriority w:val="0"/>
    <w:rPr>
      <w:rFonts w:hint="eastAsia" w:ascii="宋体" w:hAnsi="宋体" w:eastAsia="宋体" w:cs="宋体"/>
      <w:color w:val="000000"/>
      <w:sz w:val="19"/>
      <w:szCs w:val="19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165</Words>
  <Characters>177</Characters>
  <DocSecurity>0</DocSecurity>
  <Lines>0</Lines>
  <Paragraphs>0</Paragraphs>
  <ScaleCrop>false</ScaleCrop>
  <LinksUpToDate>false</LinksUpToDate>
  <CharactersWithSpaces>178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terms:modified xsi:type="dcterms:W3CDTF">2026-04-04T13:05:01Z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eyJoZGlkIjoiODAyOGM3MWVlYmIxNTk2NWM3ODViMjJiYjUwZmJmYzUiLCJ1c2VySWQiOiI2MTM5NzkyNzEifQ==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85F07CF0A02B481791518DB66837E4D3_12</vt:lpwstr>
  </property>
</Properties>
</file>