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8C7B6"/>
    <w:p w14:paraId="6D6ED010"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贷后数据分析体系</w:t>
      </w:r>
    </w:p>
    <w:p w14:paraId="4CC88E70">
      <w:pPr>
        <w:jc w:val="center"/>
      </w:pPr>
      <w:r>
        <w:rPr>
          <w:rFonts w:ascii="微软雅黑" w:hAnsi="微软雅黑" w:eastAsia="微软雅黑"/>
          <w:color w:val="2E75B6"/>
          <w:sz w:val="28"/>
        </w:rPr>
        <w:t>Vintage分析与风险预测详解</w:t>
      </w:r>
    </w:p>
    <w:p w14:paraId="0B083626"/>
    <w:p w14:paraId="714C0569">
      <w:pPr>
        <w:jc w:val="center"/>
      </w:pPr>
      <w:r>
        <w:rPr>
          <w:rFonts w:ascii="微软雅黑" w:hAnsi="微软雅黑" w:eastAsia="微软雅黑"/>
          <w:sz w:val="22"/>
        </w:rPr>
        <w:t>2026年4月</w:t>
      </w:r>
    </w:p>
    <w:p w14:paraId="47736EEE">
      <w:r>
        <w:br w:type="page"/>
      </w:r>
    </w:p>
    <w:p w14:paraId="60D56A9D">
      <w:pPr>
        <w:pStyle w:val="3"/>
      </w:pPr>
      <w:r>
        <w:rPr>
          <w:rFonts w:ascii="微软雅黑" w:hAnsi="微软雅黑" w:eastAsia="微软雅黑"/>
          <w:color w:val="1F3864"/>
        </w:rPr>
        <w:t>一、模块概述</w:t>
      </w:r>
    </w:p>
    <w:p w14:paraId="5A0B9B3D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贷后数据分析是风控体系的"大脑"，通过对贷款资产的持续跟踪和深入分析，为策略调整提供数据支撑。核心分析方法包括Vintage分析、迁徙矩阵、滚动率分析等，这些方法能够帮助识别问题批次、定位策略缺陷、预测未来损失。</w:t>
      </w:r>
    </w:p>
    <w:p w14:paraId="09172F06">
      <w:pPr>
        <w:pStyle w:val="3"/>
      </w:pPr>
      <w:r>
        <w:rPr>
          <w:rFonts w:ascii="微软雅黑" w:hAnsi="微软雅黑" w:eastAsia="微软雅黑"/>
          <w:color w:val="1F3864"/>
        </w:rPr>
        <w:t>二、核心分析方法</w:t>
      </w:r>
    </w:p>
    <w:p w14:paraId="03A5B80D">
      <w:pPr>
        <w:pStyle w:val="4"/>
      </w:pPr>
      <w:r>
        <w:rPr>
          <w:rFonts w:ascii="微软雅黑" w:hAnsi="微软雅黑" w:eastAsia="微软雅黑"/>
          <w:color w:val="2E75B6"/>
        </w:rPr>
        <w:t>2.1 Vintage分析</w:t>
      </w:r>
    </w:p>
    <w:p w14:paraId="1B6E5394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Vintage分析是消费金融</w:t>
      </w:r>
      <w:r>
        <w:rPr>
          <w:rFonts w:hint="eastAsia"/>
          <w:b w:val="0"/>
          <w:sz w:val="21"/>
          <w:lang w:val="en-US" w:eastAsia="zh-CN"/>
        </w:rPr>
        <w:t>非常</w:t>
      </w:r>
      <w:r>
        <w:rPr>
          <w:rFonts w:ascii="微软雅黑" w:hAnsi="微软雅黑" w:eastAsia="微软雅黑"/>
          <w:b w:val="0"/>
          <w:sz w:val="21"/>
        </w:rPr>
        <w:t>重要的资产质量分析方法，其核心思想是按放款月份追踪各批次的逾期表现，消除"期限效应"的影响。</w:t>
      </w:r>
    </w:p>
    <w:p w14:paraId="4C4F177B">
      <w:pPr>
        <w:spacing w:after="80"/>
        <w:ind w:left="0"/>
      </w:pPr>
      <w:r>
        <w:rPr>
          <w:rFonts w:ascii="微软雅黑" w:hAnsi="微软雅黑" w:eastAsia="微软雅黑"/>
          <w:b/>
          <w:sz w:val="21"/>
        </w:rPr>
        <w:t>Vintage分析的关键解读维度：</w:t>
      </w:r>
    </w:p>
    <w:p w14:paraId="15AC612B">
      <w:pPr>
        <w:pStyle w:val="16"/>
      </w:pPr>
      <w:r>
        <w:rPr>
          <w:rFonts w:ascii="微软雅黑" w:hAnsi="微软雅黑" w:eastAsia="微软雅黑"/>
          <w:sz w:val="21"/>
        </w:rPr>
        <w:t>横向比较：同一批次随时间推移的逾期率变化，反映</w:t>
      </w:r>
      <w:r>
        <w:rPr>
          <w:rFonts w:hint="eastAsia"/>
          <w:sz w:val="21"/>
          <w:lang w:val="en-US" w:eastAsia="zh-CN"/>
        </w:rPr>
        <w:t>同一批资产在不同观测月的增长趋势</w:t>
      </w:r>
    </w:p>
    <w:p w14:paraId="52F4BE76">
      <w:pPr>
        <w:pStyle w:val="16"/>
      </w:pPr>
      <w:r>
        <w:rPr>
          <w:rFonts w:ascii="微软雅黑" w:hAnsi="微软雅黑" w:eastAsia="微软雅黑"/>
          <w:sz w:val="21"/>
        </w:rPr>
        <w:t>纵向比较：不同批次在同一MOB的逾期率差异，反映放款</w:t>
      </w:r>
      <w:r>
        <w:rPr>
          <w:rFonts w:hint="eastAsia"/>
          <w:sz w:val="21"/>
          <w:lang w:val="en-US" w:eastAsia="zh-CN"/>
        </w:rPr>
        <w:t>月份</w:t>
      </w:r>
      <w:bookmarkStart w:id="0" w:name="_GoBack"/>
      <w:bookmarkEnd w:id="0"/>
      <w:r>
        <w:rPr>
          <w:rFonts w:ascii="微软雅黑" w:hAnsi="微软雅黑" w:eastAsia="微软雅黑"/>
          <w:sz w:val="21"/>
        </w:rPr>
        <w:t>质量的变化</w:t>
      </w:r>
    </w:p>
    <w:p w14:paraId="678650C1">
      <w:pPr>
        <w:pStyle w:val="16"/>
      </w:pPr>
      <w:r>
        <w:rPr>
          <w:rFonts w:ascii="微软雅黑" w:hAnsi="微软雅黑" w:eastAsia="微软雅黑"/>
          <w:sz w:val="21"/>
        </w:rPr>
        <w:t>拐点识别：当某批次Vintage曲线明显偏离历史趋势时，往往意味着策略或环境发生了变化</w:t>
      </w:r>
    </w:p>
    <w:p w14:paraId="16FD2188">
      <w:pPr>
        <w:pStyle w:val="16"/>
      </w:pPr>
      <w:r>
        <w:rPr>
          <w:rFonts w:ascii="微软雅黑" w:hAnsi="微软雅黑" w:eastAsia="微软雅黑"/>
          <w:sz w:val="21"/>
        </w:rPr>
        <w:t>成熟期判断：当某批次Vintage曲线趋于平稳时，该批次基本达到成熟，可用于预估最终损失</w:t>
      </w:r>
    </w:p>
    <w:p w14:paraId="4BF776FB">
      <w:pPr>
        <w:pStyle w:val="5"/>
      </w:pPr>
      <w:r>
        <w:rPr>
          <w:rFonts w:ascii="微软雅黑" w:hAnsi="微软雅黑" w:eastAsia="微软雅黑"/>
          <w:color w:val="4070A0"/>
        </w:rPr>
        <w:t>Vintage分析示例表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6FD03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2E75B6"/>
          </w:tcPr>
          <w:p w14:paraId="02B005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放款月份</w:t>
            </w:r>
          </w:p>
        </w:tc>
        <w:tc>
          <w:tcPr>
            <w:tcW w:w="1296" w:type="dxa"/>
            <w:shd w:val="clear" w:color="auto" w:fill="2E75B6"/>
          </w:tcPr>
          <w:p w14:paraId="1DF697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MOB1</w:t>
            </w:r>
          </w:p>
        </w:tc>
        <w:tc>
          <w:tcPr>
            <w:tcW w:w="1296" w:type="dxa"/>
            <w:shd w:val="clear" w:color="auto" w:fill="2E75B6"/>
          </w:tcPr>
          <w:p w14:paraId="44677F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MOB3</w:t>
            </w:r>
          </w:p>
        </w:tc>
        <w:tc>
          <w:tcPr>
            <w:tcW w:w="1296" w:type="dxa"/>
            <w:shd w:val="clear" w:color="auto" w:fill="2E75B6"/>
          </w:tcPr>
          <w:p w14:paraId="6D0EEF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MOB6</w:t>
            </w:r>
          </w:p>
        </w:tc>
        <w:tc>
          <w:tcPr>
            <w:tcW w:w="1296" w:type="dxa"/>
            <w:shd w:val="clear" w:color="auto" w:fill="2E75B6"/>
          </w:tcPr>
          <w:p w14:paraId="52664E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MOB9</w:t>
            </w:r>
          </w:p>
        </w:tc>
        <w:tc>
          <w:tcPr>
            <w:tcW w:w="1296" w:type="dxa"/>
            <w:shd w:val="clear" w:color="auto" w:fill="2E75B6"/>
          </w:tcPr>
          <w:p w14:paraId="48308B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MOB12(预估)</w:t>
            </w:r>
          </w:p>
        </w:tc>
        <w:tc>
          <w:tcPr>
            <w:tcW w:w="1296" w:type="dxa"/>
            <w:shd w:val="clear" w:color="auto" w:fill="2E75B6"/>
          </w:tcPr>
          <w:p w14:paraId="603B63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最终损失率</w:t>
            </w:r>
          </w:p>
        </w:tc>
      </w:tr>
      <w:tr w14:paraId="32C6B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2F7FF"/>
          </w:tcPr>
          <w:p w14:paraId="298D92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2025-07</w:t>
            </w:r>
          </w:p>
        </w:tc>
        <w:tc>
          <w:tcPr>
            <w:tcW w:w="1296" w:type="dxa"/>
            <w:shd w:val="clear" w:color="auto" w:fill="F2F7FF"/>
          </w:tcPr>
          <w:p w14:paraId="7AFEAA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1.8%</w:t>
            </w:r>
          </w:p>
        </w:tc>
        <w:tc>
          <w:tcPr>
            <w:tcW w:w="1296" w:type="dxa"/>
            <w:shd w:val="clear" w:color="auto" w:fill="F2F7FF"/>
          </w:tcPr>
          <w:p w14:paraId="07FA28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3.8%</w:t>
            </w:r>
          </w:p>
        </w:tc>
        <w:tc>
          <w:tcPr>
            <w:tcW w:w="1296" w:type="dxa"/>
            <w:shd w:val="clear" w:color="auto" w:fill="F2F7FF"/>
          </w:tcPr>
          <w:p w14:paraId="51AD49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4.5%</w:t>
            </w:r>
          </w:p>
        </w:tc>
        <w:tc>
          <w:tcPr>
            <w:tcW w:w="1296" w:type="dxa"/>
            <w:shd w:val="clear" w:color="auto" w:fill="F2F7FF"/>
          </w:tcPr>
          <w:p w14:paraId="20C6A1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4.7%</w:t>
            </w:r>
          </w:p>
        </w:tc>
        <w:tc>
          <w:tcPr>
            <w:tcW w:w="1296" w:type="dxa"/>
            <w:shd w:val="clear" w:color="auto" w:fill="F2F7FF"/>
          </w:tcPr>
          <w:p w14:paraId="331C15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4.8%</w:t>
            </w:r>
          </w:p>
        </w:tc>
        <w:tc>
          <w:tcPr>
            <w:tcW w:w="1296" w:type="dxa"/>
            <w:shd w:val="clear" w:color="auto" w:fill="F2F7FF"/>
          </w:tcPr>
          <w:p w14:paraId="27E76F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4.8%</w:t>
            </w:r>
          </w:p>
        </w:tc>
      </w:tr>
      <w:tr w14:paraId="55A2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</w:tcPr>
          <w:p w14:paraId="798F2B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2025-08</w:t>
            </w:r>
          </w:p>
        </w:tc>
        <w:tc>
          <w:tcPr>
            <w:tcW w:w="1296" w:type="dxa"/>
            <w:shd w:val="clear" w:color="auto" w:fill="FFFFFF"/>
          </w:tcPr>
          <w:p w14:paraId="155EFE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1.6%</w:t>
            </w:r>
          </w:p>
        </w:tc>
        <w:tc>
          <w:tcPr>
            <w:tcW w:w="1296" w:type="dxa"/>
            <w:shd w:val="clear" w:color="auto" w:fill="FFFFFF"/>
          </w:tcPr>
          <w:p w14:paraId="403D8D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3.5%</w:t>
            </w:r>
          </w:p>
        </w:tc>
        <w:tc>
          <w:tcPr>
            <w:tcW w:w="1296" w:type="dxa"/>
            <w:shd w:val="clear" w:color="auto" w:fill="FFFFFF"/>
          </w:tcPr>
          <w:p w14:paraId="410552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4.3%</w:t>
            </w:r>
          </w:p>
        </w:tc>
        <w:tc>
          <w:tcPr>
            <w:tcW w:w="1296" w:type="dxa"/>
            <w:shd w:val="clear" w:color="auto" w:fill="FFFFFF"/>
          </w:tcPr>
          <w:p w14:paraId="4D3D5B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540142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786640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4.5%(预估)</w:t>
            </w:r>
          </w:p>
        </w:tc>
      </w:tr>
      <w:tr w14:paraId="642B6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2F7FF"/>
          </w:tcPr>
          <w:p w14:paraId="401588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2025-09</w:t>
            </w:r>
          </w:p>
        </w:tc>
        <w:tc>
          <w:tcPr>
            <w:tcW w:w="1296" w:type="dxa"/>
            <w:shd w:val="clear" w:color="auto" w:fill="F2F7FF"/>
          </w:tcPr>
          <w:p w14:paraId="5530E5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1.5%</w:t>
            </w:r>
          </w:p>
        </w:tc>
        <w:tc>
          <w:tcPr>
            <w:tcW w:w="1296" w:type="dxa"/>
            <w:shd w:val="clear" w:color="auto" w:fill="F2F7FF"/>
          </w:tcPr>
          <w:p w14:paraId="6887DE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3.2%</w:t>
            </w:r>
          </w:p>
        </w:tc>
        <w:tc>
          <w:tcPr>
            <w:tcW w:w="1296" w:type="dxa"/>
            <w:shd w:val="clear" w:color="auto" w:fill="F2F7FF"/>
          </w:tcPr>
          <w:p w14:paraId="306C67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2F7FF"/>
          </w:tcPr>
          <w:p w14:paraId="6A8A7F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2F7FF"/>
          </w:tcPr>
          <w:p w14:paraId="32014C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2F7FF"/>
          </w:tcPr>
          <w:p w14:paraId="66A1F4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4.0%(预估)</w:t>
            </w:r>
          </w:p>
        </w:tc>
      </w:tr>
      <w:tr w14:paraId="3DB4F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</w:tcPr>
          <w:p w14:paraId="4EE514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2025-10</w:t>
            </w:r>
          </w:p>
        </w:tc>
        <w:tc>
          <w:tcPr>
            <w:tcW w:w="1296" w:type="dxa"/>
            <w:shd w:val="clear" w:color="auto" w:fill="FFFFFF"/>
          </w:tcPr>
          <w:p w14:paraId="0EFA96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1.3%</w:t>
            </w:r>
          </w:p>
        </w:tc>
        <w:tc>
          <w:tcPr>
            <w:tcW w:w="1296" w:type="dxa"/>
            <w:shd w:val="clear" w:color="auto" w:fill="FFFFFF"/>
          </w:tcPr>
          <w:p w14:paraId="3C4AC5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741A3F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6E1705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6C017F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39204E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3.5%(预估)</w:t>
            </w:r>
          </w:p>
        </w:tc>
      </w:tr>
    </w:tbl>
    <w:p w14:paraId="415D25D9"/>
    <w:p w14:paraId="0FAC2054">
      <w:pPr>
        <w:pStyle w:val="4"/>
      </w:pPr>
      <w:r>
        <w:rPr>
          <w:rFonts w:ascii="微软雅黑" w:hAnsi="微软雅黑" w:eastAsia="微软雅黑"/>
          <w:color w:val="2E75B6"/>
        </w:rPr>
        <w:t>2.2 迁徙矩阵(滚动率)</w:t>
      </w:r>
    </w:p>
    <w:p w14:paraId="1DBF9ED1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迁徙矩阵反映贷款在不同逾期状态之间的转化率，是预测未来损失的重要工具：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2414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2E75B6"/>
          </w:tcPr>
          <w:p w14:paraId="3E785F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起始/终止</w:t>
            </w:r>
          </w:p>
        </w:tc>
        <w:tc>
          <w:tcPr>
            <w:tcW w:w="1296" w:type="dxa"/>
            <w:shd w:val="clear" w:color="auto" w:fill="2E75B6"/>
          </w:tcPr>
          <w:p w14:paraId="7DDF95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正常</w:t>
            </w:r>
          </w:p>
        </w:tc>
        <w:tc>
          <w:tcPr>
            <w:tcW w:w="1296" w:type="dxa"/>
            <w:shd w:val="clear" w:color="auto" w:fill="2E75B6"/>
          </w:tcPr>
          <w:p w14:paraId="77D14C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M1</w:t>
            </w:r>
          </w:p>
        </w:tc>
        <w:tc>
          <w:tcPr>
            <w:tcW w:w="1296" w:type="dxa"/>
            <w:shd w:val="clear" w:color="auto" w:fill="2E75B6"/>
          </w:tcPr>
          <w:p w14:paraId="36B2FD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M2</w:t>
            </w:r>
          </w:p>
        </w:tc>
        <w:tc>
          <w:tcPr>
            <w:tcW w:w="1296" w:type="dxa"/>
            <w:shd w:val="clear" w:color="auto" w:fill="2E75B6"/>
          </w:tcPr>
          <w:p w14:paraId="7875D1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M3</w:t>
            </w:r>
          </w:p>
        </w:tc>
        <w:tc>
          <w:tcPr>
            <w:tcW w:w="1296" w:type="dxa"/>
            <w:shd w:val="clear" w:color="auto" w:fill="2E75B6"/>
          </w:tcPr>
          <w:p w14:paraId="54674E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M3+</w:t>
            </w:r>
          </w:p>
        </w:tc>
        <w:tc>
          <w:tcPr>
            <w:tcW w:w="1296" w:type="dxa"/>
            <w:shd w:val="clear" w:color="auto" w:fill="2E75B6"/>
          </w:tcPr>
          <w:p w14:paraId="31C0EF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结清</w:t>
            </w:r>
          </w:p>
        </w:tc>
      </w:tr>
      <w:tr w14:paraId="5893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2F7FF"/>
          </w:tcPr>
          <w:p w14:paraId="0B7957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  <w:tc>
          <w:tcPr>
            <w:tcW w:w="1296" w:type="dxa"/>
            <w:shd w:val="clear" w:color="auto" w:fill="F2F7FF"/>
          </w:tcPr>
          <w:p w14:paraId="503435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2F7FF"/>
          </w:tcPr>
          <w:p w14:paraId="48BDC1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3.0%</w:t>
            </w:r>
          </w:p>
        </w:tc>
        <w:tc>
          <w:tcPr>
            <w:tcW w:w="1296" w:type="dxa"/>
            <w:shd w:val="clear" w:color="auto" w:fill="F2F7FF"/>
          </w:tcPr>
          <w:p w14:paraId="6681EC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2F7FF"/>
          </w:tcPr>
          <w:p w14:paraId="2EB0C7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2F7FF"/>
          </w:tcPr>
          <w:p w14:paraId="247270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2F7FF"/>
          </w:tcPr>
          <w:p w14:paraId="4A98D5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</w:tr>
      <w:tr w14:paraId="2A46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</w:tcPr>
          <w:p w14:paraId="3AEE37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M1</w:t>
            </w:r>
          </w:p>
        </w:tc>
        <w:tc>
          <w:tcPr>
            <w:tcW w:w="1296" w:type="dxa"/>
            <w:shd w:val="clear" w:color="auto" w:fill="FFFFFF"/>
          </w:tcPr>
          <w:p w14:paraId="3AE208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40E969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14E6E7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45%</w:t>
            </w:r>
          </w:p>
        </w:tc>
        <w:tc>
          <w:tcPr>
            <w:tcW w:w="1296" w:type="dxa"/>
            <w:shd w:val="clear" w:color="auto" w:fill="FFFFFF"/>
          </w:tcPr>
          <w:p w14:paraId="40DD9C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774CEF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6B66E3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40%</w:t>
            </w:r>
          </w:p>
        </w:tc>
      </w:tr>
      <w:tr w14:paraId="605D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2F7FF"/>
          </w:tcPr>
          <w:p w14:paraId="093057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M2</w:t>
            </w:r>
          </w:p>
        </w:tc>
        <w:tc>
          <w:tcPr>
            <w:tcW w:w="1296" w:type="dxa"/>
            <w:shd w:val="clear" w:color="auto" w:fill="F2F7FF"/>
          </w:tcPr>
          <w:p w14:paraId="28B8E6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2F7FF"/>
          </w:tcPr>
          <w:p w14:paraId="3A77FD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2F7FF"/>
          </w:tcPr>
          <w:p w14:paraId="4EFFD9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2F7FF"/>
          </w:tcPr>
          <w:p w14:paraId="6C4927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35%</w:t>
            </w:r>
          </w:p>
        </w:tc>
        <w:tc>
          <w:tcPr>
            <w:tcW w:w="1296" w:type="dxa"/>
            <w:shd w:val="clear" w:color="auto" w:fill="F2F7FF"/>
          </w:tcPr>
          <w:p w14:paraId="1BB8FE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2F7FF"/>
          </w:tcPr>
          <w:p w14:paraId="60528E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</w:tr>
      <w:tr w14:paraId="7108B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FFFFF"/>
          </w:tcPr>
          <w:p w14:paraId="3402DB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M3</w:t>
            </w:r>
          </w:p>
        </w:tc>
        <w:tc>
          <w:tcPr>
            <w:tcW w:w="1296" w:type="dxa"/>
            <w:shd w:val="clear" w:color="auto" w:fill="FFFFFF"/>
          </w:tcPr>
          <w:p w14:paraId="69C121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0688E1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512384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4004CB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1296" w:type="dxa"/>
            <w:shd w:val="clear" w:color="auto" w:fill="FFFFFF"/>
          </w:tcPr>
          <w:p w14:paraId="205E2F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w="1296" w:type="dxa"/>
            <w:shd w:val="clear" w:color="auto" w:fill="FFFFFF"/>
          </w:tcPr>
          <w:p w14:paraId="5C7AD9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</w:tbl>
    <w:p w14:paraId="36FA74F5"/>
    <w:p w14:paraId="3083B92C">
      <w:pPr>
        <w:spacing w:after="80"/>
        <w:ind w:left="0"/>
      </w:pPr>
      <w:r>
        <w:rPr>
          <w:rFonts w:ascii="微软雅黑" w:hAnsi="微软雅黑" w:eastAsia="微软雅黑"/>
          <w:b/>
          <w:sz w:val="21"/>
        </w:rPr>
        <w:t>迁徙矩阵的应用场景：</w:t>
      </w:r>
    </w:p>
    <w:p w14:paraId="575862D2">
      <w:pPr>
        <w:pStyle w:val="16"/>
      </w:pPr>
      <w:r>
        <w:rPr>
          <w:rFonts w:ascii="微软雅黑" w:hAnsi="微软雅黑" w:eastAsia="微软雅黑"/>
          <w:sz w:val="21"/>
        </w:rPr>
        <w:t>损失预测：基于当前各阶段余额和迁徙率，计算未来各阶段预期余额</w:t>
      </w:r>
    </w:p>
    <w:p w14:paraId="0BCABEE5">
      <w:pPr>
        <w:pStyle w:val="16"/>
      </w:pPr>
      <w:r>
        <w:rPr>
          <w:rFonts w:ascii="微软雅黑" w:hAnsi="微软雅黑" w:eastAsia="微软雅黑"/>
          <w:sz w:val="21"/>
        </w:rPr>
        <w:t>准备金计提：根据迁徙矩阵计算预期信用损失(ECL)，用于拨备计提</w:t>
      </w:r>
    </w:p>
    <w:p w14:paraId="02797D93">
      <w:pPr>
        <w:pStyle w:val="16"/>
      </w:pPr>
      <w:r>
        <w:rPr>
          <w:rFonts w:ascii="微软雅黑" w:hAnsi="微软雅黑" w:eastAsia="微软雅黑"/>
          <w:sz w:val="21"/>
        </w:rPr>
        <w:t>催收效果评估：对比不同催收策略下的迁徙率变化</w:t>
      </w:r>
    </w:p>
    <w:p w14:paraId="4A8528C4">
      <w:pPr>
        <w:pStyle w:val="4"/>
      </w:pPr>
      <w:r>
        <w:rPr>
          <w:rFonts w:ascii="微软雅黑" w:hAnsi="微软雅黑" w:eastAsia="微软雅黑"/>
          <w:color w:val="2E75B6"/>
        </w:rPr>
        <w:t>2.3 滚动率分析</w:t>
      </w:r>
    </w:p>
    <w:p w14:paraId="145C1C62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滚动率关注的是特定时间段内，贷款从一个状态"滚动"到另一个状态的比例。与迁徙矩阵的区别在于，滚动率更关注增量变化趋势。</w:t>
      </w:r>
    </w:p>
    <w:p w14:paraId="74C0B166">
      <w:pPr>
        <w:pStyle w:val="16"/>
      </w:pPr>
      <w:r>
        <w:rPr>
          <w:rFonts w:ascii="微软雅黑" w:hAnsi="微软雅黑" w:eastAsia="微软雅黑"/>
          <w:sz w:val="21"/>
        </w:rPr>
        <w:t>正常→M1滚动率 = 本月新增M1 / 上月正常余额</w:t>
      </w:r>
    </w:p>
    <w:p w14:paraId="711A198D">
      <w:pPr>
        <w:pStyle w:val="16"/>
      </w:pPr>
      <w:r>
        <w:rPr>
          <w:rFonts w:ascii="微软雅黑" w:hAnsi="微软雅黑" w:eastAsia="微软雅黑"/>
          <w:sz w:val="21"/>
        </w:rPr>
        <w:t>M1→M2滚动率 = 本月M2中上月为M1的部分 / 上月M1余额</w:t>
      </w:r>
    </w:p>
    <w:p w14:paraId="179A40A4">
      <w:pPr>
        <w:pStyle w:val="16"/>
      </w:pPr>
      <w:r>
        <w:rPr>
          <w:rFonts w:ascii="微软雅黑" w:hAnsi="微软雅黑" w:eastAsia="微软雅黑"/>
          <w:sz w:val="21"/>
        </w:rPr>
        <w:t>当滚动率持续上升时，说明资产质量在恶化</w:t>
      </w:r>
    </w:p>
    <w:p w14:paraId="4EEA7EC0">
      <w:pPr>
        <w:pStyle w:val="3"/>
      </w:pPr>
      <w:r>
        <w:rPr>
          <w:rFonts w:ascii="微软雅黑" w:hAnsi="微软雅黑" w:eastAsia="微软雅黑"/>
          <w:color w:val="1F3864"/>
        </w:rPr>
        <w:t>三、自动化报表与看板</w:t>
      </w:r>
    </w:p>
    <w:p w14:paraId="72418B66">
      <w:pPr>
        <w:pStyle w:val="4"/>
      </w:pPr>
      <w:r>
        <w:rPr>
          <w:rFonts w:ascii="微软雅黑" w:hAnsi="微软雅黑" w:eastAsia="微软雅黑"/>
          <w:color w:val="2E75B6"/>
        </w:rPr>
        <w:t>3.1 报表体系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82A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E75B6"/>
          </w:tcPr>
          <w:p w14:paraId="33A251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报表类型</w:t>
            </w:r>
          </w:p>
        </w:tc>
        <w:tc>
          <w:tcPr>
            <w:tcW w:w="2268" w:type="dxa"/>
            <w:shd w:val="clear" w:color="auto" w:fill="2E75B6"/>
          </w:tcPr>
          <w:p w14:paraId="4AF16B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w="2268" w:type="dxa"/>
            <w:shd w:val="clear" w:color="auto" w:fill="2E75B6"/>
          </w:tcPr>
          <w:p w14:paraId="3D4054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  <w:tc>
          <w:tcPr>
            <w:tcW w:w="2268" w:type="dxa"/>
            <w:shd w:val="clear" w:color="auto" w:fill="2E75B6"/>
          </w:tcPr>
          <w:p w14:paraId="17C21A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受众</w:t>
            </w:r>
          </w:p>
        </w:tc>
      </w:tr>
      <w:tr w14:paraId="1FC1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23D0A4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日报</w:t>
            </w:r>
          </w:p>
        </w:tc>
        <w:tc>
          <w:tcPr>
            <w:tcW w:w="2268" w:type="dxa"/>
            <w:shd w:val="clear" w:color="auto" w:fill="F2F7FF"/>
          </w:tcPr>
          <w:p w14:paraId="64A601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每日</w:t>
            </w:r>
          </w:p>
        </w:tc>
        <w:tc>
          <w:tcPr>
            <w:tcW w:w="2268" w:type="dxa"/>
            <w:shd w:val="clear" w:color="auto" w:fill="F2F7FF"/>
          </w:tcPr>
          <w:p w14:paraId="2B403C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新增逾期、EWS触发、催收量</w:t>
            </w:r>
          </w:p>
        </w:tc>
        <w:tc>
          <w:tcPr>
            <w:tcW w:w="2268" w:type="dxa"/>
            <w:shd w:val="clear" w:color="auto" w:fill="F2F7FF"/>
          </w:tcPr>
          <w:p w14:paraId="01FC2C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催收主管</w:t>
            </w:r>
          </w:p>
        </w:tc>
      </w:tr>
      <w:tr w14:paraId="0383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EA3BC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周报</w:t>
            </w:r>
          </w:p>
        </w:tc>
        <w:tc>
          <w:tcPr>
            <w:tcW w:w="2268" w:type="dxa"/>
            <w:shd w:val="clear" w:color="auto" w:fill="FFFFFF"/>
          </w:tcPr>
          <w:p w14:paraId="75FB32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每周</w:t>
            </w:r>
          </w:p>
        </w:tc>
        <w:tc>
          <w:tcPr>
            <w:tcW w:w="2268" w:type="dxa"/>
            <w:shd w:val="clear" w:color="auto" w:fill="FFFFFF"/>
          </w:tcPr>
          <w:p w14:paraId="1BB3DF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Vintage趋势、滚动率变化、渠道质量</w:t>
            </w:r>
          </w:p>
        </w:tc>
        <w:tc>
          <w:tcPr>
            <w:tcW w:w="2268" w:type="dxa"/>
            <w:shd w:val="clear" w:color="auto" w:fill="FFFFFF"/>
          </w:tcPr>
          <w:p w14:paraId="5ED1C1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风控总监</w:t>
            </w:r>
          </w:p>
        </w:tc>
      </w:tr>
      <w:tr w14:paraId="3C292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7FF"/>
          </w:tcPr>
          <w:p w14:paraId="2048C0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月报</w:t>
            </w:r>
          </w:p>
        </w:tc>
        <w:tc>
          <w:tcPr>
            <w:tcW w:w="2268" w:type="dxa"/>
            <w:shd w:val="clear" w:color="auto" w:fill="F2F7FF"/>
          </w:tcPr>
          <w:p w14:paraId="591264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每月</w:t>
            </w:r>
          </w:p>
        </w:tc>
        <w:tc>
          <w:tcPr>
            <w:tcW w:w="2268" w:type="dxa"/>
            <w:shd w:val="clear" w:color="auto" w:fill="F2F7FF"/>
          </w:tcPr>
          <w:p w14:paraId="68429A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全面风险分析、策略效果评估、模型监控</w:t>
            </w:r>
          </w:p>
        </w:tc>
        <w:tc>
          <w:tcPr>
            <w:tcW w:w="2268" w:type="dxa"/>
            <w:shd w:val="clear" w:color="auto" w:fill="F2F7FF"/>
          </w:tcPr>
          <w:p w14:paraId="1D2158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管理层</w:t>
            </w:r>
          </w:p>
        </w:tc>
      </w:tr>
      <w:tr w14:paraId="4744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DB0DB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季报</w:t>
            </w:r>
          </w:p>
        </w:tc>
        <w:tc>
          <w:tcPr>
            <w:tcW w:w="2268" w:type="dxa"/>
            <w:shd w:val="clear" w:color="auto" w:fill="FFFFFF"/>
          </w:tcPr>
          <w:p w14:paraId="7B45A9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每季度</w:t>
            </w:r>
          </w:p>
        </w:tc>
        <w:tc>
          <w:tcPr>
            <w:tcW w:w="2268" w:type="dxa"/>
            <w:shd w:val="clear" w:color="auto" w:fill="FFFFFF"/>
          </w:tcPr>
          <w:p w14:paraId="536F93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深度分析报告、行业对标、预算执行</w:t>
            </w:r>
          </w:p>
        </w:tc>
        <w:tc>
          <w:tcPr>
            <w:tcW w:w="2268" w:type="dxa"/>
            <w:shd w:val="clear" w:color="auto" w:fill="FFFFFF"/>
          </w:tcPr>
          <w:p w14:paraId="37A8C4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董事会</w:t>
            </w:r>
          </w:p>
        </w:tc>
      </w:tr>
    </w:tbl>
    <w:p w14:paraId="02341617"/>
    <w:p w14:paraId="53B030ED">
      <w:pPr>
        <w:pStyle w:val="4"/>
      </w:pPr>
      <w:r>
        <w:rPr>
          <w:rFonts w:ascii="微软雅黑" w:hAnsi="微软雅黑" w:eastAsia="微软雅黑"/>
          <w:color w:val="2E75B6"/>
        </w:rPr>
        <w:t>3.2 策略调整节点识别</w:t>
      </w:r>
    </w:p>
    <w:p w14:paraId="74204BDD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当Vintage分析发现异常时，需快速定位策略调整节点：</w:t>
      </w:r>
    </w:p>
    <w:p w14:paraId="53B574CF">
      <w:pPr>
        <w:pStyle w:val="16"/>
      </w:pPr>
      <w:r>
        <w:rPr>
          <w:rFonts w:ascii="微软雅黑" w:hAnsi="微软雅黑" w:eastAsia="微软雅黑"/>
          <w:sz w:val="21"/>
        </w:rPr>
        <w:t>步骤1：确认异常批次（哪个月份放款的资产出现异常？）</w:t>
      </w:r>
    </w:p>
    <w:p w14:paraId="74A7EA42">
      <w:pPr>
        <w:pStyle w:val="16"/>
      </w:pPr>
      <w:r>
        <w:rPr>
          <w:rFonts w:ascii="微软雅黑" w:hAnsi="微软雅黑" w:eastAsia="微软雅黑"/>
          <w:sz w:val="21"/>
        </w:rPr>
        <w:t>步骤2：叠加策略变更日志（该月份前后有哪些策略调整？）</w:t>
      </w:r>
    </w:p>
    <w:p w14:paraId="26C6E776">
      <w:pPr>
        <w:pStyle w:val="16"/>
      </w:pPr>
      <w:r>
        <w:rPr>
          <w:rFonts w:ascii="微软雅黑" w:hAnsi="微软雅黑" w:eastAsia="微软雅黑"/>
          <w:sz w:val="21"/>
        </w:rPr>
        <w:t>步骤3：按渠道/产品/评分段拆解（异常集中在哪个维度？）</w:t>
      </w:r>
    </w:p>
    <w:p w14:paraId="098DF9B0">
      <w:pPr>
        <w:pStyle w:val="16"/>
      </w:pPr>
      <w:r>
        <w:rPr>
          <w:rFonts w:ascii="微软雅黑" w:hAnsi="微软雅黑" w:eastAsia="微软雅黑"/>
          <w:sz w:val="21"/>
        </w:rPr>
        <w:t>步骤4：定位根因并制定整改方案</w:t>
      </w:r>
    </w:p>
    <w:p w14:paraId="00FF0BEA">
      <w:pPr>
        <w:pStyle w:val="3"/>
      </w:pPr>
      <w:r>
        <w:rPr>
          <w:rFonts w:ascii="微软雅黑" w:hAnsi="微软雅黑" w:eastAsia="微软雅黑"/>
          <w:color w:val="1F3864"/>
        </w:rPr>
        <w:t>四、损失准备金预测</w:t>
      </w:r>
    </w:p>
    <w:p w14:paraId="6BD7667B">
      <w:pPr>
        <w:spacing w:after="80"/>
        <w:ind w:left="0"/>
      </w:pPr>
      <w:r>
        <w:rPr>
          <w:rFonts w:ascii="微软雅黑" w:hAnsi="微软雅黑" w:eastAsia="微软雅黑"/>
          <w:b w:val="0"/>
          <w:sz w:val="21"/>
        </w:rPr>
        <w:t>基于迁徙矩阵的预期信用损失(ECL)模型是准备金计提的标准方法：</w:t>
      </w:r>
    </w:p>
    <w:p w14:paraId="5BB3D83D">
      <w:pPr>
        <w:pStyle w:val="16"/>
      </w:pPr>
      <w:r>
        <w:rPr>
          <w:rFonts w:ascii="微软雅黑" w:hAnsi="微软雅黑" w:eastAsia="微软雅黑"/>
          <w:sz w:val="21"/>
        </w:rPr>
        <w:t>第一阶段(1-12月)：基于历史迁徙矩阵计算12个月内的预期损失</w:t>
      </w:r>
    </w:p>
    <w:p w14:paraId="0FC109F6">
      <w:pPr>
        <w:pStyle w:val="16"/>
      </w:pPr>
      <w:r>
        <w:rPr>
          <w:rFonts w:ascii="微软雅黑" w:hAnsi="微软雅黑" w:eastAsia="微软雅黑"/>
          <w:sz w:val="21"/>
        </w:rPr>
        <w:t>第二阶段(12月+)：基于宏观经济因子(如GDP、失业率)调整的长期预期损失</w:t>
      </w:r>
    </w:p>
    <w:p w14:paraId="04C88536">
      <w:pPr>
        <w:pStyle w:val="16"/>
      </w:pPr>
      <w:r>
        <w:rPr>
          <w:rFonts w:ascii="微软雅黑" w:hAnsi="微软雅黑" w:eastAsia="微软雅黑"/>
          <w:sz w:val="21"/>
        </w:rPr>
        <w:t>ECL = 违约概率(PD) x 违约损失率(LGD) x 违约风险暴露(EAD)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D7AC3"/>
    <w:rsid w:val="0631328E"/>
    <w:rsid w:val="08106EBB"/>
    <w:rsid w:val="0C460641"/>
    <w:rsid w:val="10667503"/>
    <w:rsid w:val="13E744B7"/>
    <w:rsid w:val="18842C1C"/>
    <w:rsid w:val="1F5D7549"/>
    <w:rsid w:val="1F6D440A"/>
    <w:rsid w:val="1F751511"/>
    <w:rsid w:val="231A6657"/>
    <w:rsid w:val="23BF2431"/>
    <w:rsid w:val="253F23A5"/>
    <w:rsid w:val="26EC030B"/>
    <w:rsid w:val="27117D71"/>
    <w:rsid w:val="2C136339"/>
    <w:rsid w:val="31C0486E"/>
    <w:rsid w:val="34DB19BE"/>
    <w:rsid w:val="3F422D66"/>
    <w:rsid w:val="43DD12AF"/>
    <w:rsid w:val="4E8F764A"/>
    <w:rsid w:val="4F8317FB"/>
    <w:rsid w:val="526D7CA2"/>
    <w:rsid w:val="59B91A1F"/>
    <w:rsid w:val="5F3A53B0"/>
    <w:rsid w:val="6E73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1078</Words>
  <Characters>1312</Characters>
  <DocSecurity>0</DocSecurity>
  <Lines>0</Lines>
  <Paragraphs>0</Paragraphs>
  <ScaleCrop>false</ScaleCrop>
  <LinksUpToDate>false</LinksUpToDate>
  <CharactersWithSpaces>1331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2026-04-04T13:19:58Z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eyJoZGlkIjoiODAyOGM3MWVlYmIxNTk2NWM3ODViMjJiYjUwZmJmYzUiLCJ1c2VySWQiOiI2MTM5NzkyNzEifQ==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A8FB4410421543A78A017E3120A56DF7_12</vt:lpwstr>
  </property>
</Properties>
</file>