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4AB8C"/>
    <w:p w14:paraId="0B969FB5"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反欺诈体系</w:t>
      </w:r>
    </w:p>
    <w:p w14:paraId="5A3AB7B2">
      <w:pPr>
        <w:jc w:val="center"/>
      </w:pPr>
      <w:r>
        <w:rPr>
          <w:rFonts w:ascii="微软雅黑" w:hAnsi="微软雅黑" w:eastAsia="微软雅黑"/>
          <w:color w:val="2E75B6"/>
          <w:sz w:val="28"/>
        </w:rPr>
        <w:t>欺诈识别与对抗技术详解</w:t>
      </w:r>
    </w:p>
    <w:p w14:paraId="01DC05EE"/>
    <w:p w14:paraId="352271C8">
      <w:pPr>
        <w:jc w:val="center"/>
      </w:pPr>
      <w:r>
        <w:rPr>
          <w:rFonts w:ascii="微软雅黑" w:hAnsi="微软雅黑" w:eastAsia="微软雅黑"/>
          <w:sz w:val="22"/>
        </w:rPr>
        <w:t>2026年4月</w:t>
      </w:r>
    </w:p>
    <w:p w14:paraId="636A7AC2">
      <w:r>
        <w:br w:type="page"/>
      </w:r>
    </w:p>
    <w:p w14:paraId="65D51661">
      <w:pPr>
        <w:pStyle w:val="3"/>
      </w:pPr>
      <w:r>
        <w:rPr>
          <w:rFonts w:ascii="微软雅黑" w:hAnsi="微软雅黑" w:eastAsia="微软雅黑"/>
          <w:color w:val="1F3864"/>
        </w:rPr>
        <w:t>一、模块概述</w:t>
      </w:r>
    </w:p>
    <w:p w14:paraId="275364D6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反欺诈是消费金融风控中最具对抗性的领域。欺诈分子不断升级作案手法，从个人欺诈到团伙作案、从伪造身份到中介代办，风控团队需要建立多层次的欺诈识别体系，持续对抗各类黑产。</w:t>
      </w:r>
    </w:p>
    <w:p w14:paraId="1E82DA9E">
      <w:pPr>
        <w:pStyle w:val="3"/>
      </w:pPr>
      <w:r>
        <w:rPr>
          <w:rFonts w:ascii="微软雅黑" w:hAnsi="微软雅黑" w:eastAsia="微软雅黑"/>
          <w:color w:val="1F3864"/>
        </w:rPr>
        <w:t>二、欺诈类型分类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5D1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25E4AA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欺诈类型</w:t>
            </w:r>
          </w:p>
        </w:tc>
        <w:tc>
          <w:tcPr>
            <w:tcW w:w="2268" w:type="dxa"/>
            <w:shd w:val="clear" w:color="auto" w:fill="2E75B6"/>
          </w:tcPr>
          <w:p w14:paraId="1DEC38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作案手法</w:t>
            </w:r>
          </w:p>
        </w:tc>
        <w:tc>
          <w:tcPr>
            <w:tcW w:w="2268" w:type="dxa"/>
            <w:shd w:val="clear" w:color="auto" w:fill="2E75B6"/>
          </w:tcPr>
          <w:p w14:paraId="423D95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风险特征</w:t>
            </w:r>
          </w:p>
        </w:tc>
        <w:tc>
          <w:tcPr>
            <w:tcW w:w="2268" w:type="dxa"/>
            <w:shd w:val="clear" w:color="auto" w:fill="2E75B6"/>
          </w:tcPr>
          <w:p w14:paraId="1C8B77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危害程度</w:t>
            </w:r>
          </w:p>
        </w:tc>
      </w:tr>
      <w:tr w14:paraId="1C72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008E58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身份欺诈</w:t>
            </w:r>
          </w:p>
        </w:tc>
        <w:tc>
          <w:tcPr>
            <w:tcW w:w="2268" w:type="dxa"/>
            <w:shd w:val="clear" w:color="auto" w:fill="F2F7FF"/>
          </w:tcPr>
          <w:p w14:paraId="6474AA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使用伪造/盗用身份证件申请贷款</w:t>
            </w:r>
          </w:p>
        </w:tc>
        <w:tc>
          <w:tcPr>
            <w:tcW w:w="2268" w:type="dxa"/>
            <w:shd w:val="clear" w:color="auto" w:fill="F2F7FF"/>
          </w:tcPr>
          <w:p w14:paraId="51F13A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人脸识别异常</w:t>
            </w:r>
            <w:r>
              <w:rPr>
                <w:rFonts w:hint="eastAsia"/>
                <w:sz w:val="20"/>
                <w:lang w:val="en-US" w:eastAsia="zh-CN"/>
              </w:rPr>
              <w:t>(建人脸库)</w:t>
            </w:r>
            <w:r>
              <w:rPr>
                <w:rFonts w:ascii="微软雅黑" w:hAnsi="微软雅黑" w:eastAsia="微软雅黑"/>
                <w:sz w:val="20"/>
              </w:rPr>
              <w:t>、身份证件异常</w:t>
            </w:r>
          </w:p>
        </w:tc>
        <w:tc>
          <w:tcPr>
            <w:tcW w:w="2268" w:type="dxa"/>
            <w:shd w:val="clear" w:color="auto" w:fill="F2F7FF"/>
          </w:tcPr>
          <w:p w14:paraId="3901AC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</w:tr>
      <w:tr w14:paraId="5242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71CD9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信息欺诈</w:t>
            </w:r>
          </w:p>
        </w:tc>
        <w:tc>
          <w:tcPr>
            <w:tcW w:w="2268" w:type="dxa"/>
            <w:shd w:val="clear" w:color="auto" w:fill="FFFFFF"/>
          </w:tcPr>
          <w:p w14:paraId="0645F3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提供虚假收入/工作/联系人信息</w:t>
            </w:r>
          </w:p>
        </w:tc>
        <w:tc>
          <w:tcPr>
            <w:tcW w:w="2268" w:type="dxa"/>
            <w:shd w:val="clear" w:color="auto" w:fill="FFFFFF"/>
          </w:tcPr>
          <w:p w14:paraId="4BFF0E5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信息逻辑矛盾、无法核实</w:t>
            </w:r>
            <w:r>
              <w:rPr>
                <w:rFonts w:hint="eastAsia"/>
                <w:sz w:val="20"/>
                <w:lang w:val="en-US" w:eastAsia="zh-CN"/>
              </w:rPr>
              <w:t>(交叉校验)</w:t>
            </w:r>
          </w:p>
        </w:tc>
        <w:tc>
          <w:tcPr>
            <w:tcW w:w="2268" w:type="dxa"/>
            <w:shd w:val="clear" w:color="auto" w:fill="FFFFFF"/>
          </w:tcPr>
          <w:p w14:paraId="73CCE4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</w:tr>
      <w:tr w14:paraId="4FDA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574741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团伙欺诈</w:t>
            </w:r>
          </w:p>
        </w:tc>
        <w:tc>
          <w:tcPr>
            <w:tcW w:w="2268" w:type="dxa"/>
            <w:shd w:val="clear" w:color="auto" w:fill="F2F7FF"/>
          </w:tcPr>
          <w:p w14:paraId="7DF784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多人协作批量申请，共享设备/IP</w:t>
            </w:r>
          </w:p>
        </w:tc>
        <w:tc>
          <w:tcPr>
            <w:tcW w:w="2268" w:type="dxa"/>
            <w:shd w:val="clear" w:color="auto" w:fill="F2F7FF"/>
          </w:tcPr>
          <w:p w14:paraId="26A10F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设备关联、地址聚集、申请时间集中</w:t>
            </w:r>
          </w:p>
        </w:tc>
        <w:tc>
          <w:tcPr>
            <w:tcW w:w="2268" w:type="dxa"/>
            <w:shd w:val="clear" w:color="auto" w:fill="F2F7FF"/>
          </w:tcPr>
          <w:p w14:paraId="4D7271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极高</w:t>
            </w:r>
          </w:p>
        </w:tc>
      </w:tr>
      <w:tr w14:paraId="28BE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9DD30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中介代办</w:t>
            </w:r>
          </w:p>
        </w:tc>
        <w:tc>
          <w:tcPr>
            <w:tcW w:w="2268" w:type="dxa"/>
            <w:shd w:val="clear" w:color="auto" w:fill="FFFFFF"/>
          </w:tcPr>
          <w:p w14:paraId="237967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专业中介代办，收取高额手续费</w:t>
            </w:r>
          </w:p>
        </w:tc>
        <w:tc>
          <w:tcPr>
            <w:tcW w:w="2268" w:type="dxa"/>
            <w:shd w:val="clear" w:color="auto" w:fill="FFFFFF"/>
          </w:tcPr>
          <w:p w14:paraId="7AA7E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通话记录异常、授权时间异常</w:t>
            </w:r>
          </w:p>
        </w:tc>
        <w:tc>
          <w:tcPr>
            <w:tcW w:w="2268" w:type="dxa"/>
            <w:shd w:val="clear" w:color="auto" w:fill="FFFFFF"/>
          </w:tcPr>
          <w:p w14:paraId="679BE7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</w:tr>
      <w:tr w14:paraId="6C94F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39A8F8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洗钱欺诈</w:t>
            </w:r>
          </w:p>
        </w:tc>
        <w:tc>
          <w:tcPr>
            <w:tcW w:w="2268" w:type="dxa"/>
            <w:shd w:val="clear" w:color="auto" w:fill="F2F7FF"/>
          </w:tcPr>
          <w:p w14:paraId="213BCF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利用贷款进行资金清洗</w:t>
            </w:r>
          </w:p>
        </w:tc>
        <w:tc>
          <w:tcPr>
            <w:tcW w:w="2268" w:type="dxa"/>
            <w:shd w:val="clear" w:color="auto" w:fill="F2F7FF"/>
          </w:tcPr>
          <w:p w14:paraId="522FAB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大额快进快出、交易对手集中</w:t>
            </w:r>
          </w:p>
        </w:tc>
        <w:tc>
          <w:tcPr>
            <w:tcW w:w="2268" w:type="dxa"/>
            <w:shd w:val="clear" w:color="auto" w:fill="F2F7FF"/>
          </w:tcPr>
          <w:p w14:paraId="68C5B7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极高</w:t>
            </w:r>
          </w:p>
        </w:tc>
      </w:tr>
    </w:tbl>
    <w:p w14:paraId="64827513"/>
    <w:p w14:paraId="470380DD">
      <w:pPr>
        <w:pStyle w:val="3"/>
      </w:pPr>
      <w:r>
        <w:rPr>
          <w:rFonts w:ascii="微软雅黑" w:hAnsi="微软雅黑" w:eastAsia="微软雅黑"/>
          <w:color w:val="1F3864"/>
        </w:rPr>
        <w:t>三、技术体系架构</w:t>
      </w:r>
    </w:p>
    <w:p w14:paraId="75DE9CEF">
      <w:pPr>
        <w:pStyle w:val="4"/>
      </w:pPr>
      <w:r>
        <w:rPr>
          <w:rFonts w:ascii="微软雅黑" w:hAnsi="微软雅黑" w:eastAsia="微软雅黑"/>
          <w:color w:val="2E75B6"/>
        </w:rPr>
        <w:t>3.1 设备指纹技术</w:t>
      </w:r>
    </w:p>
    <w:p w14:paraId="06A922B1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设备指纹是反欺诈的基础设施，通过采集设备多维特征生成唯一标识，用于关联分析：</w:t>
      </w:r>
    </w:p>
    <w:p w14:paraId="68F0AE84">
      <w:pPr>
        <w:pStyle w:val="16"/>
      </w:pPr>
      <w:r>
        <w:rPr>
          <w:rFonts w:ascii="微软雅黑" w:hAnsi="微软雅黑" w:eastAsia="微软雅黑"/>
          <w:sz w:val="21"/>
        </w:rPr>
        <w:t>硬件特征：设备型号、CPU、内存、IMEI</w:t>
      </w:r>
      <w:r>
        <w:rPr>
          <w:rFonts w:hint="eastAsia"/>
          <w:sz w:val="21"/>
          <w:lang w:val="en-US" w:eastAsia="zh-CN"/>
        </w:rPr>
        <w:t>(唯一性)</w:t>
      </w:r>
      <w:r>
        <w:rPr>
          <w:rFonts w:ascii="微软雅黑" w:hAnsi="微软雅黑" w:eastAsia="微软雅黑"/>
          <w:sz w:val="21"/>
        </w:rPr>
        <w:t>、MAC地址</w:t>
      </w:r>
    </w:p>
    <w:p w14:paraId="45D7FE20">
      <w:pPr>
        <w:pStyle w:val="16"/>
      </w:pPr>
      <w:r>
        <w:rPr>
          <w:rFonts w:ascii="微软雅黑" w:hAnsi="微软雅黑" w:eastAsia="微软雅黑"/>
          <w:sz w:val="21"/>
        </w:rPr>
        <w:t>软件特征：操作系统版本、</w:t>
      </w:r>
      <w:r>
        <w:rPr>
          <w:rFonts w:hint="eastAsia"/>
          <w:sz w:val="21"/>
          <w:lang w:val="en-US" w:eastAsia="zh-CN"/>
        </w:rPr>
        <w:t>手机品牌&amp;型号</w:t>
      </w:r>
      <w:r>
        <w:rPr>
          <w:rFonts w:ascii="微软雅黑" w:hAnsi="微软雅黑" w:eastAsia="微软雅黑"/>
          <w:sz w:val="21"/>
        </w:rPr>
        <w:t>、安装应用列表</w:t>
      </w:r>
    </w:p>
    <w:p w14:paraId="09ED3169">
      <w:pPr>
        <w:pStyle w:val="16"/>
      </w:pPr>
      <w:r>
        <w:rPr>
          <w:rFonts w:ascii="微软雅黑" w:hAnsi="微软雅黑" w:eastAsia="微软雅黑"/>
          <w:sz w:val="21"/>
        </w:rPr>
        <w:t>网络特征：IP地址、Wi-Fi信息、GPS定位、基站信息</w:t>
      </w:r>
    </w:p>
    <w:p w14:paraId="101ED911">
      <w:pPr>
        <w:pStyle w:val="16"/>
      </w:pPr>
      <w:r>
        <w:rPr>
          <w:rFonts w:ascii="微软雅黑" w:hAnsi="微软雅黑" w:eastAsia="微软雅黑"/>
          <w:sz w:val="21"/>
        </w:rPr>
        <w:t>行为特征：操作习惯（点击频率、滑动速度、输入节奏）</w:t>
      </w:r>
    </w:p>
    <w:p w14:paraId="44658826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核心技术挑战：设备ID篡改检测、模拟器识别、VPN/代理检测。</w:t>
      </w:r>
    </w:p>
    <w:p w14:paraId="7A5309FF">
      <w:pPr>
        <w:pStyle w:val="4"/>
      </w:pPr>
      <w:r>
        <w:rPr>
          <w:rFonts w:ascii="微软雅黑" w:hAnsi="微软雅黑" w:eastAsia="微软雅黑"/>
          <w:color w:val="2E75B6"/>
        </w:rPr>
        <w:t>3.2 图数据库反欺诈</w:t>
      </w:r>
    </w:p>
    <w:p w14:paraId="47BDD525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图数据库是团伙欺诈识别的核心工具，通过构建关系网络发现隐藏的关联关系：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D8F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4DBB93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图元素</w:t>
            </w:r>
          </w:p>
        </w:tc>
        <w:tc>
          <w:tcPr>
            <w:tcW w:w="2268" w:type="dxa"/>
            <w:shd w:val="clear" w:color="auto" w:fill="2E75B6"/>
          </w:tcPr>
          <w:p w14:paraId="191EDF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节点类型</w:t>
            </w:r>
          </w:p>
        </w:tc>
        <w:tc>
          <w:tcPr>
            <w:tcW w:w="2268" w:type="dxa"/>
            <w:shd w:val="clear" w:color="auto" w:fill="2E75B6"/>
          </w:tcPr>
          <w:p w14:paraId="59ED49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边类型</w:t>
            </w:r>
          </w:p>
        </w:tc>
        <w:tc>
          <w:tcPr>
            <w:tcW w:w="2268" w:type="dxa"/>
            <w:shd w:val="clear" w:color="auto" w:fill="2E75B6"/>
          </w:tcPr>
          <w:p w14:paraId="645726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分析能力</w:t>
            </w:r>
          </w:p>
        </w:tc>
      </w:tr>
      <w:tr w14:paraId="7E395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4943AA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人-设备图</w:t>
            </w:r>
          </w:p>
        </w:tc>
        <w:tc>
          <w:tcPr>
            <w:tcW w:w="2268" w:type="dxa"/>
            <w:shd w:val="clear" w:color="auto" w:fill="F2F7FF"/>
          </w:tcPr>
          <w:p w14:paraId="46ACEB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身份证号、手机号、设备ID</w:t>
            </w:r>
          </w:p>
        </w:tc>
        <w:tc>
          <w:tcPr>
            <w:tcW w:w="2268" w:type="dxa"/>
            <w:shd w:val="clear" w:color="auto" w:fill="F2F7FF"/>
          </w:tcPr>
          <w:p w14:paraId="5FCED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使用关系、同设备关系</w:t>
            </w:r>
          </w:p>
        </w:tc>
        <w:tc>
          <w:tcPr>
            <w:tcW w:w="2268" w:type="dxa"/>
            <w:shd w:val="clear" w:color="auto" w:fill="F2F7FF"/>
          </w:tcPr>
          <w:p w14:paraId="61FCED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设备共享检测</w:t>
            </w:r>
          </w:p>
        </w:tc>
      </w:tr>
      <w:tr w14:paraId="55906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9F984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人-人图</w:t>
            </w:r>
          </w:p>
        </w:tc>
        <w:tc>
          <w:tcPr>
            <w:tcW w:w="2268" w:type="dxa"/>
            <w:shd w:val="clear" w:color="auto" w:fill="FFFFFF"/>
          </w:tcPr>
          <w:p w14:paraId="76BFD4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身份证号、手机号</w:t>
            </w:r>
          </w:p>
        </w:tc>
        <w:tc>
          <w:tcPr>
            <w:tcW w:w="2268" w:type="dxa"/>
            <w:shd w:val="clear" w:color="auto" w:fill="FFFFFF"/>
          </w:tcPr>
          <w:p w14:paraId="37330B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联系人关系、同地址关系</w:t>
            </w:r>
          </w:p>
        </w:tc>
        <w:tc>
          <w:tcPr>
            <w:tcW w:w="2268" w:type="dxa"/>
            <w:shd w:val="clear" w:color="auto" w:fill="FFFFFF"/>
          </w:tcPr>
          <w:p w14:paraId="789BCC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团伙发现</w:t>
            </w:r>
          </w:p>
        </w:tc>
      </w:tr>
      <w:tr w14:paraId="19B2F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1B383A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资金图</w:t>
            </w:r>
          </w:p>
        </w:tc>
        <w:tc>
          <w:tcPr>
            <w:tcW w:w="2268" w:type="dxa"/>
            <w:shd w:val="clear" w:color="auto" w:fill="F2F7FF"/>
          </w:tcPr>
          <w:p w14:paraId="33DCEE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银行卡、交易流水</w:t>
            </w:r>
          </w:p>
        </w:tc>
        <w:tc>
          <w:tcPr>
            <w:tcW w:w="2268" w:type="dxa"/>
            <w:shd w:val="clear" w:color="auto" w:fill="F2F7FF"/>
          </w:tcPr>
          <w:p w14:paraId="2B99BE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转账关系</w:t>
            </w:r>
          </w:p>
        </w:tc>
        <w:tc>
          <w:tcPr>
            <w:tcW w:w="2268" w:type="dxa"/>
            <w:shd w:val="clear" w:color="auto" w:fill="F2F7FF"/>
          </w:tcPr>
          <w:p w14:paraId="5C9C7D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资金流向追踪</w:t>
            </w:r>
          </w:p>
        </w:tc>
      </w:tr>
      <w:tr w14:paraId="6682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21B2C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IP图</w:t>
            </w:r>
          </w:p>
        </w:tc>
        <w:tc>
          <w:tcPr>
            <w:tcW w:w="2268" w:type="dxa"/>
            <w:shd w:val="clear" w:color="auto" w:fill="FFFFFF"/>
          </w:tcPr>
          <w:p w14:paraId="7A771B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IP地址、设备ID</w:t>
            </w:r>
          </w:p>
        </w:tc>
        <w:tc>
          <w:tcPr>
            <w:tcW w:w="2268" w:type="dxa"/>
            <w:shd w:val="clear" w:color="auto" w:fill="FFFFFF"/>
          </w:tcPr>
          <w:p w14:paraId="5B5755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同IP关系</w:t>
            </w:r>
          </w:p>
        </w:tc>
        <w:tc>
          <w:tcPr>
            <w:tcW w:w="2268" w:type="dxa"/>
            <w:shd w:val="clear" w:color="auto" w:fill="FFFFFF"/>
          </w:tcPr>
          <w:p w14:paraId="759F3E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批量注册检测</w:t>
            </w:r>
          </w:p>
        </w:tc>
      </w:tr>
    </w:tbl>
    <w:p w14:paraId="6A89DBF1"/>
    <w:p w14:paraId="05FCB7CA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核心算法：Louvain社区发现算法识别高密度关联群体，PageRank识别核心节点，联通子图分析发现独立团伙。</w:t>
      </w:r>
    </w:p>
    <w:p w14:paraId="00146E8B">
      <w:pPr>
        <w:pStyle w:val="4"/>
      </w:pPr>
      <w:r>
        <w:rPr>
          <w:rFonts w:ascii="微软雅黑" w:hAnsi="微软雅黑" w:eastAsia="微软雅黑"/>
          <w:color w:val="2E75B6"/>
        </w:rPr>
        <w:t>3.3 机器学习反欺诈模型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ED54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72ADEF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模型类型</w:t>
            </w:r>
          </w:p>
        </w:tc>
        <w:tc>
          <w:tcPr>
            <w:tcW w:w="2268" w:type="dxa"/>
            <w:shd w:val="clear" w:color="auto" w:fill="2E75B6"/>
          </w:tcPr>
          <w:p w14:paraId="4532BB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w="2268" w:type="dxa"/>
            <w:shd w:val="clear" w:color="auto" w:fill="2E75B6"/>
          </w:tcPr>
          <w:p w14:paraId="41CBCF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特征维度</w:t>
            </w:r>
          </w:p>
        </w:tc>
        <w:tc>
          <w:tcPr>
            <w:tcW w:w="2268" w:type="dxa"/>
            <w:shd w:val="clear" w:color="auto" w:fill="2E75B6"/>
          </w:tcPr>
          <w:p w14:paraId="7ED264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评估指标</w:t>
            </w:r>
          </w:p>
        </w:tc>
      </w:tr>
      <w:tr w14:paraId="24898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647FB1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监督学习(XGBoost)</w:t>
            </w:r>
          </w:p>
        </w:tc>
        <w:tc>
          <w:tcPr>
            <w:tcW w:w="2268" w:type="dxa"/>
            <w:shd w:val="clear" w:color="auto" w:fill="F2F7FF"/>
          </w:tcPr>
          <w:p w14:paraId="69CA24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已知欺诈模式识别</w:t>
            </w:r>
          </w:p>
        </w:tc>
        <w:tc>
          <w:tcPr>
            <w:tcW w:w="2268" w:type="dxa"/>
            <w:shd w:val="clear" w:color="auto" w:fill="F2F7FF"/>
          </w:tcPr>
          <w:p w14:paraId="630079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申请特征+设备特征+图特征</w:t>
            </w:r>
          </w:p>
        </w:tc>
        <w:tc>
          <w:tcPr>
            <w:tcW w:w="2268" w:type="dxa"/>
            <w:shd w:val="clear" w:color="auto" w:fill="F2F7FF"/>
          </w:tcPr>
          <w:p w14:paraId="0270FE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精准率&gt;</w:t>
            </w:r>
            <w:r>
              <w:rPr>
                <w:rFonts w:hint="eastAsia"/>
                <w:sz w:val="20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sz w:val="20"/>
              </w:rPr>
              <w:t xml:space="preserve">0%, </w:t>
            </w:r>
            <w:r>
              <w:rPr>
                <w:rFonts w:hint="eastAsia"/>
                <w:sz w:val="20"/>
                <w:lang w:val="en-US" w:eastAsia="zh-CN"/>
              </w:rPr>
              <w:t>覆盖</w:t>
            </w:r>
            <w:r>
              <w:rPr>
                <w:rFonts w:ascii="微软雅黑" w:hAnsi="微软雅黑" w:eastAsia="微软雅黑"/>
                <w:sz w:val="20"/>
              </w:rPr>
              <w:t>率&gt;</w:t>
            </w:r>
            <w:r>
              <w:rPr>
                <w:rFonts w:hint="eastAsia"/>
                <w:sz w:val="20"/>
                <w:lang w:val="en-US" w:eastAsia="zh-CN"/>
              </w:rPr>
              <w:t>90</w:t>
            </w:r>
            <w:r>
              <w:rPr>
                <w:rFonts w:ascii="微软雅黑" w:hAnsi="微软雅黑" w:eastAsia="微软雅黑"/>
                <w:sz w:val="20"/>
              </w:rPr>
              <w:t>%</w:t>
            </w:r>
          </w:p>
        </w:tc>
      </w:tr>
      <w:tr w14:paraId="37BB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B0440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无监督学习(Isolation Forest)</w:t>
            </w:r>
          </w:p>
        </w:tc>
        <w:tc>
          <w:tcPr>
            <w:tcW w:w="2268" w:type="dxa"/>
            <w:shd w:val="clear" w:color="auto" w:fill="FFFFFF"/>
          </w:tcPr>
          <w:p w14:paraId="72EB8E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新型欺诈模式发现</w:t>
            </w:r>
          </w:p>
        </w:tc>
        <w:tc>
          <w:tcPr>
            <w:tcW w:w="2268" w:type="dxa"/>
            <w:shd w:val="clear" w:color="auto" w:fill="FFFFFF"/>
          </w:tcPr>
          <w:p w14:paraId="440774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行为异常特征</w:t>
            </w:r>
          </w:p>
        </w:tc>
        <w:tc>
          <w:tcPr>
            <w:tcW w:w="2268" w:type="dxa"/>
            <w:shd w:val="clear" w:color="auto" w:fill="FFFFFF"/>
          </w:tcPr>
          <w:p w14:paraId="29C4F0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异常检出率&gt;80%</w:t>
            </w:r>
          </w:p>
        </w:tc>
      </w:tr>
      <w:tr w14:paraId="12B0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78FF52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图神经网络(GNN)</w:t>
            </w:r>
          </w:p>
        </w:tc>
        <w:tc>
          <w:tcPr>
            <w:tcW w:w="2268" w:type="dxa"/>
            <w:shd w:val="clear" w:color="auto" w:fill="F2F7FF"/>
          </w:tcPr>
          <w:p w14:paraId="36ACDA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团伙欺诈识别</w:t>
            </w:r>
          </w:p>
        </w:tc>
        <w:tc>
          <w:tcPr>
            <w:tcW w:w="2268" w:type="dxa"/>
            <w:shd w:val="clear" w:color="auto" w:fill="F2F7FF"/>
          </w:tcPr>
          <w:p w14:paraId="5D3910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图结构特征+节点属性</w:t>
            </w:r>
          </w:p>
        </w:tc>
        <w:tc>
          <w:tcPr>
            <w:tcW w:w="2268" w:type="dxa"/>
            <w:shd w:val="clear" w:color="auto" w:fill="F2F7FF"/>
          </w:tcPr>
          <w:p w14:paraId="3EFF94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团伙识别召回率&gt;85%</w:t>
            </w:r>
          </w:p>
        </w:tc>
      </w:tr>
      <w:tr w14:paraId="756D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12401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知识图谱推理</w:t>
            </w:r>
          </w:p>
        </w:tc>
        <w:tc>
          <w:tcPr>
            <w:tcW w:w="2268" w:type="dxa"/>
            <w:shd w:val="clear" w:color="auto" w:fill="FFFFFF"/>
          </w:tcPr>
          <w:p w14:paraId="3D8830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复杂欺诈链路挖掘</w:t>
            </w:r>
          </w:p>
        </w:tc>
        <w:tc>
          <w:tcPr>
            <w:tcW w:w="2268" w:type="dxa"/>
            <w:shd w:val="clear" w:color="auto" w:fill="FFFFFF"/>
          </w:tcPr>
          <w:p w14:paraId="0CA4C6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规则+图推理</w:t>
            </w:r>
          </w:p>
        </w:tc>
        <w:tc>
          <w:tcPr>
            <w:tcW w:w="2268" w:type="dxa"/>
            <w:shd w:val="clear" w:color="auto" w:fill="FFFFFF"/>
          </w:tcPr>
          <w:p w14:paraId="06DAE6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链路还原率&gt;75%</w:t>
            </w:r>
          </w:p>
        </w:tc>
      </w:tr>
    </w:tbl>
    <w:p w14:paraId="7E579B10"/>
    <w:p w14:paraId="40B3F725">
      <w:pPr>
        <w:pStyle w:val="3"/>
      </w:pPr>
      <w:r>
        <w:rPr>
          <w:rFonts w:ascii="微软雅黑" w:hAnsi="微软雅黑" w:eastAsia="微软雅黑"/>
          <w:color w:val="1F3864"/>
        </w:rPr>
        <w:t>四、实战案例</w:t>
      </w:r>
    </w:p>
    <w:p w14:paraId="2012E2AB">
      <w:pPr>
        <w:pStyle w:val="4"/>
      </w:pPr>
      <w:r>
        <w:rPr>
          <w:rFonts w:ascii="微软雅黑" w:hAnsi="微软雅黑" w:eastAsia="微软雅黑"/>
          <w:color w:val="2E75B6"/>
        </w:rPr>
        <w:t>案例</w:t>
      </w:r>
      <w:r>
        <w:rPr>
          <w:rFonts w:hint="eastAsia" w:ascii="微软雅黑" w:hAnsi="微软雅黑" w:eastAsia="微软雅黑"/>
          <w:color w:val="2E75B6"/>
          <w:lang w:val="en-US" w:eastAsia="zh-CN"/>
        </w:rPr>
        <w:t>1</w:t>
      </w:r>
      <w:bookmarkStart w:id="0" w:name="_GoBack"/>
      <w:bookmarkEnd w:id="0"/>
      <w:r>
        <w:rPr>
          <w:rFonts w:ascii="微软雅黑" w:hAnsi="微软雅黑" w:eastAsia="微软雅黑"/>
          <w:color w:val="2E75B6"/>
        </w:rPr>
        <w:t>：活体检测与身份核验</w:t>
      </w:r>
    </w:p>
    <w:p w14:paraId="4AFA6DC0">
      <w:pPr>
        <w:spacing w:after="80"/>
        <w:ind w:left="0"/>
      </w:pPr>
      <w:r>
        <w:rPr>
          <w:rFonts w:ascii="微软雅黑" w:hAnsi="微软雅黑" w:eastAsia="微软雅黑"/>
          <w:b/>
          <w:sz w:val="21"/>
        </w:rPr>
        <w:t>【背景】某平台遭遇身份盗用攻击，欺诈分子使用AI换脸技术绕过人脸识别。</w:t>
      </w:r>
    </w:p>
    <w:p w14:paraId="7F4FDD4D">
      <w:pPr>
        <w:spacing w:after="80"/>
        <w:ind w:left="283"/>
      </w:pPr>
      <w:r>
        <w:rPr>
          <w:rFonts w:ascii="微软雅黑" w:hAnsi="微软雅黑" w:eastAsia="微软雅黑"/>
          <w:b w:val="0"/>
          <w:sz w:val="21"/>
        </w:rPr>
        <w:t>【方案】升级活体检测系统，增加3D深度检测、红外活体检测、唇语配合动作检测三重验证。同时接入公安部人脸比对接口进行二次核验。</w:t>
      </w:r>
    </w:p>
    <w:p w14:paraId="021FC5DA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【效果】身份盗用欺诈量下降95%，假体攻击识别率&gt;99%，用户体验无明显下降(通过率&gt;98%)。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9B6A6D"/>
    <w:rsid w:val="0F076D6F"/>
    <w:rsid w:val="205937F1"/>
    <w:rsid w:val="21C11884"/>
    <w:rsid w:val="4C4A6242"/>
    <w:rsid w:val="54837309"/>
    <w:rsid w:val="5FBA1AF2"/>
    <w:rsid w:val="608F3271"/>
    <w:rsid w:val="781D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166</Words>
  <Characters>169</Characters>
  <DocSecurity>0</DocSecurity>
  <Lines>0</Lines>
  <Paragraphs>0</Paragraphs>
  <ScaleCrop>false</ScaleCrop>
  <LinksUpToDate>false</LinksUpToDate>
  <CharactersWithSpaces>169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2026-04-03T04:48:36Z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623C22FD99D949A298A1923EE48DD0C5_12</vt:lpwstr>
  </property>
</Properties>
</file>