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E7F2D">
      <w:pPr>
        <w:spacing w:before="1400" w:after="200"/>
        <w:jc w:val="center"/>
      </w:pPr>
      <w:r>
        <w:rPr>
          <w:rFonts w:ascii="微软雅黑" w:hAnsi="微软雅黑" w:eastAsia="微软雅黑"/>
          <w:b/>
          <w:color w:val="1F4E79"/>
          <w:sz w:val="72"/>
        </w:rPr>
        <w:t>消费金融风控体系</w:t>
      </w:r>
    </w:p>
    <w:p w14:paraId="3F6CCBBA">
      <w:pPr>
        <w:spacing w:before="0" w:after="300"/>
        <w:jc w:val="center"/>
      </w:pPr>
      <w:r>
        <w:rPr>
          <w:rFonts w:ascii="微软雅黑" w:hAnsi="微软雅黑" w:eastAsia="微软雅黑"/>
          <w:b/>
          <w:color w:val="2E75B6"/>
          <w:sz w:val="56"/>
        </w:rPr>
        <w:t>全景报告</w:t>
      </w:r>
    </w:p>
    <w:p w14:paraId="5037A4D5">
      <w:pPr>
        <w:spacing w:before="0" w:after="400"/>
        <w:jc w:val="center"/>
      </w:pPr>
      <w:bookmarkStart w:id="0" w:name="_GoBack"/>
      <w:bookmarkEnd w:id="0"/>
      <w:r>
        <w:rPr>
          <w:rFonts w:ascii="微软雅黑" w:hAnsi="微软雅黑" w:eastAsia="微软雅黑"/>
          <w:color w:val="888888"/>
          <w:sz w:val="28"/>
        </w:rPr>
        <w:t xml:space="preserve">  全流程 · 八大模块 · 二十四实战案例</w:t>
      </w:r>
    </w:p>
    <w:p w14:paraId="1AD961A8">
      <w:pPr>
        <w:spacing w:before="0" w:after="200"/>
        <w:jc w:val="center"/>
      </w:pPr>
      <w:r>
        <w:rPr>
          <w:rFonts w:ascii="微软雅黑" w:hAnsi="微软雅黑" w:eastAsia="微软雅黑"/>
          <w:color w:val="888888"/>
          <w:sz w:val="22"/>
        </w:rPr>
        <w:t>版本：V1.0          日期：2026年3月</w:t>
      </w:r>
    </w:p>
    <w:p w14:paraId="4A84D020">
      <w:r>
        <w:br w:type="page"/>
      </w:r>
    </w:p>
    <w:p w14:paraId="72733709">
      <w:pPr>
        <w:pageBreakBefore/>
        <w:shd w:val="clear" w:color="auto" w:fill="1F4E79"/>
        <w:spacing w:before="0" w:after="120"/>
        <w:ind w:left="200"/>
      </w:pPr>
      <w:r>
        <w:rPr>
          <w:rFonts w:ascii="微软雅黑" w:hAnsi="微软雅黑" w:eastAsia="微软雅黑"/>
          <w:b/>
          <w:color w:val="FFFFFF"/>
          <w:sz w:val="36"/>
        </w:rPr>
        <w:t>一、消费金融风控体系总览</w:t>
      </w:r>
    </w:p>
    <w:p w14:paraId="3333EF49">
      <w:pPr>
        <w:spacing w:before="40" w:after="40"/>
        <w:ind w:left="120"/>
      </w:pPr>
      <w:r>
        <w:rPr>
          <w:rFonts w:ascii="微软雅黑" w:hAnsi="微软雅黑" w:eastAsia="微软雅黑"/>
          <w:b w:val="0"/>
          <w:i w:val="0"/>
          <w:sz w:val="21"/>
        </w:rPr>
        <w:t>消费金融业务面向个人客户提供信用贷款、分期付款、小额信贷等产品</w:t>
      </w:r>
      <w:r>
        <w:rPr>
          <w:rFonts w:hint="eastAsia" w:ascii="微软雅黑" w:hAnsi="微软雅黑" w:eastAsia="微软雅黑"/>
          <w:b w:val="0"/>
          <w:i w:val="0"/>
          <w:sz w:val="21"/>
          <w:lang w:eastAsia="zh-CN"/>
        </w:rPr>
        <w:t>；</w:t>
      </w:r>
      <w:r>
        <w:rPr>
          <w:rFonts w:hint="eastAsia" w:ascii="微软雅黑" w:hAnsi="微软雅黑" w:eastAsia="微软雅黑"/>
          <w:b w:val="0"/>
          <w:i w:val="0"/>
          <w:sz w:val="21"/>
          <w:lang w:val="en-US" w:eastAsia="zh-CN"/>
        </w:rPr>
        <w:t>用户数</w:t>
      </w:r>
      <w:r>
        <w:rPr>
          <w:rFonts w:ascii="微软雅黑" w:hAnsi="微软雅黑" w:eastAsia="微软雅黑"/>
          <w:b w:val="0"/>
          <w:i w:val="0"/>
          <w:sz w:val="21"/>
        </w:rPr>
        <w:t>量大、单笔金额小、风险分散但总量高的</w:t>
      </w:r>
      <w:r>
        <w:rPr>
          <w:rFonts w:hint="eastAsia" w:ascii="微软雅黑" w:hAnsi="微软雅黑" w:eastAsia="微软雅黑"/>
          <w:b w:val="0"/>
          <w:i w:val="0"/>
          <w:sz w:val="21"/>
          <w:lang w:val="en-US" w:eastAsia="zh-CN"/>
        </w:rPr>
        <w:t>特征</w:t>
      </w:r>
      <w:r>
        <w:rPr>
          <w:rFonts w:ascii="微软雅黑" w:hAnsi="微软雅黑" w:eastAsia="微软雅黑"/>
          <w:b w:val="0"/>
          <w:i w:val="0"/>
          <w:sz w:val="21"/>
        </w:rPr>
        <w:t>。完善的风控体系是消费金融机构盈利和稳健经营的核心保障。</w:t>
      </w:r>
    </w:p>
    <w:p w14:paraId="313594C3">
      <w:pPr>
        <w:spacing w:before="30" w:after="30"/>
      </w:pPr>
    </w:p>
    <w:p w14:paraId="1A9D3A63">
      <w:pPr>
        <w:shd w:val="clear" w:color="auto" w:fill="2E75B6"/>
        <w:spacing w:before="200" w:after="80"/>
        <w:ind w:left="120"/>
      </w:pPr>
      <w:r>
        <w:rPr>
          <w:rFonts w:ascii="微软雅黑" w:hAnsi="微软雅黑" w:eastAsia="微软雅黑"/>
          <w:b/>
          <w:color w:val="FFFFFF"/>
          <w:sz w:val="28"/>
        </w:rPr>
        <w:t>1.1 风控体系框架</w:t>
      </w:r>
    </w:p>
    <w:p w14:paraId="775E0D25">
      <w:pPr>
        <w:spacing w:before="40" w:after="40"/>
        <w:ind w:left="120"/>
      </w:pPr>
      <w:r>
        <w:rPr>
          <w:rFonts w:ascii="微软雅黑" w:hAnsi="微软雅黑" w:eastAsia="微软雅黑"/>
          <w:b w:val="0"/>
          <w:i w:val="0"/>
          <w:sz w:val="21"/>
        </w:rPr>
        <w:t>完整的消费金融风控体系覆盖【贷前—贷中—贷后】全生命周期，由以下八大核心模块构成：</w:t>
      </w:r>
    </w:p>
    <w:p w14:paraId="027B6CC7">
      <w:pPr>
        <w:spacing w:before="30" w:after="3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3576"/>
        <w:gridCol w:w="3628"/>
      </w:tblGrid>
      <w:tr w14:paraId="7EF2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1F4E79"/>
          </w:tcPr>
          <w:p w14:paraId="5F43ADAC">
            <w:pPr>
              <w:spacing w:after="0" w:line="240" w:lineRule="auto"/>
              <w:jc w:val="center"/>
            </w:pPr>
            <w:r>
              <w:rPr>
                <w:rFonts w:ascii="微软雅黑" w:hAnsi="微软雅黑" w:eastAsia="微软雅黑"/>
                <w:b/>
                <w:color w:val="FFFFFF"/>
                <w:sz w:val="20"/>
              </w:rPr>
              <w:t>模块</w:t>
            </w:r>
          </w:p>
        </w:tc>
        <w:tc>
          <w:tcPr>
            <w:tcW w:w="3576" w:type="dxa"/>
            <w:tcBorders>
              <w:top w:val="single" w:color="BBBBBB" w:sz="4" w:space="0"/>
              <w:left w:val="single" w:color="BBBBBB" w:sz="4" w:space="0"/>
              <w:bottom w:val="single" w:color="BBBBBB" w:sz="4" w:space="0"/>
              <w:right w:val="single" w:color="BBBBBB" w:sz="4" w:space="0"/>
            </w:tcBorders>
            <w:shd w:val="clear" w:color="auto" w:fill="1F4E79"/>
          </w:tcPr>
          <w:p w14:paraId="5C1453B3">
            <w:pPr>
              <w:spacing w:after="0" w:line="240" w:lineRule="auto"/>
              <w:jc w:val="center"/>
            </w:pPr>
            <w:r>
              <w:rPr>
                <w:rFonts w:ascii="微软雅黑" w:hAnsi="微软雅黑" w:eastAsia="微软雅黑"/>
                <w:b/>
                <w:color w:val="FFFFFF"/>
                <w:sz w:val="20"/>
              </w:rPr>
              <w:t>核心目标</w:t>
            </w:r>
          </w:p>
        </w:tc>
        <w:tc>
          <w:tcPr>
            <w:tcW w:w="3628" w:type="dxa"/>
            <w:tcBorders>
              <w:top w:val="single" w:color="BBBBBB" w:sz="4" w:space="0"/>
              <w:left w:val="single" w:color="BBBBBB" w:sz="4" w:space="0"/>
              <w:bottom w:val="single" w:color="BBBBBB" w:sz="4" w:space="0"/>
              <w:right w:val="single" w:color="BBBBBB" w:sz="4" w:space="0"/>
            </w:tcBorders>
            <w:shd w:val="clear" w:color="auto" w:fill="1F4E79"/>
          </w:tcPr>
          <w:p w14:paraId="159230AC">
            <w:pPr>
              <w:spacing w:after="0" w:line="240" w:lineRule="auto"/>
              <w:jc w:val="center"/>
            </w:pPr>
            <w:r>
              <w:rPr>
                <w:rFonts w:ascii="微软雅黑" w:hAnsi="微软雅黑" w:eastAsia="微软雅黑"/>
                <w:b/>
                <w:color w:val="FFFFFF"/>
                <w:sz w:val="20"/>
              </w:rPr>
              <w:t>关键工具/方法</w:t>
            </w:r>
          </w:p>
        </w:tc>
      </w:tr>
      <w:tr w14:paraId="41EE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EBF3FB"/>
          </w:tcPr>
          <w:p w14:paraId="1BDD6829">
            <w:pPr>
              <w:spacing w:after="0" w:line="240" w:lineRule="auto"/>
            </w:pPr>
            <w:r>
              <w:rPr>
                <w:rFonts w:ascii="微软雅黑" w:hAnsi="微软雅黑" w:eastAsia="微软雅黑"/>
                <w:sz w:val="20"/>
              </w:rPr>
              <w:t>贷前准入与信用评估</w:t>
            </w:r>
          </w:p>
        </w:tc>
        <w:tc>
          <w:tcPr>
            <w:tcW w:w="3576" w:type="dxa"/>
            <w:tcBorders>
              <w:top w:val="single" w:color="BBBBBB" w:sz="4" w:space="0"/>
              <w:left w:val="single" w:color="BBBBBB" w:sz="4" w:space="0"/>
              <w:bottom w:val="single" w:color="BBBBBB" w:sz="4" w:space="0"/>
              <w:right w:val="single" w:color="BBBBBB" w:sz="4" w:space="0"/>
            </w:tcBorders>
            <w:shd w:val="clear" w:color="auto" w:fill="EBF3FB"/>
          </w:tcPr>
          <w:p w14:paraId="7AF4E9E4">
            <w:pPr>
              <w:spacing w:after="0" w:line="240" w:lineRule="auto"/>
              <w:rPr>
                <w:rFonts w:hint="default" w:eastAsia="微软雅黑"/>
                <w:lang w:val="en-US" w:eastAsia="zh-CN"/>
              </w:rPr>
            </w:pPr>
            <w:r>
              <w:rPr>
                <w:rFonts w:ascii="微软雅黑" w:hAnsi="微软雅黑" w:eastAsia="微软雅黑"/>
                <w:sz w:val="20"/>
              </w:rPr>
              <w:t>识别优质客户，拒绝高风险申请</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2D9275CB">
            <w:pPr>
              <w:spacing w:after="0" w:line="240" w:lineRule="auto"/>
              <w:rPr>
                <w:rFonts w:hint="default" w:eastAsia="微软雅黑"/>
                <w:lang w:val="en-US" w:eastAsia="zh-CN"/>
              </w:rPr>
            </w:pPr>
            <w:r>
              <w:rPr>
                <w:rFonts w:ascii="微软雅黑" w:hAnsi="微软雅黑" w:eastAsia="微软雅黑"/>
                <w:sz w:val="20"/>
              </w:rPr>
              <w:t>评分卡、大数据征信、</w:t>
            </w:r>
            <w:r>
              <w:rPr>
                <w:rFonts w:hint="eastAsia" w:ascii="微软雅黑" w:hAnsi="微软雅黑" w:eastAsia="微软雅黑"/>
                <w:sz w:val="20"/>
                <w:lang w:val="en-US" w:eastAsia="zh-CN"/>
              </w:rPr>
              <w:t>决策</w:t>
            </w:r>
            <w:r>
              <w:rPr>
                <w:rFonts w:ascii="微软雅黑" w:hAnsi="微软雅黑" w:eastAsia="微软雅黑"/>
                <w:sz w:val="20"/>
              </w:rPr>
              <w:t>引擎</w:t>
            </w:r>
            <w:r>
              <w:rPr>
                <w:rFonts w:hint="eastAsia" w:ascii="微软雅黑" w:hAnsi="微软雅黑" w:eastAsia="微软雅黑"/>
                <w:sz w:val="20"/>
                <w:lang w:eastAsia="zh-CN"/>
              </w:rPr>
              <w:t>，</w:t>
            </w:r>
            <w:r>
              <w:rPr>
                <w:rFonts w:hint="eastAsia" w:ascii="微软雅黑" w:hAnsi="微软雅黑" w:eastAsia="微软雅黑"/>
                <w:sz w:val="20"/>
                <w:lang w:val="en-US" w:eastAsia="zh-CN"/>
              </w:rPr>
              <w:t>规则引擎</w:t>
            </w:r>
          </w:p>
        </w:tc>
      </w:tr>
      <w:tr w14:paraId="206F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FFFFFF"/>
          </w:tcPr>
          <w:p w14:paraId="3FCAE7D1">
            <w:pPr>
              <w:spacing w:after="0" w:line="240" w:lineRule="auto"/>
            </w:pPr>
            <w:r>
              <w:rPr>
                <w:rFonts w:ascii="微软雅黑" w:hAnsi="微软雅黑" w:eastAsia="微软雅黑"/>
                <w:sz w:val="20"/>
              </w:rPr>
              <w:t>反欺诈体系</w:t>
            </w:r>
          </w:p>
        </w:tc>
        <w:tc>
          <w:tcPr>
            <w:tcW w:w="3576" w:type="dxa"/>
            <w:tcBorders>
              <w:top w:val="single" w:color="BBBBBB" w:sz="4" w:space="0"/>
              <w:left w:val="single" w:color="BBBBBB" w:sz="4" w:space="0"/>
              <w:bottom w:val="single" w:color="BBBBBB" w:sz="4" w:space="0"/>
              <w:right w:val="single" w:color="BBBBBB" w:sz="4" w:space="0"/>
            </w:tcBorders>
            <w:shd w:val="clear" w:color="auto" w:fill="FFFFFF"/>
          </w:tcPr>
          <w:p w14:paraId="696552A7">
            <w:pPr>
              <w:spacing w:after="0" w:line="240" w:lineRule="auto"/>
            </w:pPr>
            <w:r>
              <w:rPr>
                <w:rFonts w:ascii="微软雅黑" w:hAnsi="微软雅黑" w:eastAsia="微软雅黑"/>
                <w:sz w:val="20"/>
              </w:rPr>
              <w:t>识别和打击欺诈行为</w:t>
            </w:r>
          </w:p>
        </w:tc>
        <w:tc>
          <w:tcPr>
            <w:tcW w:w="3628" w:type="dxa"/>
            <w:tcBorders>
              <w:top w:val="single" w:color="BBBBBB" w:sz="4" w:space="0"/>
              <w:left w:val="single" w:color="BBBBBB" w:sz="4" w:space="0"/>
              <w:bottom w:val="single" w:color="BBBBBB" w:sz="4" w:space="0"/>
              <w:right w:val="single" w:color="BBBBBB" w:sz="4" w:space="0"/>
            </w:tcBorders>
            <w:shd w:val="clear" w:color="auto" w:fill="FFFFFF"/>
          </w:tcPr>
          <w:p w14:paraId="2C752E80">
            <w:pPr>
              <w:spacing w:after="0" w:line="240" w:lineRule="auto"/>
            </w:pPr>
            <w:r>
              <w:rPr>
                <w:rFonts w:ascii="微软雅黑" w:hAnsi="微软雅黑" w:eastAsia="微软雅黑"/>
                <w:sz w:val="20"/>
              </w:rPr>
              <w:t>设备指纹、图数据分析、AI模型</w:t>
            </w:r>
          </w:p>
        </w:tc>
      </w:tr>
      <w:tr w14:paraId="3917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EBF3FB"/>
          </w:tcPr>
          <w:p w14:paraId="61190988">
            <w:pPr>
              <w:spacing w:after="0" w:line="240" w:lineRule="auto"/>
            </w:pPr>
            <w:r>
              <w:rPr>
                <w:rFonts w:ascii="微软雅黑" w:hAnsi="微软雅黑" w:eastAsia="微软雅黑"/>
                <w:sz w:val="20"/>
              </w:rPr>
              <w:t>额度与定价策略</w:t>
            </w:r>
          </w:p>
        </w:tc>
        <w:tc>
          <w:tcPr>
            <w:tcW w:w="3576" w:type="dxa"/>
            <w:tcBorders>
              <w:top w:val="single" w:color="BBBBBB" w:sz="4" w:space="0"/>
              <w:left w:val="single" w:color="BBBBBB" w:sz="4" w:space="0"/>
              <w:bottom w:val="single" w:color="BBBBBB" w:sz="4" w:space="0"/>
              <w:right w:val="single" w:color="BBBBBB" w:sz="4" w:space="0"/>
            </w:tcBorders>
            <w:shd w:val="clear" w:color="auto" w:fill="EBF3FB"/>
          </w:tcPr>
          <w:p w14:paraId="742BE2EF">
            <w:pPr>
              <w:spacing w:after="0" w:line="240" w:lineRule="auto"/>
            </w:pPr>
            <w:r>
              <w:rPr>
                <w:rFonts w:ascii="微软雅黑" w:hAnsi="微软雅黑" w:eastAsia="微软雅黑"/>
                <w:sz w:val="20"/>
              </w:rPr>
              <w:t>差异化匹配客户风险与收益</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5D186908">
            <w:pPr>
              <w:spacing w:after="0" w:line="240" w:lineRule="auto"/>
            </w:pPr>
            <w:r>
              <w:rPr>
                <w:rFonts w:ascii="微软雅黑" w:hAnsi="微软雅黑" w:eastAsia="微软雅黑"/>
                <w:sz w:val="20"/>
              </w:rPr>
              <w:t>风险定价模型</w:t>
            </w:r>
            <w:r>
              <w:rPr>
                <w:rFonts w:hint="eastAsia" w:ascii="微软雅黑" w:hAnsi="微软雅黑" w:eastAsia="微软雅黑"/>
                <w:sz w:val="20"/>
                <w:lang w:val="en-US" w:eastAsia="zh-CN"/>
              </w:rPr>
              <w:t>(UE%)</w:t>
            </w:r>
            <w:r>
              <w:rPr>
                <w:rFonts w:ascii="微软雅黑" w:hAnsi="微软雅黑" w:eastAsia="微软雅黑"/>
                <w:sz w:val="20"/>
              </w:rPr>
              <w:t>、MRM模型</w:t>
            </w:r>
          </w:p>
        </w:tc>
      </w:tr>
      <w:tr w14:paraId="6320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FFFFFF"/>
          </w:tcPr>
          <w:p w14:paraId="578D6615">
            <w:pPr>
              <w:spacing w:after="0" w:line="240" w:lineRule="auto"/>
            </w:pPr>
            <w:r>
              <w:rPr>
                <w:rFonts w:ascii="微软雅黑" w:hAnsi="微软雅黑" w:eastAsia="微软雅黑"/>
                <w:sz w:val="20"/>
              </w:rPr>
              <w:t>贷中监控与预警</w:t>
            </w:r>
          </w:p>
        </w:tc>
        <w:tc>
          <w:tcPr>
            <w:tcW w:w="3576" w:type="dxa"/>
            <w:tcBorders>
              <w:top w:val="single" w:color="BBBBBB" w:sz="4" w:space="0"/>
              <w:left w:val="single" w:color="BBBBBB" w:sz="4" w:space="0"/>
              <w:bottom w:val="single" w:color="BBBBBB" w:sz="4" w:space="0"/>
              <w:right w:val="single" w:color="BBBBBB" w:sz="4" w:space="0"/>
            </w:tcBorders>
            <w:shd w:val="clear" w:color="auto" w:fill="FFFFFF"/>
          </w:tcPr>
          <w:p w14:paraId="2B5CE40D">
            <w:pPr>
              <w:spacing w:after="0" w:line="240" w:lineRule="auto"/>
            </w:pPr>
            <w:r>
              <w:rPr>
                <w:rFonts w:ascii="微软雅黑" w:hAnsi="微软雅黑" w:eastAsia="微软雅黑"/>
                <w:sz w:val="20"/>
              </w:rPr>
              <w:t>动态跟踪信用变化，早期干预</w:t>
            </w:r>
          </w:p>
        </w:tc>
        <w:tc>
          <w:tcPr>
            <w:tcW w:w="3628" w:type="dxa"/>
            <w:tcBorders>
              <w:top w:val="single" w:color="BBBBBB" w:sz="4" w:space="0"/>
              <w:left w:val="single" w:color="BBBBBB" w:sz="4" w:space="0"/>
              <w:bottom w:val="single" w:color="BBBBBB" w:sz="4" w:space="0"/>
              <w:right w:val="single" w:color="BBBBBB" w:sz="4" w:space="0"/>
            </w:tcBorders>
            <w:shd w:val="clear" w:color="auto" w:fill="FFFFFF"/>
          </w:tcPr>
          <w:p w14:paraId="0D4C4ADC">
            <w:pPr>
              <w:spacing w:after="0" w:line="240" w:lineRule="auto"/>
            </w:pPr>
            <w:r>
              <w:rPr>
                <w:rFonts w:ascii="微软雅黑" w:hAnsi="微软雅黑" w:eastAsia="微软雅黑"/>
                <w:sz w:val="20"/>
              </w:rPr>
              <w:t>行为评分、触发式审查、资金监测</w:t>
            </w:r>
          </w:p>
        </w:tc>
      </w:tr>
      <w:tr w14:paraId="47AB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EBF3FB"/>
          </w:tcPr>
          <w:p w14:paraId="2F14F3B8">
            <w:pPr>
              <w:spacing w:after="0" w:line="240" w:lineRule="auto"/>
            </w:pPr>
            <w:r>
              <w:rPr>
                <w:rFonts w:ascii="微软雅黑" w:hAnsi="微软雅黑" w:eastAsia="微软雅黑"/>
                <w:sz w:val="20"/>
              </w:rPr>
              <w:t>催收管理体系</w:t>
            </w:r>
          </w:p>
        </w:tc>
        <w:tc>
          <w:tcPr>
            <w:tcW w:w="3576" w:type="dxa"/>
            <w:tcBorders>
              <w:top w:val="single" w:color="BBBBBB" w:sz="4" w:space="0"/>
              <w:left w:val="single" w:color="BBBBBB" w:sz="4" w:space="0"/>
              <w:bottom w:val="single" w:color="BBBBBB" w:sz="4" w:space="0"/>
              <w:right w:val="single" w:color="BBBBBB" w:sz="4" w:space="0"/>
            </w:tcBorders>
            <w:shd w:val="clear" w:color="auto" w:fill="EBF3FB"/>
          </w:tcPr>
          <w:p w14:paraId="6F52C51F">
            <w:pPr>
              <w:spacing w:after="0" w:line="240" w:lineRule="auto"/>
            </w:pPr>
            <w:r>
              <w:rPr>
                <w:rFonts w:ascii="微软雅黑" w:hAnsi="微软雅黑" w:eastAsia="微软雅黑"/>
                <w:sz w:val="20"/>
              </w:rPr>
              <w:t>最大化回款，控制坏账率</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278530C7">
            <w:pPr>
              <w:spacing w:after="0" w:line="240" w:lineRule="auto"/>
            </w:pPr>
            <w:r>
              <w:rPr>
                <w:rFonts w:ascii="微软雅黑" w:hAnsi="微软雅黑" w:eastAsia="微软雅黑"/>
                <w:sz w:val="20"/>
              </w:rPr>
              <w:t>策略分群、AI机器人催收、法催</w:t>
            </w:r>
          </w:p>
        </w:tc>
      </w:tr>
      <w:tr w14:paraId="2181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FFFFFF"/>
          </w:tcPr>
          <w:p w14:paraId="3B7B8217">
            <w:pPr>
              <w:spacing w:after="0" w:line="240" w:lineRule="auto"/>
            </w:pPr>
            <w:r>
              <w:rPr>
                <w:rFonts w:ascii="微软雅黑" w:hAnsi="微软雅黑" w:eastAsia="微软雅黑"/>
                <w:sz w:val="20"/>
              </w:rPr>
              <w:t>贷后数据分析</w:t>
            </w:r>
          </w:p>
        </w:tc>
        <w:tc>
          <w:tcPr>
            <w:tcW w:w="3576" w:type="dxa"/>
            <w:tcBorders>
              <w:top w:val="single" w:color="BBBBBB" w:sz="4" w:space="0"/>
              <w:left w:val="single" w:color="BBBBBB" w:sz="4" w:space="0"/>
              <w:bottom w:val="single" w:color="BBBBBB" w:sz="4" w:space="0"/>
              <w:right w:val="single" w:color="BBBBBB" w:sz="4" w:space="0"/>
            </w:tcBorders>
            <w:shd w:val="clear" w:color="auto" w:fill="FFFFFF"/>
          </w:tcPr>
          <w:p w14:paraId="4539770D">
            <w:pPr>
              <w:spacing w:after="0" w:line="240" w:lineRule="auto"/>
            </w:pPr>
            <w:r>
              <w:rPr>
                <w:rFonts w:ascii="微软雅黑" w:hAnsi="微软雅黑" w:eastAsia="微软雅黑"/>
                <w:sz w:val="20"/>
              </w:rPr>
              <w:t>持续优化风控策略，洞察风险</w:t>
            </w:r>
          </w:p>
        </w:tc>
        <w:tc>
          <w:tcPr>
            <w:tcW w:w="3628" w:type="dxa"/>
            <w:tcBorders>
              <w:top w:val="single" w:color="BBBBBB" w:sz="4" w:space="0"/>
              <w:left w:val="single" w:color="BBBBBB" w:sz="4" w:space="0"/>
              <w:bottom w:val="single" w:color="BBBBBB" w:sz="4" w:space="0"/>
              <w:right w:val="single" w:color="BBBBBB" w:sz="4" w:space="0"/>
            </w:tcBorders>
            <w:shd w:val="clear" w:color="auto" w:fill="FFFFFF"/>
          </w:tcPr>
          <w:p w14:paraId="5CF5F5AF">
            <w:pPr>
              <w:spacing w:after="0" w:line="240" w:lineRule="auto"/>
            </w:pPr>
            <w:r>
              <w:rPr>
                <w:rFonts w:ascii="微软雅黑" w:hAnsi="微软雅黑" w:eastAsia="微软雅黑"/>
                <w:sz w:val="20"/>
              </w:rPr>
              <w:t>Vintage分析、迁移矩阵、报表系统</w:t>
            </w:r>
          </w:p>
        </w:tc>
      </w:tr>
      <w:tr w14:paraId="225F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EBF3FB"/>
          </w:tcPr>
          <w:p w14:paraId="0B972A3C">
            <w:pPr>
              <w:spacing w:after="0" w:line="240" w:lineRule="auto"/>
            </w:pPr>
            <w:r>
              <w:rPr>
                <w:rFonts w:ascii="微软雅黑" w:hAnsi="微软雅黑" w:eastAsia="微软雅黑"/>
                <w:sz w:val="20"/>
              </w:rPr>
              <w:t>客户分层与精细化运营</w:t>
            </w:r>
          </w:p>
        </w:tc>
        <w:tc>
          <w:tcPr>
            <w:tcW w:w="3576" w:type="dxa"/>
            <w:tcBorders>
              <w:top w:val="single" w:color="BBBBBB" w:sz="4" w:space="0"/>
              <w:left w:val="single" w:color="BBBBBB" w:sz="4" w:space="0"/>
              <w:bottom w:val="single" w:color="BBBBBB" w:sz="4" w:space="0"/>
              <w:right w:val="single" w:color="BBBBBB" w:sz="4" w:space="0"/>
            </w:tcBorders>
            <w:shd w:val="clear" w:color="auto" w:fill="EBF3FB"/>
          </w:tcPr>
          <w:p w14:paraId="0536FF1D">
            <w:pPr>
              <w:spacing w:after="0" w:line="240" w:lineRule="auto"/>
            </w:pPr>
            <w:r>
              <w:rPr>
                <w:rFonts w:ascii="微软雅黑" w:hAnsi="微软雅黑" w:eastAsia="微软雅黑"/>
                <w:sz w:val="20"/>
              </w:rPr>
              <w:t>差异化服务，提升客户价值</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02B847BA">
            <w:pPr>
              <w:spacing w:after="0" w:line="240" w:lineRule="auto"/>
              <w:rPr>
                <w:rFonts w:hint="eastAsia" w:eastAsia="微软雅黑"/>
                <w:lang w:val="en-US" w:eastAsia="zh-CN"/>
              </w:rPr>
            </w:pPr>
            <w:r>
              <w:rPr>
                <w:rFonts w:ascii="微软雅黑" w:hAnsi="微软雅黑" w:eastAsia="微软雅黑"/>
                <w:sz w:val="20"/>
              </w:rPr>
              <w:t>RFM分析、LTV模型、</w:t>
            </w:r>
            <w:r>
              <w:rPr>
                <w:rFonts w:hint="eastAsia" w:ascii="微软雅黑" w:hAnsi="微软雅黑" w:eastAsia="微软雅黑"/>
                <w:sz w:val="20"/>
                <w:lang w:val="en-US" w:eastAsia="zh-CN"/>
              </w:rPr>
              <w:t>用户</w:t>
            </w:r>
            <w:r>
              <w:rPr>
                <w:rFonts w:ascii="微软雅黑" w:hAnsi="微软雅黑" w:eastAsia="微软雅黑"/>
                <w:sz w:val="20"/>
              </w:rPr>
              <w:t>标签体系</w:t>
            </w:r>
            <w:r>
              <w:rPr>
                <w:rFonts w:hint="eastAsia" w:ascii="微软雅黑" w:hAnsi="微软雅黑" w:eastAsia="微软雅黑"/>
                <w:sz w:val="20"/>
                <w:lang w:val="en-US" w:eastAsia="zh-CN"/>
              </w:rPr>
              <w:t>搭建</w:t>
            </w:r>
          </w:p>
        </w:tc>
      </w:tr>
      <w:tr w14:paraId="0E72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Borders>
              <w:top w:val="single" w:color="BBBBBB" w:sz="4" w:space="0"/>
              <w:left w:val="single" w:color="BBBBBB" w:sz="4" w:space="0"/>
              <w:bottom w:val="single" w:color="BBBBBB" w:sz="4" w:space="0"/>
              <w:right w:val="single" w:color="BBBBBB" w:sz="4" w:space="0"/>
            </w:tcBorders>
            <w:shd w:val="clear" w:color="auto" w:fill="FFFFFF"/>
          </w:tcPr>
          <w:p w14:paraId="3B624AAE">
            <w:pPr>
              <w:spacing w:after="0" w:line="240" w:lineRule="auto"/>
            </w:pPr>
            <w:r>
              <w:rPr>
                <w:rFonts w:ascii="微软雅黑" w:hAnsi="微软雅黑" w:eastAsia="微软雅黑"/>
                <w:sz w:val="20"/>
              </w:rPr>
              <w:t>风控合规与监管</w:t>
            </w:r>
          </w:p>
        </w:tc>
        <w:tc>
          <w:tcPr>
            <w:tcW w:w="3576" w:type="dxa"/>
            <w:tcBorders>
              <w:top w:val="single" w:color="BBBBBB" w:sz="4" w:space="0"/>
              <w:left w:val="single" w:color="BBBBBB" w:sz="4" w:space="0"/>
              <w:bottom w:val="single" w:color="BBBBBB" w:sz="4" w:space="0"/>
              <w:right w:val="single" w:color="BBBBBB" w:sz="4" w:space="0"/>
            </w:tcBorders>
            <w:shd w:val="clear" w:color="auto" w:fill="FFFFFF"/>
          </w:tcPr>
          <w:p w14:paraId="021222CB">
            <w:pPr>
              <w:spacing w:after="0" w:line="240" w:lineRule="auto"/>
            </w:pPr>
            <w:r>
              <w:rPr>
                <w:rFonts w:ascii="微软雅黑" w:hAnsi="微软雅黑" w:eastAsia="微软雅黑"/>
                <w:sz w:val="20"/>
              </w:rPr>
              <w:t>满足监管要求，防范合规风险</w:t>
            </w:r>
          </w:p>
        </w:tc>
        <w:tc>
          <w:tcPr>
            <w:tcW w:w="3628" w:type="dxa"/>
            <w:tcBorders>
              <w:top w:val="single" w:color="BBBBBB" w:sz="4" w:space="0"/>
              <w:left w:val="single" w:color="BBBBBB" w:sz="4" w:space="0"/>
              <w:bottom w:val="single" w:color="BBBBBB" w:sz="4" w:space="0"/>
              <w:right w:val="single" w:color="BBBBBB" w:sz="4" w:space="0"/>
            </w:tcBorders>
            <w:shd w:val="clear" w:color="auto" w:fill="FFFFFF"/>
          </w:tcPr>
          <w:p w14:paraId="73799612">
            <w:pPr>
              <w:spacing w:after="0" w:line="240" w:lineRule="auto"/>
            </w:pPr>
            <w:r>
              <w:rPr>
                <w:rFonts w:ascii="微软雅黑" w:hAnsi="微软雅黑" w:eastAsia="微软雅黑"/>
                <w:sz w:val="20"/>
              </w:rPr>
              <w:t>反洗钱、数据安全、监管报送</w:t>
            </w:r>
          </w:p>
        </w:tc>
      </w:tr>
    </w:tbl>
    <w:p w14:paraId="0DB23682">
      <w:pPr>
        <w:spacing w:before="30" w:after="30"/>
      </w:pPr>
    </w:p>
    <w:p w14:paraId="0FE453C0">
      <w:pPr>
        <w:shd w:val="clear" w:color="auto" w:fill="2E75B6"/>
        <w:spacing w:before="200" w:after="80"/>
        <w:ind w:left="120"/>
      </w:pPr>
      <w:r>
        <w:rPr>
          <w:rFonts w:ascii="微软雅黑" w:hAnsi="微软雅黑" w:eastAsia="微软雅黑"/>
          <w:b/>
          <w:color w:val="FFFFFF"/>
          <w:sz w:val="28"/>
        </w:rPr>
        <w:t>1.2 关键风控指标</w:t>
      </w:r>
    </w:p>
    <w:p w14:paraId="5507B10D">
      <w:pPr>
        <w:spacing w:before="40" w:after="40"/>
        <w:ind w:left="120"/>
      </w:pPr>
      <w:r>
        <w:rPr>
          <w:rFonts w:ascii="微软雅黑" w:hAnsi="微软雅黑" w:eastAsia="微软雅黑"/>
          <w:b w:val="0"/>
          <w:i w:val="0"/>
          <w:sz w:val="21"/>
        </w:rPr>
        <w:t>消费金融机构通常重点关注以下核心指标，作为风控体系健康度的衡量标准：</w:t>
      </w:r>
    </w:p>
    <w:p w14:paraId="152FCE91">
      <w:pPr>
        <w:spacing w:before="30" w:after="30"/>
        <w:ind w:left="420" w:hanging="210"/>
      </w:pPr>
      <w:r>
        <w:rPr>
          <w:rFonts w:ascii="微软雅黑" w:hAnsi="微软雅黑" w:eastAsia="微软雅黑"/>
          <w:sz w:val="21"/>
        </w:rPr>
        <w:t>● 不良率（NPL Rate）：逾期90天以上贷款占比，通常控制目标在2%～4%以内</w:t>
      </w:r>
    </w:p>
    <w:p w14:paraId="25EF32CF">
      <w:pPr>
        <w:spacing w:before="30" w:after="30"/>
        <w:ind w:left="420" w:hanging="210"/>
      </w:pPr>
      <w:r>
        <w:rPr>
          <w:rFonts w:ascii="微软雅黑" w:hAnsi="微软雅黑" w:eastAsia="微软雅黑"/>
          <w:sz w:val="21"/>
        </w:rPr>
        <w:t>● 逾期率（Delinquency Rate）：M1+逾期率，反映短期信用质量，一般控制在5%～8%</w:t>
      </w:r>
    </w:p>
    <w:p w14:paraId="0ED0ED10">
      <w:pPr>
        <w:spacing w:before="30" w:after="30"/>
        <w:ind w:left="420" w:hanging="210"/>
        <w:rPr>
          <w:rFonts w:hint="default" w:eastAsia="微软雅黑"/>
          <w:lang w:val="en-US" w:eastAsia="zh-CN"/>
        </w:rPr>
      </w:pPr>
      <w:r>
        <w:rPr>
          <w:rFonts w:ascii="微软雅黑" w:hAnsi="微软雅黑" w:eastAsia="微软雅黑"/>
          <w:sz w:val="21"/>
        </w:rPr>
        <w:t>● 损失率（Loss Rate / NCO Rate）：实际核销损失占放贷总额比例</w:t>
      </w:r>
      <w:r>
        <w:rPr>
          <w:rFonts w:hint="eastAsia" w:ascii="微软雅黑" w:hAnsi="微软雅黑" w:eastAsia="微软雅黑"/>
          <w:sz w:val="21"/>
          <w:lang w:eastAsia="zh-CN"/>
        </w:rPr>
        <w:t>，</w:t>
      </w:r>
      <w:r>
        <w:rPr>
          <w:rFonts w:hint="eastAsia" w:ascii="微软雅黑" w:hAnsi="微软雅黑" w:eastAsia="微软雅黑"/>
          <w:sz w:val="21"/>
          <w:lang w:val="en-US" w:eastAsia="zh-CN"/>
        </w:rPr>
        <w:t>也叫provision rate</w:t>
      </w:r>
    </w:p>
    <w:p w14:paraId="734132BF">
      <w:pPr>
        <w:spacing w:before="30" w:after="30"/>
        <w:ind w:left="420" w:hanging="210"/>
      </w:pPr>
      <w:r>
        <w:rPr>
          <w:rFonts w:ascii="微软雅黑" w:hAnsi="微软雅黑" w:eastAsia="微软雅黑"/>
          <w:sz w:val="21"/>
        </w:rPr>
        <w:t>● 欺诈率（Fraud Rate）：因欺诈导致损失占比，通常应低于0.5%</w:t>
      </w:r>
    </w:p>
    <w:p w14:paraId="53537B91">
      <w:pPr>
        <w:spacing w:before="30" w:after="30"/>
        <w:ind w:left="420" w:hanging="210"/>
        <w:rPr>
          <w:rFonts w:hint="default" w:eastAsia="微软雅黑"/>
          <w:lang w:val="en-US" w:eastAsia="zh-CN"/>
        </w:rPr>
      </w:pPr>
      <w:r>
        <w:rPr>
          <w:rFonts w:ascii="微软雅黑" w:hAnsi="微软雅黑" w:eastAsia="微软雅黑"/>
          <w:sz w:val="21"/>
        </w:rPr>
        <w:t>● 首逾率（First Payment Default Rate）：首期即逾期比例，反映贷前审核质量</w:t>
      </w:r>
      <w:r>
        <w:rPr>
          <w:rFonts w:hint="eastAsia" w:ascii="微软雅黑" w:hAnsi="微软雅黑" w:eastAsia="微软雅黑"/>
          <w:sz w:val="21"/>
          <w:lang w:val="en-US" w:eastAsia="zh-CN"/>
        </w:rPr>
        <w:t>以及早期风险预警指标</w:t>
      </w:r>
    </w:p>
    <w:p w14:paraId="12AF4861">
      <w:pPr>
        <w:spacing w:before="30" w:after="30"/>
        <w:ind w:left="420" w:hanging="210"/>
      </w:pPr>
      <w:r>
        <w:rPr>
          <w:rFonts w:ascii="微软雅黑" w:hAnsi="微软雅黑" w:eastAsia="微软雅黑"/>
          <w:sz w:val="21"/>
        </w:rPr>
        <w:t>● 综合回收率（Recovery Rate）：催收阶段回收金额/逾期本金</w:t>
      </w:r>
    </w:p>
    <w:p w14:paraId="2EF115C5">
      <w:pPr>
        <w:shd w:val="clear" w:color="auto" w:fill="EBF5EB"/>
        <w:spacing w:before="60" w:after="60"/>
        <w:ind w:left="200" w:right="200"/>
      </w:pPr>
      <w:r>
        <w:rPr>
          <w:rFonts w:ascii="微软雅黑" w:hAnsi="微软雅黑" w:eastAsia="微软雅黑"/>
          <w:i/>
          <w:color w:val="375623"/>
          <w:sz w:val="20"/>
        </w:rPr>
        <w:t xml:space="preserve">  提示：风控指标需结合业务规模、客群结构、产品类型综合解读，跨机构横向对比需谨慎。</w:t>
      </w:r>
    </w:p>
    <w:p w14:paraId="029B38F0">
      <w:pPr>
        <w:spacing w:before="30" w:after="30"/>
      </w:pPr>
    </w:p>
    <w:p w14:paraId="755F6A7A">
      <w:pPr>
        <w:pageBreakBefore/>
        <w:shd w:val="clear" w:color="auto" w:fill="1F4E79"/>
        <w:spacing w:before="0" w:after="120"/>
        <w:ind w:left="200"/>
      </w:pPr>
      <w:r>
        <w:rPr>
          <w:rFonts w:ascii="微软雅黑" w:hAnsi="微软雅黑" w:eastAsia="微软雅黑"/>
          <w:b/>
          <w:color w:val="FFFFFF"/>
          <w:sz w:val="36"/>
        </w:rPr>
        <w:t>二、贷前准入与信用评估</w:t>
      </w:r>
    </w:p>
    <w:p w14:paraId="3D47581A">
      <w:pPr>
        <w:spacing w:before="40" w:after="40"/>
        <w:ind w:left="120"/>
      </w:pPr>
      <w:r>
        <w:rPr>
          <w:rFonts w:ascii="微软雅黑" w:hAnsi="微软雅黑" w:eastAsia="微软雅黑"/>
          <w:b w:val="0"/>
          <w:i w:val="0"/>
          <w:sz w:val="21"/>
        </w:rPr>
        <w:t>贷前风控是消费金融全链路风控的第一道防线，目标是精准识别优质客户，过滤高风险申请，在保障业务增长的同时控制整体资产质量。</w:t>
      </w:r>
    </w:p>
    <w:p w14:paraId="50CD353E">
      <w:pPr>
        <w:spacing w:before="30" w:after="30"/>
      </w:pPr>
    </w:p>
    <w:p w14:paraId="404C2981">
      <w:pPr>
        <w:shd w:val="clear" w:color="auto" w:fill="2E75B6"/>
        <w:spacing w:before="200" w:after="80"/>
        <w:ind w:left="120"/>
      </w:pPr>
      <w:r>
        <w:rPr>
          <w:rFonts w:ascii="微软雅黑" w:hAnsi="微软雅黑" w:eastAsia="微软雅黑"/>
          <w:b/>
          <w:color w:val="FFFFFF"/>
          <w:sz w:val="28"/>
        </w:rPr>
        <w:t>2.1 准入策略设计</w:t>
      </w:r>
    </w:p>
    <w:p w14:paraId="1300BDAC">
      <w:pPr>
        <w:spacing w:before="40" w:after="40"/>
        <w:ind w:left="120"/>
      </w:pPr>
      <w:r>
        <w:rPr>
          <w:rFonts w:ascii="微软雅黑" w:hAnsi="微软雅黑" w:eastAsia="微软雅黑"/>
          <w:b w:val="0"/>
          <w:i w:val="0"/>
          <w:sz w:val="21"/>
        </w:rPr>
        <w:t>准入策略通常由以下层次构成：</w:t>
      </w:r>
    </w:p>
    <w:p w14:paraId="00CC1086">
      <w:pPr>
        <w:spacing w:before="30" w:after="30"/>
        <w:ind w:left="420" w:hanging="210"/>
      </w:pPr>
      <w:r>
        <w:rPr>
          <w:rFonts w:ascii="微软雅黑" w:hAnsi="微软雅黑" w:eastAsia="微软雅黑"/>
          <w:sz w:val="21"/>
        </w:rPr>
        <w:t>1. 硬性拒绝规则（Hard Decline）：黑名单、无有效身份证、征信严重不良等一票否决条件</w:t>
      </w:r>
    </w:p>
    <w:p w14:paraId="6577AD02">
      <w:pPr>
        <w:spacing w:before="30" w:after="30"/>
        <w:ind w:left="420" w:hanging="210"/>
      </w:pPr>
      <w:r>
        <w:rPr>
          <w:rFonts w:ascii="微软雅黑" w:hAnsi="微软雅黑" w:eastAsia="微软雅黑"/>
          <w:sz w:val="21"/>
        </w:rPr>
        <w:t>2. 评分卡初筛：基于申请评分卡（A卡）对客户进行风险打分，低于阈值直接拒绝</w:t>
      </w:r>
    </w:p>
    <w:p w14:paraId="6E9CF288">
      <w:pPr>
        <w:spacing w:before="30" w:after="30"/>
        <w:ind w:left="420" w:hanging="210"/>
      </w:pPr>
      <w:r>
        <w:rPr>
          <w:rFonts w:ascii="微软雅黑" w:hAnsi="微软雅黑" w:eastAsia="微软雅黑"/>
          <w:sz w:val="21"/>
        </w:rPr>
        <w:t>3. 规则引擎精筛：结合多维度规则（负债率、查询次数、职业等）进行复合判断</w:t>
      </w:r>
    </w:p>
    <w:p w14:paraId="55C93C6D">
      <w:pPr>
        <w:spacing w:before="30" w:after="30"/>
        <w:ind w:left="420" w:hanging="210"/>
      </w:pPr>
      <w:r>
        <w:rPr>
          <w:rFonts w:ascii="微软雅黑" w:hAnsi="微软雅黑" w:eastAsia="微软雅黑"/>
          <w:sz w:val="21"/>
        </w:rPr>
        <w:t>4. 人工审核：分值在临界区间的申请由信贷审核员人工核实</w:t>
      </w:r>
    </w:p>
    <w:p w14:paraId="4E6D74C5">
      <w:pPr>
        <w:spacing w:before="30" w:after="30"/>
      </w:pPr>
    </w:p>
    <w:p w14:paraId="3D77A12C">
      <w:pPr>
        <w:shd w:val="clear" w:color="auto" w:fill="2E75B6"/>
        <w:spacing w:before="200" w:after="80"/>
        <w:ind w:left="120"/>
      </w:pPr>
      <w:r>
        <w:rPr>
          <w:rFonts w:ascii="微软雅黑" w:hAnsi="微软雅黑" w:eastAsia="微软雅黑"/>
          <w:b/>
          <w:color w:val="FFFFFF"/>
          <w:sz w:val="28"/>
        </w:rPr>
        <w:t>2.2 信用评估体系</w:t>
      </w:r>
    </w:p>
    <w:p w14:paraId="7C016548">
      <w:pPr>
        <w:pBdr>
          <w:bottom w:val="single" w:color="2E75B6" w:sz="6" w:space="1"/>
        </w:pBdr>
        <w:spacing w:before="160" w:after="60"/>
      </w:pPr>
      <w:r>
        <w:rPr>
          <w:rFonts w:ascii="微软雅黑" w:hAnsi="微软雅黑" w:eastAsia="微软雅黑"/>
          <w:b/>
          <w:color w:val="1F4E79"/>
          <w:sz w:val="24"/>
        </w:rPr>
        <w:t>2.2.1 申请评分卡（A卡）</w:t>
      </w:r>
    </w:p>
    <w:p w14:paraId="0B9E4604">
      <w:pPr>
        <w:spacing w:before="40" w:after="40"/>
        <w:ind w:left="120"/>
      </w:pPr>
      <w:r>
        <w:rPr>
          <w:rFonts w:ascii="微软雅黑" w:hAnsi="微软雅黑" w:eastAsia="微软雅黑"/>
          <w:b w:val="0"/>
          <w:i w:val="0"/>
          <w:sz w:val="21"/>
        </w:rPr>
        <w:t>A卡是最核心的信用评估工具，典型特征维度包括：</w:t>
      </w:r>
    </w:p>
    <w:p w14:paraId="34A66249">
      <w:pPr>
        <w:spacing w:before="30" w:after="30"/>
        <w:ind w:left="420" w:hanging="210"/>
      </w:pPr>
      <w:r>
        <w:rPr>
          <w:rFonts w:ascii="微软雅黑" w:hAnsi="微软雅黑" w:eastAsia="微软雅黑"/>
          <w:sz w:val="21"/>
        </w:rPr>
        <w:t>● 人口属性：年龄、学历、婚姻、户籍</w:t>
      </w:r>
    </w:p>
    <w:p w14:paraId="27AA1DE7">
      <w:pPr>
        <w:spacing w:before="30" w:after="30"/>
        <w:ind w:left="420" w:hanging="210"/>
      </w:pPr>
      <w:r>
        <w:rPr>
          <w:rFonts w:ascii="微软雅黑" w:hAnsi="微软雅黑" w:eastAsia="微软雅黑"/>
          <w:sz w:val="21"/>
        </w:rPr>
        <w:t>● 金融行为：央行征信查询次数、信用卡使用率、历史逾期记录</w:t>
      </w:r>
    </w:p>
    <w:p w14:paraId="27645F66">
      <w:pPr>
        <w:spacing w:before="30" w:after="30"/>
        <w:ind w:left="420" w:hanging="210"/>
      </w:pPr>
      <w:r>
        <w:rPr>
          <w:rFonts w:ascii="微软雅黑" w:hAnsi="微软雅黑" w:eastAsia="微软雅黑"/>
          <w:sz w:val="21"/>
        </w:rPr>
        <w:t>● 收入与负债：月收入、债务收入比（DTI）、现有负债总额</w:t>
      </w:r>
    </w:p>
    <w:p w14:paraId="5B67D7F2">
      <w:pPr>
        <w:spacing w:before="30" w:after="30"/>
        <w:ind w:left="420" w:hanging="210"/>
      </w:pPr>
      <w:r>
        <w:rPr>
          <w:rFonts w:ascii="微软雅黑" w:hAnsi="微软雅黑" w:eastAsia="微软雅黑"/>
          <w:sz w:val="21"/>
        </w:rPr>
        <w:t>● 稳定性指标：工作年限、居住年限、手机号使用时长</w:t>
      </w:r>
    </w:p>
    <w:p w14:paraId="57B76AE7">
      <w:pPr>
        <w:spacing w:before="30" w:after="30"/>
      </w:pPr>
    </w:p>
    <w:p w14:paraId="7FF4B304">
      <w:pPr>
        <w:pBdr>
          <w:bottom w:val="single" w:color="2E75B6" w:sz="6" w:space="1"/>
        </w:pBdr>
        <w:spacing w:before="160" w:after="60"/>
      </w:pPr>
      <w:r>
        <w:rPr>
          <w:rFonts w:ascii="微软雅黑" w:hAnsi="微软雅黑" w:eastAsia="微软雅黑"/>
          <w:b/>
          <w:color w:val="1F4E79"/>
          <w:sz w:val="24"/>
        </w:rPr>
        <w:t>2.2.2 外部数据源</w:t>
      </w:r>
    </w:p>
    <w:p w14:paraId="0B2A5D4A">
      <w:pPr>
        <w:spacing w:before="40" w:after="40"/>
        <w:ind w:left="120"/>
      </w:pPr>
      <w:r>
        <w:rPr>
          <w:rFonts w:ascii="微软雅黑" w:hAnsi="微软雅黑" w:eastAsia="微软雅黑"/>
          <w:b w:val="0"/>
          <w:i w:val="0"/>
          <w:sz w:val="21"/>
        </w:rPr>
        <w:t>除央行征信外，主流消费金融机构还引入以下外部数据源：</w:t>
      </w:r>
    </w:p>
    <w:p w14:paraId="3E602678">
      <w:pPr>
        <w:spacing w:before="30" w:after="30"/>
        <w:ind w:left="420" w:hanging="210"/>
      </w:pPr>
      <w:r>
        <w:rPr>
          <w:rFonts w:ascii="微软雅黑" w:hAnsi="微软雅黑" w:eastAsia="微软雅黑"/>
          <w:sz w:val="21"/>
        </w:rPr>
        <w:t>● 互联网征信：芝麻信用、腾讯信用、京东白条数据等</w:t>
      </w:r>
    </w:p>
    <w:p w14:paraId="6ABDBA05">
      <w:pPr>
        <w:spacing w:before="30" w:after="30"/>
        <w:ind w:left="420" w:hanging="210"/>
      </w:pPr>
      <w:r>
        <w:rPr>
          <w:rFonts w:ascii="微软雅黑" w:hAnsi="微软雅黑" w:eastAsia="微软雅黑"/>
          <w:sz w:val="21"/>
        </w:rPr>
        <w:t>● 多头借贷数据：百融云创、同盾科技等多头共享平台</w:t>
      </w:r>
    </w:p>
    <w:p w14:paraId="473B2DC2">
      <w:pPr>
        <w:spacing w:before="30" w:after="30"/>
        <w:ind w:left="420" w:hanging="210"/>
      </w:pPr>
      <w:r>
        <w:rPr>
          <w:rFonts w:ascii="微软雅黑" w:hAnsi="微软雅黑" w:eastAsia="微软雅黑"/>
          <w:sz w:val="21"/>
        </w:rPr>
        <w:t>● 运营商数据：手机实名认证、通话行为特征</w:t>
      </w:r>
    </w:p>
    <w:p w14:paraId="771966C1">
      <w:pPr>
        <w:spacing w:before="30" w:after="30"/>
        <w:ind w:left="420" w:hanging="210"/>
      </w:pPr>
      <w:r>
        <w:rPr>
          <w:rFonts w:ascii="微软雅黑" w:hAnsi="微软雅黑" w:eastAsia="微软雅黑"/>
          <w:sz w:val="21"/>
        </w:rPr>
        <w:t>● 电商消费数据：购物频次、消费金额、退款率</w:t>
      </w:r>
    </w:p>
    <w:p w14:paraId="6B90F391">
      <w:pPr>
        <w:shd w:val="clear" w:color="auto" w:fill="EBF5EB"/>
        <w:spacing w:before="60" w:after="60"/>
        <w:ind w:left="200" w:right="200"/>
      </w:pPr>
      <w:r>
        <w:rPr>
          <w:rFonts w:ascii="微软雅黑" w:hAnsi="微软雅黑" w:eastAsia="微软雅黑"/>
          <w:i/>
          <w:color w:val="375623"/>
          <w:sz w:val="20"/>
        </w:rPr>
        <w:t xml:space="preserve">  提示：外部数据使用须符合《个人信息保护法》和央行征信相关规定，获取客户明确授权。</w:t>
      </w:r>
    </w:p>
    <w:p w14:paraId="78949547">
      <w:pPr>
        <w:spacing w:before="30" w:after="30"/>
      </w:pPr>
    </w:p>
    <w:p w14:paraId="14DEC636">
      <w:pPr>
        <w:shd w:val="clear" w:color="auto" w:fill="2E75B6"/>
        <w:spacing w:before="200" w:after="80"/>
        <w:ind w:left="120"/>
      </w:pPr>
      <w:r>
        <w:rPr>
          <w:rFonts w:ascii="微软雅黑" w:hAnsi="微软雅黑" w:eastAsia="微软雅黑"/>
          <w:b/>
          <w:color w:val="FFFFFF"/>
          <w:sz w:val="28"/>
        </w:rPr>
        <w:t>2.3 实战案例</w:t>
      </w:r>
    </w:p>
    <w:p w14:paraId="1578107C">
      <w:pPr>
        <w:spacing w:before="30" w:after="30"/>
      </w:pPr>
    </w:p>
    <w:p w14:paraId="520687E6">
      <w:pPr>
        <w:shd w:val="clear" w:color="auto" w:fill="1F4E79"/>
        <w:spacing w:before="180" w:after="60"/>
        <w:ind w:left="120"/>
      </w:pPr>
      <w:r>
        <w:rPr>
          <w:rFonts w:ascii="微软雅黑" w:hAnsi="微软雅黑" w:eastAsia="微软雅黑"/>
          <w:b/>
          <w:color w:val="FFFFFF"/>
          <w:sz w:val="22"/>
        </w:rPr>
        <w:t>案例1  基于多头借贷数据的准入策略优化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66C8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A527AF7">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186FEFD9">
            <w:pPr>
              <w:spacing w:after="0" w:line="240" w:lineRule="auto"/>
            </w:pPr>
            <w:r>
              <w:rPr>
                <w:rFonts w:ascii="微软雅黑" w:hAnsi="微软雅黑" w:eastAsia="微软雅黑"/>
                <w:sz w:val="20"/>
              </w:rPr>
              <w:t>某互联网消费金融公司发现贷后30天内首逾率持续走高，达到行业平均水平的1.8倍，经排查发现大量【多头借贷】客户通过审核。</w:t>
            </w:r>
          </w:p>
        </w:tc>
      </w:tr>
      <w:tr w14:paraId="47C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5A0A5F0">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21F32C0">
            <w:pPr>
              <w:spacing w:after="0" w:line="240" w:lineRule="auto"/>
            </w:pPr>
            <w:r>
              <w:rPr>
                <w:rFonts w:ascii="微软雅黑" w:hAnsi="微软雅黑" w:eastAsia="微软雅黑"/>
                <w:sz w:val="20"/>
              </w:rPr>
              <w:t>申请评分A卡分值≥600分（原准入线），但近3个月在其他平台申请贷款次数≥5次，且在贷余额≥月收入3倍。</w:t>
            </w:r>
          </w:p>
        </w:tc>
      </w:tr>
      <w:tr w14:paraId="2680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800CF94">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773D926">
            <w:pPr>
              <w:spacing w:after="0" w:line="240" w:lineRule="auto"/>
            </w:pPr>
            <w:r>
              <w:rPr>
                <w:rFonts w:ascii="微软雅黑" w:hAnsi="微软雅黑" w:eastAsia="微软雅黑"/>
                <w:sz w:val="20"/>
              </w:rPr>
              <w:t>① 接入外部多头借贷数据共享平台（如百融、同盾）；② 新增规则：近90天多头查询次数≥5次直接降级或拒绝；③ 对多头负债比例过高客户强制人工复核；④ 跑AB测试，观察策略调整前后首逾率变化。</w:t>
            </w:r>
          </w:p>
        </w:tc>
      </w:tr>
      <w:tr w14:paraId="05C1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9C7CD0B">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54AC9D8F">
            <w:pPr>
              <w:spacing w:after="0" w:line="240" w:lineRule="auto"/>
            </w:pPr>
            <w:r>
              <w:rPr>
                <w:rFonts w:ascii="微软雅黑" w:hAnsi="微软雅黑" w:eastAsia="微软雅黑"/>
                <w:sz w:val="20"/>
              </w:rPr>
              <w:t>策略上线后，首逾率从4.2%降至2.6%，贷后M1逾期率下降18%，通过率仅下降约5%，整体资产质量明显提升。</w:t>
            </w:r>
          </w:p>
        </w:tc>
      </w:tr>
    </w:tbl>
    <w:p w14:paraId="4044ECC4">
      <w:pPr>
        <w:spacing w:before="30" w:after="30"/>
      </w:pPr>
    </w:p>
    <w:p w14:paraId="2F9B8E8F">
      <w:pPr>
        <w:shd w:val="clear" w:color="auto" w:fill="1F4E79"/>
        <w:spacing w:before="180" w:after="60"/>
        <w:ind w:left="120"/>
      </w:pPr>
      <w:r>
        <w:rPr>
          <w:rFonts w:ascii="微软雅黑" w:hAnsi="微软雅黑" w:eastAsia="微软雅黑"/>
          <w:b/>
          <w:color w:val="FFFFFF"/>
          <w:sz w:val="22"/>
        </w:rPr>
        <w:t>案例2  基于央行征信数据的精细化评分卡开发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60BC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746753B">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7474058">
            <w:pPr>
              <w:spacing w:after="0" w:line="240" w:lineRule="auto"/>
            </w:pPr>
            <w:r>
              <w:rPr>
                <w:rFonts w:ascii="微软雅黑" w:hAnsi="微软雅黑" w:eastAsia="微软雅黑"/>
                <w:sz w:val="20"/>
              </w:rPr>
              <w:t>某城商行消费金融部门沿用5年前的老评分卡，随着客群结构变化，模型区分度（Gini系数）下降至0.28，已无法有效区分好坏客户。</w:t>
            </w:r>
          </w:p>
        </w:tc>
      </w:tr>
      <w:tr w14:paraId="6102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07CC179">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5BFAA5FE">
            <w:pPr>
              <w:spacing w:after="0" w:line="240" w:lineRule="auto"/>
            </w:pPr>
            <w:r>
              <w:rPr>
                <w:rFonts w:ascii="微软雅黑" w:hAnsi="微软雅黑" w:eastAsia="微软雅黑"/>
                <w:sz w:val="20"/>
              </w:rPr>
              <w:t>模型监测发现PSI（群体稳定性指数）&gt;0.25</w:t>
            </w:r>
            <w:r>
              <w:rPr>
                <w:rFonts w:hint="eastAsia" w:ascii="微软雅黑" w:hAnsi="微软雅黑" w:eastAsia="微软雅黑"/>
                <w:sz w:val="20"/>
                <w:lang w:eastAsia="zh-CN"/>
              </w:rPr>
              <w:t>（</w:t>
            </w:r>
            <w:r>
              <w:rPr>
                <w:rFonts w:hint="eastAsia" w:ascii="微软雅黑" w:hAnsi="微软雅黑" w:eastAsia="微软雅黑"/>
                <w:sz w:val="20"/>
                <w:lang w:val="en-US" w:eastAsia="zh-CN"/>
              </w:rPr>
              <w:t>用户结构发生偏移</w:t>
            </w:r>
            <w:r>
              <w:rPr>
                <w:rFonts w:hint="eastAsia" w:ascii="微软雅黑" w:hAnsi="微软雅黑" w:eastAsia="微软雅黑"/>
                <w:sz w:val="20"/>
                <w:lang w:eastAsia="zh-CN"/>
              </w:rPr>
              <w:t>）</w:t>
            </w:r>
            <w:r>
              <w:rPr>
                <w:rFonts w:ascii="微软雅黑" w:hAnsi="微软雅黑" w:eastAsia="微软雅黑"/>
                <w:sz w:val="20"/>
              </w:rPr>
              <w:t>，Gini系数低于重建阈值0.30，触发评分卡重建流程。</w:t>
            </w:r>
          </w:p>
        </w:tc>
      </w:tr>
      <w:tr w14:paraId="4934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4334D74">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38B0E61C">
            <w:pPr>
              <w:spacing w:after="0" w:line="240" w:lineRule="auto"/>
            </w:pPr>
            <w:r>
              <w:rPr>
                <w:rFonts w:ascii="微软雅黑" w:hAnsi="微软雅黑" w:eastAsia="微软雅黑"/>
                <w:sz w:val="20"/>
              </w:rPr>
              <w:t>① 提取24个月样本数据，按12:12拆分训练集和验证集；② 重新进行WOE变换和IV值筛选，保留IV&gt;0.02的特征；③ 引入征信新维度（网贷记录、消费金融查询次数）；④ 使用Logistic回归建模，设定分值档分段；⑤ 在沙盒环境测试3个月后上线。</w:t>
            </w:r>
          </w:p>
        </w:tc>
      </w:tr>
      <w:tr w14:paraId="21EA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5EFC096">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3942E10">
            <w:pPr>
              <w:spacing w:after="0" w:line="240" w:lineRule="auto"/>
            </w:pPr>
            <w:r>
              <w:rPr>
                <w:rFonts w:ascii="微软雅黑" w:hAnsi="微软雅黑" w:eastAsia="微软雅黑"/>
                <w:sz w:val="20"/>
              </w:rPr>
              <w:t>新评分卡Gini系数提升至0.42，模型KS值达0.38，通过率与原卡持平，但后续30天逾期率降低22%，预计年化节省坏账损失约1200万元。</w:t>
            </w:r>
          </w:p>
        </w:tc>
      </w:tr>
    </w:tbl>
    <w:p w14:paraId="0F1B83D6">
      <w:pPr>
        <w:spacing w:before="30" w:after="30"/>
      </w:pPr>
    </w:p>
    <w:p w14:paraId="21279ED6">
      <w:pPr>
        <w:shd w:val="clear" w:color="auto" w:fill="1F4E79"/>
        <w:spacing w:before="180" w:after="60"/>
        <w:ind w:left="120"/>
      </w:pPr>
      <w:r>
        <w:rPr>
          <w:rFonts w:ascii="微软雅黑" w:hAnsi="微软雅黑" w:eastAsia="微软雅黑"/>
          <w:b/>
          <w:color w:val="FFFFFF"/>
          <w:sz w:val="22"/>
        </w:rPr>
        <w:t>案例3  职业风险分类规则精细化治理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6BB1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3CB8283">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DAD56E8">
            <w:pPr>
              <w:spacing w:after="0" w:line="240" w:lineRule="auto"/>
            </w:pPr>
            <w:r>
              <w:rPr>
                <w:rFonts w:ascii="微软雅黑" w:hAnsi="微软雅黑" w:eastAsia="微软雅黑"/>
                <w:sz w:val="20"/>
              </w:rPr>
              <w:t>风控数据分析发现，不同职业类型客户的逾期率差异显著：自由职业者逾期率为稳定就业群体的3倍，但原有策略仅作简单区分。</w:t>
            </w:r>
          </w:p>
        </w:tc>
      </w:tr>
      <w:tr w14:paraId="0A93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F9612AE">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41BFC344">
            <w:pPr>
              <w:spacing w:after="0" w:line="240" w:lineRule="auto"/>
            </w:pPr>
            <w:r>
              <w:rPr>
                <w:rFonts w:ascii="微软雅黑" w:hAnsi="微软雅黑" w:eastAsia="微软雅黑"/>
                <w:sz w:val="20"/>
              </w:rPr>
              <w:t>职业字段为【自由职业/个体经营】且月收入无法核实（无工资流水、无社保记录）且申请金额&gt;本人月收入5倍。</w:t>
            </w:r>
          </w:p>
        </w:tc>
      </w:tr>
      <w:tr w14:paraId="0660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99882A6">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0E25838E">
            <w:pPr>
              <w:spacing w:after="0" w:line="240" w:lineRule="auto"/>
            </w:pPr>
            <w:r>
              <w:rPr>
                <w:rFonts w:ascii="微软雅黑" w:hAnsi="微软雅黑" w:eastAsia="微软雅黑"/>
                <w:sz w:val="20"/>
              </w:rPr>
              <w:t>① 对职业数据进行精细分类（17类→52类细分职业标签）；② 引入社保缴纳时长、公积金记录辅助收入核实；③ 对无法核实收入的客户限额（最高不超过5000元）；④ 对高风险职业类型实施附加条件（紧急联系人电话回访）。</w:t>
            </w:r>
          </w:p>
        </w:tc>
      </w:tr>
      <w:tr w14:paraId="09B8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5666D66">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2111ADE">
            <w:pPr>
              <w:spacing w:after="0" w:line="240" w:lineRule="auto"/>
            </w:pPr>
            <w:r>
              <w:rPr>
                <w:rFonts w:ascii="微软雅黑" w:hAnsi="微软雅黑" w:eastAsia="微软雅黑"/>
                <w:sz w:val="20"/>
              </w:rPr>
              <w:t>自由职业群体逾期率从11.3%降至6.8%，通过率下降约15%，但该群体整体信用损失显著收窄，精细化管理减少无效放贷约3000万元/年。</w:t>
            </w:r>
          </w:p>
        </w:tc>
      </w:tr>
    </w:tbl>
    <w:p w14:paraId="28DD5807">
      <w:pPr>
        <w:spacing w:before="30" w:after="30"/>
      </w:pPr>
    </w:p>
    <w:p w14:paraId="4229A110">
      <w:pPr>
        <w:pageBreakBefore/>
        <w:shd w:val="clear" w:color="auto" w:fill="1F4E79"/>
        <w:spacing w:before="0" w:after="120"/>
        <w:ind w:left="200"/>
      </w:pPr>
      <w:r>
        <w:rPr>
          <w:rFonts w:ascii="微软雅黑" w:hAnsi="微软雅黑" w:eastAsia="微软雅黑"/>
          <w:b/>
          <w:color w:val="FFFFFF"/>
          <w:sz w:val="36"/>
        </w:rPr>
        <w:t>三、反欺诈体系</w:t>
      </w:r>
    </w:p>
    <w:p w14:paraId="486457EB">
      <w:pPr>
        <w:spacing w:before="40" w:after="40"/>
        <w:ind w:left="120"/>
      </w:pPr>
      <w:r>
        <w:rPr>
          <w:rFonts w:ascii="微软雅黑" w:hAnsi="微软雅黑" w:eastAsia="微软雅黑"/>
          <w:b w:val="0"/>
          <w:i w:val="0"/>
          <w:sz w:val="21"/>
        </w:rPr>
        <w:t>欺诈风险是消费金融机构最直接、损失最集中的风险类型。反欺诈体系旨在从申请环节到交易全程，识别和阻断欺诈行为。</w:t>
      </w:r>
    </w:p>
    <w:p w14:paraId="77C4B4EF">
      <w:pPr>
        <w:spacing w:before="30" w:after="30"/>
      </w:pPr>
    </w:p>
    <w:p w14:paraId="75E53D87">
      <w:pPr>
        <w:shd w:val="clear" w:color="auto" w:fill="2E75B6"/>
        <w:spacing w:before="200" w:after="80"/>
        <w:ind w:left="120"/>
      </w:pPr>
      <w:r>
        <w:rPr>
          <w:rFonts w:ascii="微软雅黑" w:hAnsi="微软雅黑" w:eastAsia="微软雅黑"/>
          <w:b/>
          <w:color w:val="FFFFFF"/>
          <w:sz w:val="28"/>
        </w:rPr>
        <w:t>3.1 欺诈类型分类</w:t>
      </w:r>
    </w:p>
    <w:p w14:paraId="6E68423E">
      <w:pPr>
        <w:spacing w:before="30" w:after="30"/>
        <w:ind w:left="420" w:hanging="210"/>
      </w:pPr>
      <w:r>
        <w:rPr>
          <w:rFonts w:ascii="微软雅黑" w:hAnsi="微软雅黑" w:eastAsia="微软雅黑"/>
          <w:sz w:val="21"/>
        </w:rPr>
        <w:t>● 身份欺诈：使用他人真实身份证件或伪造证件申贷</w:t>
      </w:r>
    </w:p>
    <w:p w14:paraId="32332124">
      <w:pPr>
        <w:spacing w:before="30" w:after="30"/>
        <w:ind w:left="420" w:hanging="210"/>
      </w:pPr>
      <w:r>
        <w:rPr>
          <w:rFonts w:ascii="微软雅黑" w:hAnsi="微软雅黑" w:eastAsia="微软雅黑"/>
          <w:sz w:val="21"/>
        </w:rPr>
        <w:t>● 包装欺诈：伪造工资流水、在职证明、资产证明等材料</w:t>
      </w:r>
    </w:p>
    <w:p w14:paraId="5103A9C3">
      <w:pPr>
        <w:spacing w:before="30" w:after="30"/>
        <w:ind w:left="420" w:hanging="210"/>
      </w:pPr>
      <w:r>
        <w:rPr>
          <w:rFonts w:ascii="微软雅黑" w:hAnsi="微软雅黑" w:eastAsia="微软雅黑"/>
          <w:sz w:val="21"/>
        </w:rPr>
        <w:t>● 中介欺诈：贷款中介批量组织包装客户套取贷款</w:t>
      </w:r>
    </w:p>
    <w:p w14:paraId="6DCECF5A">
      <w:pPr>
        <w:spacing w:before="30" w:after="30"/>
        <w:ind w:left="420" w:hanging="210"/>
      </w:pPr>
      <w:r>
        <w:rPr>
          <w:rFonts w:ascii="微软雅黑" w:hAnsi="微软雅黑" w:eastAsia="微软雅黑"/>
          <w:sz w:val="21"/>
        </w:rPr>
        <w:t>● 共谋欺诈（团伙欺诈）：多人协同，利用关联设备/IP/账户群体性欺诈</w:t>
      </w:r>
    </w:p>
    <w:p w14:paraId="0E298173">
      <w:pPr>
        <w:spacing w:before="30" w:after="30"/>
        <w:ind w:left="420" w:hanging="210"/>
      </w:pPr>
      <w:r>
        <w:rPr>
          <w:rFonts w:ascii="微软雅黑" w:hAnsi="微软雅黑" w:eastAsia="微软雅黑"/>
          <w:sz w:val="21"/>
        </w:rPr>
        <w:t>● 账户盗用：盗用他人已有账户进行非授权借款</w:t>
      </w:r>
    </w:p>
    <w:p w14:paraId="4C9214CA">
      <w:pPr>
        <w:spacing w:before="30" w:after="30"/>
      </w:pPr>
    </w:p>
    <w:p w14:paraId="52EF32F2">
      <w:pPr>
        <w:shd w:val="clear" w:color="auto" w:fill="2E75B6"/>
        <w:spacing w:before="200" w:after="80"/>
        <w:ind w:left="120"/>
      </w:pPr>
      <w:r>
        <w:rPr>
          <w:rFonts w:ascii="微软雅黑" w:hAnsi="微软雅黑" w:eastAsia="微软雅黑"/>
          <w:b/>
          <w:color w:val="FFFFFF"/>
          <w:sz w:val="28"/>
        </w:rPr>
        <w:t>3.2 反欺诈技术体系</w:t>
      </w:r>
    </w:p>
    <w:p w14:paraId="53BC68F9">
      <w:pPr>
        <w:pBdr>
          <w:bottom w:val="single" w:color="2E75B6" w:sz="6" w:space="1"/>
        </w:pBdr>
        <w:spacing w:before="160" w:after="60"/>
      </w:pPr>
      <w:r>
        <w:rPr>
          <w:rFonts w:ascii="微软雅黑" w:hAnsi="微软雅黑" w:eastAsia="微软雅黑"/>
          <w:b/>
          <w:color w:val="1F4E79"/>
          <w:sz w:val="24"/>
        </w:rPr>
        <w:t>3.2.1 设备指纹与行为生物识别</w:t>
      </w:r>
    </w:p>
    <w:p w14:paraId="46434AA8">
      <w:pPr>
        <w:spacing w:before="40" w:after="40"/>
        <w:ind w:left="120"/>
      </w:pPr>
      <w:r>
        <w:rPr>
          <w:rFonts w:ascii="微软雅黑" w:hAnsi="微软雅黑" w:eastAsia="微软雅黑"/>
          <w:b w:val="0"/>
          <w:i w:val="0"/>
          <w:sz w:val="21"/>
        </w:rPr>
        <w:t>通过SDK采集设备特征（设备ID、GPS、加速度传感器等），结合行为生物识别（打字速度、手机握持角度、滑动轨迹）构建用户唯一标识，识别设备共用、模拟器和自动化脚本行为。</w:t>
      </w:r>
    </w:p>
    <w:p w14:paraId="06679CE2">
      <w:pPr>
        <w:spacing w:before="30" w:after="30"/>
      </w:pPr>
    </w:p>
    <w:p w14:paraId="6F31020E">
      <w:pPr>
        <w:pBdr>
          <w:bottom w:val="single" w:color="2E75B6" w:sz="6" w:space="1"/>
        </w:pBdr>
        <w:spacing w:before="160" w:after="60"/>
      </w:pPr>
      <w:r>
        <w:rPr>
          <w:rFonts w:ascii="微软雅黑" w:hAnsi="微软雅黑" w:eastAsia="微软雅黑"/>
          <w:b/>
          <w:color w:val="1F4E79"/>
          <w:sz w:val="24"/>
        </w:rPr>
        <w:t>3.2.2 图数据库关联分析</w:t>
      </w:r>
    </w:p>
    <w:p w14:paraId="6554609D">
      <w:pPr>
        <w:spacing w:before="40" w:after="40"/>
        <w:ind w:left="120"/>
      </w:pPr>
      <w:r>
        <w:rPr>
          <w:rFonts w:ascii="微软雅黑" w:hAnsi="微软雅黑" w:eastAsia="微软雅黑"/>
          <w:b w:val="0"/>
          <w:i w:val="0"/>
          <w:sz w:val="21"/>
        </w:rPr>
        <w:t>将申请人、设备、IP、手机号、地址、紧急联系人等信息构建关联图谱，通过图算法挖掘团伙欺诈关系网络，发现隐性共谋结构。</w:t>
      </w:r>
    </w:p>
    <w:p w14:paraId="0DFD38FF">
      <w:pPr>
        <w:spacing w:before="30" w:after="30"/>
      </w:pPr>
    </w:p>
    <w:p w14:paraId="493F2712">
      <w:pPr>
        <w:pBdr>
          <w:bottom w:val="single" w:color="2E75B6" w:sz="6" w:space="1"/>
        </w:pBdr>
        <w:spacing w:before="160" w:after="60"/>
      </w:pPr>
      <w:r>
        <w:rPr>
          <w:rFonts w:ascii="微软雅黑" w:hAnsi="微软雅黑" w:eastAsia="微软雅黑"/>
          <w:b/>
          <w:color w:val="1F4E79"/>
          <w:sz w:val="24"/>
        </w:rPr>
        <w:t>3.2.3 规则引擎+机器学习联动</w:t>
      </w:r>
    </w:p>
    <w:p w14:paraId="0843AA71">
      <w:pPr>
        <w:spacing w:before="40" w:after="40"/>
        <w:ind w:left="120"/>
      </w:pPr>
      <w:r>
        <w:rPr>
          <w:rFonts w:ascii="微软雅黑" w:hAnsi="微软雅黑" w:eastAsia="微软雅黑"/>
          <w:b w:val="0"/>
          <w:i w:val="0"/>
          <w:sz w:val="21"/>
        </w:rPr>
        <w:t>实时规则引擎（如Drools）负责高速拦截明确风险，机器学习模型（如XGBoost、神经网络）负责识别模糊边界欺诈，两者并行处理并综合输出风险分。</w:t>
      </w:r>
    </w:p>
    <w:p w14:paraId="22FFD259">
      <w:pPr>
        <w:spacing w:before="30" w:after="30"/>
      </w:pPr>
    </w:p>
    <w:p w14:paraId="3FFAF154">
      <w:pPr>
        <w:shd w:val="clear" w:color="auto" w:fill="2E75B6"/>
        <w:spacing w:before="200" w:after="80"/>
        <w:ind w:left="120"/>
      </w:pPr>
      <w:r>
        <w:rPr>
          <w:rFonts w:ascii="微软雅黑" w:hAnsi="微软雅黑" w:eastAsia="微软雅黑"/>
          <w:b/>
          <w:color w:val="FFFFFF"/>
          <w:sz w:val="28"/>
        </w:rPr>
        <w:t>3.3 实战案例</w:t>
      </w:r>
    </w:p>
    <w:p w14:paraId="1D782603">
      <w:pPr>
        <w:spacing w:before="30" w:after="30"/>
      </w:pPr>
    </w:p>
    <w:p w14:paraId="1857F51E">
      <w:pPr>
        <w:shd w:val="clear" w:color="auto" w:fill="1F4E79"/>
        <w:spacing w:before="180" w:after="60"/>
        <w:ind w:left="120"/>
      </w:pPr>
      <w:r>
        <w:rPr>
          <w:rFonts w:ascii="微软雅黑" w:hAnsi="微软雅黑" w:eastAsia="微软雅黑"/>
          <w:b/>
          <w:color w:val="FFFFFF"/>
          <w:sz w:val="22"/>
        </w:rPr>
        <w:t>案例1  设备指纹识别中介批量代刷行为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09E2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6FD5163">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024D16F5">
            <w:pPr>
              <w:spacing w:after="0" w:line="240" w:lineRule="auto"/>
            </w:pPr>
            <w:r>
              <w:rPr>
                <w:rFonts w:ascii="微软雅黑" w:hAnsi="微软雅黑" w:eastAsia="微软雅黑"/>
                <w:sz w:val="20"/>
              </w:rPr>
              <w:t>某消费金融平台在短期内通过率正常但首逾率骤增，运营人员注意到大量客户来自相同渠道，IP段高度集中，疑似中介操作。</w:t>
            </w:r>
          </w:p>
        </w:tc>
      </w:tr>
      <w:tr w14:paraId="2BBB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EEAF2AF">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5DE16803">
            <w:pPr>
              <w:spacing w:after="0" w:line="240" w:lineRule="auto"/>
            </w:pPr>
            <w:r>
              <w:rPr>
                <w:rFonts w:ascii="微软雅黑" w:hAnsi="微软雅黑" w:eastAsia="微软雅黑"/>
                <w:sz w:val="20"/>
              </w:rPr>
              <w:t>同一设备ID在7天内提交申请数≥3次；或同一WiFi热点下申请数≥5次；或同一手机号归属地与GPS定位偏差&gt;300公里。</w:t>
            </w:r>
          </w:p>
        </w:tc>
      </w:tr>
      <w:tr w14:paraId="5B15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BF977C4">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64A781D">
            <w:pPr>
              <w:spacing w:after="0" w:line="240" w:lineRule="auto"/>
            </w:pPr>
            <w:r>
              <w:rPr>
                <w:rFonts w:ascii="微软雅黑" w:hAnsi="微软雅黑" w:eastAsia="微软雅黑"/>
                <w:sz w:val="20"/>
              </w:rPr>
              <w:t>① 接入设备指纹SDK，采集50+维设备特征；② 建立设备风险画像，对【同设备多客】场景触发预警；③ 对疑似中介IP段、WiFi热点加入灰名单，新增人工复核流程；④ 联合反欺诈联盟（如百融黑名单）比对。</w:t>
            </w:r>
          </w:p>
        </w:tc>
      </w:tr>
      <w:tr w14:paraId="54D7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5F4029A">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AABE8D0">
            <w:pPr>
              <w:spacing w:after="0" w:line="240" w:lineRule="auto"/>
            </w:pPr>
            <w:r>
              <w:rPr>
                <w:rFonts w:ascii="微软雅黑" w:hAnsi="微软雅黑" w:eastAsia="微软雅黑"/>
                <w:sz w:val="20"/>
              </w:rPr>
              <w:t>疑似中介代刷申请识别率提升至78%，首逾率下降31%，被拦截欺诈客户后续经核实欺诈率高达65%，有效减少损失约800万元/季度。</w:t>
            </w:r>
          </w:p>
        </w:tc>
      </w:tr>
    </w:tbl>
    <w:p w14:paraId="6B8D712B">
      <w:pPr>
        <w:spacing w:before="30" w:after="30"/>
      </w:pPr>
    </w:p>
    <w:p w14:paraId="09D7D346">
      <w:pPr>
        <w:shd w:val="clear" w:color="auto" w:fill="1F4E79"/>
        <w:spacing w:before="180" w:after="60"/>
        <w:ind w:left="120"/>
      </w:pPr>
      <w:r>
        <w:rPr>
          <w:rFonts w:ascii="微软雅黑" w:hAnsi="微软雅黑" w:eastAsia="微软雅黑"/>
          <w:b/>
          <w:color w:val="FFFFFF"/>
          <w:sz w:val="22"/>
        </w:rPr>
        <w:t>案例2  图数据库识别团伙欺诈网络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3051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3EDA100">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AA5BD11">
            <w:pPr>
              <w:spacing w:after="0" w:line="240" w:lineRule="auto"/>
            </w:pPr>
            <w:r>
              <w:rPr>
                <w:rFonts w:ascii="微软雅黑" w:hAnsi="微软雅黑" w:eastAsia="微软雅黑"/>
                <w:sz w:val="20"/>
              </w:rPr>
              <w:t>风控系统发现某地区出现多笔贷款集中在首期还款后立即失联的情况，疑似团伙欺诈，但各申请人信息独立，常规规则未触发。</w:t>
            </w:r>
          </w:p>
        </w:tc>
      </w:tr>
      <w:tr w14:paraId="74F7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FFB1270">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15EB0DE">
            <w:pPr>
              <w:spacing w:after="0" w:line="240" w:lineRule="auto"/>
            </w:pPr>
            <w:r>
              <w:rPr>
                <w:rFonts w:ascii="微软雅黑" w:hAnsi="微软雅黑" w:eastAsia="微软雅黑"/>
                <w:sz w:val="20"/>
              </w:rPr>
              <w:t>申请人之间存在二度或三度关联（共同紧急联系人、共同设备、相同地址）且有2人以上已出现逾期，触发团伙欺诈预警。</w:t>
            </w:r>
          </w:p>
        </w:tc>
      </w:tr>
      <w:tr w14:paraId="2CAC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FA1C34C">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03705E7">
            <w:pPr>
              <w:spacing w:after="0" w:line="240" w:lineRule="auto"/>
            </w:pPr>
            <w:r>
              <w:rPr>
                <w:rFonts w:ascii="微软雅黑" w:hAnsi="微软雅黑" w:eastAsia="微软雅黑"/>
                <w:sz w:val="20"/>
              </w:rPr>
              <w:t>① 构建知识图谱，以申请人为节点，设备/手机/地址/联系人为边；② 运行社区发现算法（Louvain）识别高密度关联子图；③ 对同一社区内新申请人实施提高审查等级或暂停审批；④ 将确认欺诈团伙信息同步至黑名单并上报监管。</w:t>
            </w:r>
          </w:p>
        </w:tc>
      </w:tr>
      <w:tr w14:paraId="2015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B881225">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0C277A8">
            <w:pPr>
              <w:spacing w:after="0" w:line="240" w:lineRule="auto"/>
            </w:pPr>
            <w:r>
              <w:rPr>
                <w:rFonts w:ascii="微软雅黑" w:hAnsi="微软雅黑" w:eastAsia="微软雅黑"/>
                <w:sz w:val="20"/>
              </w:rPr>
              <w:t>识别出3个欺诈团伙共47人，涉及未核销金额约240万元，成功冻结其中28人尚未提款，避免直接损失约120万元，同时为司法追诉提供完整链路证据。</w:t>
            </w:r>
          </w:p>
        </w:tc>
      </w:tr>
    </w:tbl>
    <w:p w14:paraId="6D3CF0E1">
      <w:pPr>
        <w:spacing w:before="30" w:after="30"/>
      </w:pPr>
    </w:p>
    <w:p w14:paraId="23D4FE00">
      <w:pPr>
        <w:shd w:val="clear" w:color="auto" w:fill="1F4E79"/>
        <w:spacing w:before="180" w:after="60"/>
        <w:ind w:left="120"/>
      </w:pPr>
      <w:r>
        <w:rPr>
          <w:rFonts w:ascii="微软雅黑" w:hAnsi="微软雅黑" w:eastAsia="微软雅黑"/>
          <w:b/>
          <w:color w:val="FFFFFF"/>
          <w:sz w:val="22"/>
        </w:rPr>
        <w:t>案例3  活体检测拦截人脸欺诈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0988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DBA25C6">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F0619EE">
            <w:pPr>
              <w:spacing w:after="0" w:line="240" w:lineRule="auto"/>
            </w:pPr>
            <w:r>
              <w:rPr>
                <w:rFonts w:ascii="微软雅黑" w:hAnsi="微软雅黑" w:eastAsia="微软雅黑"/>
                <w:sz w:val="20"/>
              </w:rPr>
              <w:t>某平台上线纯线上借贷产品后，发现大量【代刷脸】案例，有人使用他人照片或视频通过人脸核身，身份欺诈率达到1.2%，远高于行业基准。</w:t>
            </w:r>
          </w:p>
        </w:tc>
      </w:tr>
      <w:tr w14:paraId="7DC1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4839FCE">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075A036">
            <w:pPr>
              <w:spacing w:after="0" w:line="240" w:lineRule="auto"/>
            </w:pPr>
            <w:r>
              <w:rPr>
                <w:rFonts w:ascii="微软雅黑" w:hAnsi="微软雅黑" w:eastAsia="微软雅黑"/>
                <w:sz w:val="20"/>
              </w:rPr>
              <w:t>活体检测置信度分数&lt;0.85；或人脸核身通过但设备为首次使用、历史行为数据空白、申请时间在凌晨0-5点之间（高风险时间段）。</w:t>
            </w:r>
          </w:p>
        </w:tc>
      </w:tr>
      <w:tr w14:paraId="2088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9244F07">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D4FBB9F">
            <w:pPr>
              <w:spacing w:after="0" w:line="240" w:lineRule="auto"/>
            </w:pPr>
            <w:r>
              <w:rPr>
                <w:rFonts w:ascii="微软雅黑" w:hAnsi="微软雅黑" w:eastAsia="微软雅黑"/>
                <w:sz w:val="20"/>
              </w:rPr>
              <w:t>① 升级活体检测算法，从静态照片检测升级为3D活体+动作指令（摇头/眨眼/张嘴）双重验证；② 引入设备+人脸双因子绑定机制；③ 对夜间异常时段申请增加延时审核+短信二次确认；④ 对疑似欺诈图片入库存档，人工抽样复核。</w:t>
            </w:r>
          </w:p>
        </w:tc>
      </w:tr>
      <w:tr w14:paraId="274E1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932375A">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84DFAB0">
            <w:pPr>
              <w:spacing w:after="0" w:line="240" w:lineRule="auto"/>
            </w:pPr>
            <w:r>
              <w:rPr>
                <w:rFonts w:ascii="微软雅黑" w:hAnsi="微软雅黑" w:eastAsia="微软雅黑"/>
                <w:sz w:val="20"/>
              </w:rPr>
              <w:t>身份欺诈率从1.2%下降至0.3%，通过率影响不超过2%，活体攻击事件季度发生次数从37起降至6起，整体用户体验未受明显影响。</w:t>
            </w:r>
          </w:p>
        </w:tc>
      </w:tr>
    </w:tbl>
    <w:p w14:paraId="56208610">
      <w:pPr>
        <w:spacing w:before="30" w:after="30"/>
      </w:pPr>
    </w:p>
    <w:p w14:paraId="4C52BE2B">
      <w:pPr>
        <w:pageBreakBefore/>
        <w:shd w:val="clear" w:color="auto" w:fill="1F4E79"/>
        <w:spacing w:before="0" w:after="120"/>
        <w:ind w:left="200"/>
      </w:pPr>
      <w:r>
        <w:rPr>
          <w:rFonts w:ascii="微软雅黑" w:hAnsi="微软雅黑" w:eastAsia="微软雅黑"/>
          <w:b/>
          <w:color w:val="FFFFFF"/>
          <w:sz w:val="36"/>
        </w:rPr>
        <w:t>四、额度与定价策略</w:t>
      </w:r>
    </w:p>
    <w:p w14:paraId="179D5C47">
      <w:pPr>
        <w:spacing w:before="40" w:after="40"/>
        <w:ind w:left="120"/>
      </w:pPr>
      <w:r>
        <w:rPr>
          <w:rFonts w:ascii="微软雅黑" w:hAnsi="微软雅黑" w:eastAsia="微软雅黑"/>
          <w:b w:val="0"/>
          <w:i w:val="0"/>
          <w:sz w:val="21"/>
        </w:rPr>
        <w:t>科学的额度和定价策略能够在满足客户需求的前提下，实现风险与收益的最优匹配，是消费金融盈利模型的核心组成部分。</w:t>
      </w:r>
    </w:p>
    <w:p w14:paraId="48F921CB">
      <w:pPr>
        <w:spacing w:before="30" w:after="30"/>
      </w:pPr>
    </w:p>
    <w:p w14:paraId="1BB8BEBB">
      <w:pPr>
        <w:shd w:val="clear" w:color="auto" w:fill="2E75B6"/>
        <w:spacing w:before="200" w:after="80"/>
        <w:ind w:left="120"/>
      </w:pPr>
      <w:r>
        <w:rPr>
          <w:rFonts w:ascii="微软雅黑" w:hAnsi="微软雅黑" w:eastAsia="微软雅黑"/>
          <w:b/>
          <w:color w:val="FFFFFF"/>
          <w:sz w:val="28"/>
        </w:rPr>
        <w:t>4.1 额度策略设计</w:t>
      </w:r>
    </w:p>
    <w:p w14:paraId="22CD0BC3">
      <w:pPr>
        <w:pBdr>
          <w:bottom w:val="single" w:color="2E75B6" w:sz="6" w:space="1"/>
        </w:pBdr>
        <w:spacing w:before="160" w:after="60"/>
      </w:pPr>
      <w:r>
        <w:rPr>
          <w:rFonts w:ascii="微软雅黑" w:hAnsi="微软雅黑" w:eastAsia="微软雅黑"/>
          <w:b/>
          <w:color w:val="1F4E79"/>
          <w:sz w:val="24"/>
        </w:rPr>
        <w:t>4.1.1 初始额度策略</w:t>
      </w:r>
    </w:p>
    <w:p w14:paraId="731BBE88">
      <w:pPr>
        <w:spacing w:before="40" w:after="40"/>
        <w:ind w:left="120"/>
      </w:pPr>
      <w:r>
        <w:rPr>
          <w:rFonts w:ascii="微软雅黑" w:hAnsi="微软雅黑" w:eastAsia="微软雅黑"/>
          <w:b w:val="0"/>
          <w:i w:val="0"/>
          <w:sz w:val="21"/>
        </w:rPr>
        <w:t>初始额度通常基于以下因素综合决定：</w:t>
      </w:r>
    </w:p>
    <w:p w14:paraId="1ED7E8E7">
      <w:pPr>
        <w:spacing w:before="30" w:after="30"/>
        <w:ind w:left="420" w:hanging="210"/>
      </w:pPr>
      <w:r>
        <w:rPr>
          <w:rFonts w:ascii="微软雅黑" w:hAnsi="微软雅黑" w:eastAsia="微软雅黑"/>
          <w:sz w:val="21"/>
        </w:rPr>
        <w:t>● 信用评分档位：按A卡分值划分5~7个档，对应不同额度区间</w:t>
      </w:r>
    </w:p>
    <w:p w14:paraId="6BBE036A">
      <w:pPr>
        <w:spacing w:before="30" w:after="30"/>
        <w:ind w:left="420" w:hanging="210"/>
      </w:pPr>
      <w:r>
        <w:rPr>
          <w:rFonts w:ascii="微软雅黑" w:hAnsi="微软雅黑" w:eastAsia="微软雅黑"/>
          <w:sz w:val="21"/>
        </w:rPr>
        <w:t>● 收入验证结果：通过银行流水、薪资单、税单等核实的月收入×倍数</w:t>
      </w:r>
    </w:p>
    <w:p w14:paraId="6975BD7B">
      <w:pPr>
        <w:spacing w:before="30" w:after="30"/>
        <w:ind w:left="420" w:hanging="210"/>
      </w:pPr>
      <w:r>
        <w:rPr>
          <w:rFonts w:ascii="微软雅黑" w:hAnsi="微软雅黑" w:eastAsia="微软雅黑"/>
          <w:sz w:val="21"/>
        </w:rPr>
        <w:t>● 债务收入比（DTI）：参考现有负债，控制新增负债比例</w:t>
      </w:r>
    </w:p>
    <w:p w14:paraId="67A87328">
      <w:pPr>
        <w:spacing w:before="30" w:after="30"/>
        <w:ind w:left="420" w:hanging="210"/>
      </w:pPr>
      <w:r>
        <w:rPr>
          <w:rFonts w:ascii="微软雅黑" w:hAnsi="微软雅黑" w:eastAsia="微软雅黑"/>
          <w:sz w:val="21"/>
        </w:rPr>
        <w:t>● 产品类型：消费分期额度通常低于现金贷，有场景约束的额度可适当放大</w:t>
      </w:r>
    </w:p>
    <w:p w14:paraId="1A6232F8">
      <w:pPr>
        <w:spacing w:before="30" w:after="30"/>
      </w:pPr>
    </w:p>
    <w:p w14:paraId="66408A73">
      <w:pPr>
        <w:pBdr>
          <w:bottom w:val="single" w:color="2E75B6" w:sz="6" w:space="1"/>
        </w:pBdr>
        <w:spacing w:before="160" w:after="60"/>
      </w:pPr>
      <w:r>
        <w:rPr>
          <w:rFonts w:ascii="微软雅黑" w:hAnsi="微软雅黑" w:eastAsia="微软雅黑"/>
          <w:b/>
          <w:color w:val="1F4E79"/>
          <w:sz w:val="24"/>
        </w:rPr>
        <w:t>4.1.2 额度调整策略</w:t>
      </w:r>
    </w:p>
    <w:p w14:paraId="56AF3196">
      <w:pPr>
        <w:spacing w:before="40" w:after="40"/>
        <w:ind w:left="120"/>
      </w:pPr>
      <w:r>
        <w:rPr>
          <w:rFonts w:ascii="微软雅黑" w:hAnsi="微软雅黑" w:eastAsia="微软雅黑"/>
          <w:b w:val="0"/>
          <w:i w:val="0"/>
          <w:sz w:val="21"/>
        </w:rPr>
        <w:t>对存量客户实施动态额度管理：</w:t>
      </w:r>
    </w:p>
    <w:p w14:paraId="161A1969">
      <w:pPr>
        <w:spacing w:before="30" w:after="30"/>
        <w:ind w:left="420" w:hanging="210"/>
      </w:pPr>
      <w:r>
        <w:rPr>
          <w:rFonts w:ascii="微软雅黑" w:hAnsi="微软雅黑" w:eastAsia="微软雅黑"/>
          <w:sz w:val="21"/>
        </w:rPr>
        <w:t>● 行为评分提升 → 额度提升（主动提额）</w:t>
      </w:r>
    </w:p>
    <w:p w14:paraId="1B09EAF3">
      <w:pPr>
        <w:spacing w:before="30" w:after="30"/>
        <w:ind w:left="420" w:hanging="210"/>
      </w:pPr>
      <w:r>
        <w:rPr>
          <w:rFonts w:ascii="微软雅黑" w:hAnsi="微软雅黑" w:eastAsia="微软雅黑"/>
          <w:sz w:val="21"/>
        </w:rPr>
        <w:t>● 出现逾期信号 → 额度冻结或降额</w:t>
      </w:r>
    </w:p>
    <w:p w14:paraId="1A96B9EC">
      <w:pPr>
        <w:spacing w:before="30" w:after="30"/>
        <w:ind w:left="420" w:hanging="210"/>
      </w:pPr>
      <w:r>
        <w:rPr>
          <w:rFonts w:ascii="微软雅黑" w:hAnsi="微软雅黑" w:eastAsia="微软雅黑"/>
          <w:sz w:val="21"/>
        </w:rPr>
        <w:t>● 长期未使用 → 休眠降额（节约授信资源）</w:t>
      </w:r>
    </w:p>
    <w:p w14:paraId="678116F0">
      <w:pPr>
        <w:spacing w:before="30" w:after="30"/>
        <w:ind w:left="420" w:hanging="210"/>
      </w:pPr>
      <w:r>
        <w:rPr>
          <w:rFonts w:ascii="微软雅黑" w:hAnsi="微软雅黑" w:eastAsia="微软雅黑"/>
          <w:sz w:val="21"/>
        </w:rPr>
        <w:t>● 还款表现良好 + 使用率高 → 临时提额激活</w:t>
      </w:r>
    </w:p>
    <w:p w14:paraId="5CFF6C53">
      <w:pPr>
        <w:spacing w:before="30" w:after="30"/>
      </w:pPr>
    </w:p>
    <w:p w14:paraId="7A118381">
      <w:pPr>
        <w:shd w:val="clear" w:color="auto" w:fill="2E75B6"/>
        <w:spacing w:before="200" w:after="80"/>
        <w:ind w:left="120"/>
      </w:pPr>
      <w:r>
        <w:rPr>
          <w:rFonts w:ascii="微软雅黑" w:hAnsi="微软雅黑" w:eastAsia="微软雅黑"/>
          <w:b/>
          <w:color w:val="FFFFFF"/>
          <w:sz w:val="28"/>
        </w:rPr>
        <w:t>4.2 定价策略</w:t>
      </w:r>
    </w:p>
    <w:p w14:paraId="2FFB58CB">
      <w:pPr>
        <w:spacing w:before="40" w:after="40"/>
        <w:ind w:left="120"/>
      </w:pPr>
      <w:r>
        <w:rPr>
          <w:rFonts w:ascii="微软雅黑" w:hAnsi="微软雅黑" w:eastAsia="微软雅黑"/>
          <w:b w:val="0"/>
          <w:i w:val="0"/>
          <w:sz w:val="21"/>
        </w:rPr>
        <w:t>消费金融产品定价需覆盖以下成本并实现盈利：</w:t>
      </w:r>
    </w:p>
    <w:p w14:paraId="5A4E36A9">
      <w:pPr>
        <w:spacing w:before="40" w:after="40"/>
        <w:ind w:left="120"/>
      </w:pPr>
      <w:r>
        <w:rPr>
          <w:rFonts w:ascii="微软雅黑" w:hAnsi="微软雅黑" w:eastAsia="微软雅黑"/>
          <w:b w:val="0"/>
          <w:i w:val="0"/>
          <w:sz w:val="21"/>
        </w:rPr>
        <w:t>【定价公式】年化利率 = 资金成本 + 运营成本 + 风险损失率 + 目标利润</w:t>
      </w:r>
    </w:p>
    <w:p w14:paraId="4AF65955">
      <w:pPr>
        <w:spacing w:before="30" w:after="30"/>
        <w:ind w:left="420" w:hanging="210"/>
      </w:pPr>
      <w:r>
        <w:rPr>
          <w:rFonts w:ascii="微软雅黑" w:hAnsi="微软雅黑" w:eastAsia="微软雅黑"/>
          <w:sz w:val="21"/>
        </w:rPr>
        <w:t>● 资金成本：通常2%~5%，取决于融资渠道（存款、ABS、银行授信等）</w:t>
      </w:r>
    </w:p>
    <w:p w14:paraId="2675A6D9">
      <w:pPr>
        <w:spacing w:before="30" w:after="30"/>
        <w:ind w:left="420" w:hanging="210"/>
      </w:pPr>
      <w:r>
        <w:rPr>
          <w:rFonts w:ascii="微软雅黑" w:hAnsi="微软雅黑" w:eastAsia="微软雅黑"/>
          <w:sz w:val="21"/>
        </w:rPr>
        <w:t>● 运营成本：获客、系统、人工等，约占1%~3%</w:t>
      </w:r>
    </w:p>
    <w:p w14:paraId="5A5A073F">
      <w:pPr>
        <w:spacing w:before="30" w:after="30"/>
        <w:ind w:left="420" w:hanging="210"/>
      </w:pPr>
      <w:r>
        <w:rPr>
          <w:rFonts w:ascii="微软雅黑" w:hAnsi="微软雅黑" w:eastAsia="微软雅黑"/>
          <w:sz w:val="21"/>
        </w:rPr>
        <w:t>● 风险损失率：预期信用损失（ECL），按客群风险差异化设置</w:t>
      </w:r>
    </w:p>
    <w:p w14:paraId="47F19E60">
      <w:pPr>
        <w:spacing w:before="30" w:after="30"/>
        <w:ind w:left="420" w:hanging="210"/>
      </w:pPr>
      <w:r>
        <w:rPr>
          <w:rFonts w:ascii="微软雅黑" w:hAnsi="微软雅黑" w:eastAsia="微软雅黑"/>
          <w:sz w:val="21"/>
        </w:rPr>
        <w:t>● 监管上限：年化36%（LPR相关监管要求）</w:t>
      </w:r>
    </w:p>
    <w:p w14:paraId="12B88EC2">
      <w:pPr>
        <w:shd w:val="clear" w:color="auto" w:fill="EBF5EB"/>
        <w:spacing w:before="60" w:after="60"/>
        <w:ind w:left="200" w:right="200"/>
      </w:pPr>
      <w:r>
        <w:rPr>
          <w:rFonts w:ascii="微软雅黑" w:hAnsi="微软雅黑" w:eastAsia="微软雅黑"/>
          <w:i/>
          <w:color w:val="375623"/>
          <w:sz w:val="20"/>
        </w:rPr>
        <w:t xml:space="preserve">  提示：差异化定价（Risk-Based Pricing）是行业趋势，同一产品对不同风险客户报不同利率，低风险客户享受优惠价格，高风险客户承担更高风险溢价。</w:t>
      </w:r>
    </w:p>
    <w:p w14:paraId="51978F95">
      <w:pPr>
        <w:spacing w:before="30" w:after="30"/>
      </w:pPr>
    </w:p>
    <w:p w14:paraId="40920F49">
      <w:pPr>
        <w:shd w:val="clear" w:color="auto" w:fill="2E75B6"/>
        <w:spacing w:before="200" w:after="80"/>
        <w:ind w:left="120"/>
      </w:pPr>
      <w:r>
        <w:rPr>
          <w:rFonts w:ascii="微软雅黑" w:hAnsi="微软雅黑" w:eastAsia="微软雅黑"/>
          <w:b/>
          <w:color w:val="FFFFFF"/>
          <w:sz w:val="28"/>
        </w:rPr>
        <w:t>4.3 实战案例</w:t>
      </w:r>
    </w:p>
    <w:p w14:paraId="4D6C5D63">
      <w:pPr>
        <w:spacing w:before="30" w:after="30"/>
      </w:pPr>
    </w:p>
    <w:p w14:paraId="79393F68">
      <w:pPr>
        <w:shd w:val="clear" w:color="auto" w:fill="1F4E79"/>
        <w:spacing w:before="180" w:after="60"/>
        <w:ind w:left="120"/>
      </w:pPr>
      <w:r>
        <w:rPr>
          <w:rFonts w:ascii="微软雅黑" w:hAnsi="微软雅黑" w:eastAsia="微软雅黑"/>
          <w:b/>
          <w:color w:val="FFFFFF"/>
          <w:sz w:val="22"/>
        </w:rPr>
        <w:t>案例1  基于风险评分的差异化初始额度策略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5A9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DB6A20F">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3AB29495">
            <w:pPr>
              <w:spacing w:after="0" w:line="240" w:lineRule="auto"/>
            </w:pPr>
            <w:r>
              <w:rPr>
                <w:rFonts w:ascii="微软雅黑" w:hAnsi="微软雅黑" w:eastAsia="微软雅黑"/>
                <w:sz w:val="20"/>
              </w:rPr>
              <w:t>某消费金融公司采用统一额度策略（所有通过客户授信5000元），导致低风险客户抱怨额度不足流失至竞品，高风险客户则造成大量坏账。</w:t>
            </w:r>
          </w:p>
        </w:tc>
      </w:tr>
      <w:tr w14:paraId="3ACA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1C354B3">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483A4025">
            <w:pPr>
              <w:spacing w:after="0" w:line="240" w:lineRule="auto"/>
            </w:pPr>
            <w:r>
              <w:rPr>
                <w:rFonts w:ascii="微软雅黑" w:hAnsi="微软雅黑" w:eastAsia="微软雅黑"/>
                <w:sz w:val="20"/>
              </w:rPr>
              <w:t>客户通过准入审核，进入额度决策环节，触发基于信用评分的分档额度策略。</w:t>
            </w:r>
          </w:p>
        </w:tc>
      </w:tr>
      <w:tr w14:paraId="0CD5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5E66091">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7003CE0">
            <w:pPr>
              <w:spacing w:after="0" w:line="240" w:lineRule="auto"/>
            </w:pPr>
            <w:r>
              <w:rPr>
                <w:rFonts w:ascii="微软雅黑" w:hAnsi="微软雅黑" w:eastAsia="微软雅黑"/>
                <w:sz w:val="20"/>
              </w:rPr>
              <w:t>① 将A卡分值划分为5档（&lt;600、600-640、641-680、681-720、&gt;720）；② 对应额度分别为2000、5000、10000、15000、20000元；③ 叠加DTI限制（负债收入比&gt;60%的客户额度减半）；④ 新客户前3个月仅授80%额度，表现良好后激活剩余20%。</w:t>
            </w:r>
          </w:p>
        </w:tc>
      </w:tr>
      <w:tr w14:paraId="0A88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4D1BAAC">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E02FC9E">
            <w:pPr>
              <w:spacing w:after="0" w:line="240" w:lineRule="auto"/>
            </w:pPr>
            <w:r>
              <w:rPr>
                <w:rFonts w:ascii="微软雅黑" w:hAnsi="微软雅黑" w:eastAsia="微软雅黑"/>
                <w:sz w:val="20"/>
              </w:rPr>
              <w:t>低风险客群（评分&gt;720）额度满足率从45%提升至88%，流失率降低30%；高风险客群（评分&lt;600）坏账损失减少40%；整体组合风险调整后收益率（RAROC）提升15%。</w:t>
            </w:r>
          </w:p>
        </w:tc>
      </w:tr>
    </w:tbl>
    <w:p w14:paraId="697EBE16">
      <w:pPr>
        <w:spacing w:before="30" w:after="30"/>
      </w:pPr>
    </w:p>
    <w:p w14:paraId="099B9991">
      <w:pPr>
        <w:shd w:val="clear" w:color="auto" w:fill="1F4E79"/>
        <w:spacing w:before="180" w:after="60"/>
        <w:ind w:left="120"/>
      </w:pPr>
      <w:r>
        <w:rPr>
          <w:rFonts w:ascii="微软雅黑" w:hAnsi="微软雅黑" w:eastAsia="微软雅黑"/>
          <w:b/>
          <w:color w:val="FFFFFF"/>
          <w:sz w:val="22"/>
        </w:rPr>
        <w:t>案例2  信用表现驱动的存量客户提额策略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77A2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7CE1E4A">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DEF633B">
            <w:pPr>
              <w:spacing w:after="0" w:line="240" w:lineRule="auto"/>
            </w:pPr>
            <w:r>
              <w:rPr>
                <w:rFonts w:ascii="微软雅黑" w:hAnsi="微软雅黑" w:eastAsia="微软雅黑"/>
                <w:sz w:val="20"/>
              </w:rPr>
              <w:t>某平台存量客户中有大量优质客户长期维持原始低额度，复借率低，客单价无法提升，LTV（客户生命周期价值）偏低。</w:t>
            </w:r>
          </w:p>
        </w:tc>
      </w:tr>
      <w:tr w14:paraId="7891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057C84E">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2860DFCD">
            <w:pPr>
              <w:spacing w:after="0" w:line="240" w:lineRule="auto"/>
            </w:pPr>
            <w:r>
              <w:rPr>
                <w:rFonts w:ascii="微软雅黑" w:hAnsi="微软雅黑" w:eastAsia="微软雅黑"/>
                <w:sz w:val="20"/>
              </w:rPr>
              <w:t>客户连续还款满6期且无逾期、当期行为评分≥660分（高于准入时评分）、近3个月使用率&gt;70%，触发主动提额邀请。</w:t>
            </w:r>
          </w:p>
        </w:tc>
      </w:tr>
      <w:tr w14:paraId="4A45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83499C3">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256B184">
            <w:pPr>
              <w:spacing w:after="0" w:line="240" w:lineRule="auto"/>
            </w:pPr>
            <w:r>
              <w:rPr>
                <w:rFonts w:ascii="微软雅黑" w:hAnsi="微软雅黑" w:eastAsia="微软雅黑"/>
                <w:sz w:val="20"/>
              </w:rPr>
              <w:t>① 建立行为评分模型（B卡），对存量客户每月更新评分；② 设定提额触发规则（满足3个月连续评分提升）；③ 通过APP消息/短信推送【专属提额】邀请，提额幅度20%~50%；④ 监控提额后30天逾期率，设定回滚机制。</w:t>
            </w:r>
          </w:p>
        </w:tc>
      </w:tr>
      <w:tr w14:paraId="0169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BF36F35">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2BB8157A">
            <w:pPr>
              <w:spacing w:after="0" w:line="240" w:lineRule="auto"/>
            </w:pPr>
            <w:r>
              <w:rPr>
                <w:rFonts w:ascii="微软雅黑" w:hAnsi="微软雅黑" w:eastAsia="微软雅黑"/>
                <w:sz w:val="20"/>
              </w:rPr>
              <w:t>符合条件客户提额接受率63%，提额后3个月逾期率仅比对照组高0.5个百分点，但人均贷款余额增加42%，整体利息收入增长显著，提额活动ROI达到8.3:1。</w:t>
            </w:r>
          </w:p>
        </w:tc>
      </w:tr>
    </w:tbl>
    <w:p w14:paraId="22FCC0E4">
      <w:pPr>
        <w:spacing w:before="30" w:after="30"/>
      </w:pPr>
    </w:p>
    <w:p w14:paraId="3AA078C4">
      <w:pPr>
        <w:shd w:val="clear" w:color="auto" w:fill="1F4E79"/>
        <w:spacing w:before="180" w:after="60"/>
        <w:ind w:left="120"/>
      </w:pPr>
      <w:r>
        <w:rPr>
          <w:rFonts w:ascii="微软雅黑" w:hAnsi="微软雅黑" w:eastAsia="微软雅黑"/>
          <w:b/>
          <w:color w:val="FFFFFF"/>
          <w:sz w:val="22"/>
        </w:rPr>
        <w:t>案例3  基于风险的差异化定价（RBP）体系构建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17DA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82F6F27">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D3A9085">
            <w:pPr>
              <w:spacing w:after="0" w:line="240" w:lineRule="auto"/>
            </w:pPr>
            <w:r>
              <w:rPr>
                <w:rFonts w:ascii="微软雅黑" w:hAnsi="微软雅黑" w:eastAsia="微软雅黑"/>
                <w:sz w:val="20"/>
              </w:rPr>
              <w:t>某消费金融公司产品采用统一年化18%利率，导致高信用客户因利率偏高流失，低信用客户因风险溢价不足导致综合收益为负。</w:t>
            </w:r>
          </w:p>
        </w:tc>
      </w:tr>
      <w:tr w14:paraId="1F02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8E57131">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80E9D3D">
            <w:pPr>
              <w:spacing w:after="0" w:line="240" w:lineRule="auto"/>
            </w:pPr>
            <w:r>
              <w:rPr>
                <w:rFonts w:ascii="微软雅黑" w:hAnsi="微软雅黑" w:eastAsia="微软雅黑"/>
                <w:sz w:val="20"/>
              </w:rPr>
              <w:t>客户通过准入审核进入定价决策节点，依据信用评分、DTI和外部数据综合风险评级触发差异化定价。</w:t>
            </w:r>
          </w:p>
        </w:tc>
      </w:tr>
      <w:tr w14:paraId="2339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1F79BF9">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34545B3B">
            <w:pPr>
              <w:spacing w:after="0" w:line="240" w:lineRule="auto"/>
            </w:pPr>
            <w:r>
              <w:rPr>
                <w:rFonts w:ascii="微软雅黑" w:hAnsi="微软雅黑" w:eastAsia="微软雅黑"/>
                <w:sz w:val="20"/>
              </w:rPr>
              <w:t>① 将客户分为5个风险等级（AAA/AA/A/BB/B）；② 对应定价分别为10.8%/14.4%/18%/23.4%/29.9%（均在36%上限以内）；③ 将风险定价嵌入贷前审批流程，自动出具利率报价；④ 设置季度定价审查机制，根据各档实际损失率动态调整。</w:t>
            </w:r>
          </w:p>
        </w:tc>
      </w:tr>
      <w:tr w14:paraId="0382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DD0367A">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BC71DB1">
            <w:pPr>
              <w:spacing w:after="0" w:line="240" w:lineRule="auto"/>
            </w:pPr>
            <w:r>
              <w:rPr>
                <w:rFonts w:ascii="微软雅黑" w:hAnsi="微软雅黑" w:eastAsia="微软雅黑"/>
                <w:sz w:val="20"/>
              </w:rPr>
              <w:t>高信用客群（AAA/AA级）通过率提升22%，流失率下降18%；低信用客群定价覆盖损失，综合收益由负转正；整体贷款组合风险调整净息差（NIM after ECL）由1.8%提升至3.2%。</w:t>
            </w:r>
          </w:p>
        </w:tc>
      </w:tr>
    </w:tbl>
    <w:p w14:paraId="09C6C244">
      <w:pPr>
        <w:spacing w:before="30" w:after="30"/>
      </w:pPr>
    </w:p>
    <w:p w14:paraId="2DAC58E1">
      <w:pPr>
        <w:pageBreakBefore/>
        <w:shd w:val="clear" w:color="auto" w:fill="1F4E79"/>
        <w:spacing w:before="0" w:after="120"/>
        <w:ind w:left="200"/>
      </w:pPr>
      <w:r>
        <w:rPr>
          <w:rFonts w:ascii="微软雅黑" w:hAnsi="微软雅黑" w:eastAsia="微软雅黑"/>
          <w:b/>
          <w:color w:val="FFFFFF"/>
          <w:sz w:val="36"/>
        </w:rPr>
        <w:t>五、贷中监控与预警体系</w:t>
      </w:r>
    </w:p>
    <w:p w14:paraId="3DD45064">
      <w:pPr>
        <w:spacing w:before="40" w:after="40"/>
        <w:ind w:left="120"/>
      </w:pPr>
      <w:r>
        <w:rPr>
          <w:rFonts w:ascii="微软雅黑" w:hAnsi="微软雅黑" w:eastAsia="微软雅黑"/>
          <w:b w:val="0"/>
          <w:i w:val="0"/>
          <w:sz w:val="21"/>
        </w:rPr>
        <w:t>贷中风控是信用风险管理的核心动态环节，通过实时监测客户行为和还款状态，及时发现风险苗头并提前干预，避免坏账形成。</w:t>
      </w:r>
    </w:p>
    <w:p w14:paraId="540DA97C">
      <w:pPr>
        <w:spacing w:before="30" w:after="30"/>
      </w:pPr>
    </w:p>
    <w:p w14:paraId="37226E77">
      <w:pPr>
        <w:shd w:val="clear" w:color="auto" w:fill="2E75B6"/>
        <w:spacing w:before="200" w:after="80"/>
        <w:ind w:left="120"/>
      </w:pPr>
      <w:r>
        <w:rPr>
          <w:rFonts w:ascii="微软雅黑" w:hAnsi="微软雅黑" w:eastAsia="微软雅黑"/>
          <w:b/>
          <w:color w:val="FFFFFF"/>
          <w:sz w:val="28"/>
        </w:rPr>
        <w:t>5.1 监控指标体系</w:t>
      </w:r>
    </w:p>
    <w:p w14:paraId="79FEC20A">
      <w:pPr>
        <w:spacing w:before="30" w:after="30"/>
        <w:ind w:left="420" w:hanging="210"/>
      </w:pPr>
      <w:r>
        <w:rPr>
          <w:rFonts w:ascii="微软雅黑" w:hAnsi="微软雅黑" w:eastAsia="微软雅黑"/>
          <w:sz w:val="21"/>
        </w:rPr>
        <w:t>● 还款行为指标：当期还款金额、还款方式（全额/最低/部分还款）、还款时间</w:t>
      </w:r>
    </w:p>
    <w:p w14:paraId="75ADA787">
      <w:pPr>
        <w:spacing w:before="30" w:after="30"/>
        <w:ind w:left="420" w:hanging="210"/>
      </w:pPr>
      <w:r>
        <w:rPr>
          <w:rFonts w:ascii="微软雅黑" w:hAnsi="微软雅黑" w:eastAsia="微软雅黑"/>
          <w:sz w:val="21"/>
        </w:rPr>
        <w:t>● 额度使用指标：信用卡使用率、循环贷动用率、最近一次借款距今时长</w:t>
      </w:r>
    </w:p>
    <w:p w14:paraId="6BB4B662">
      <w:pPr>
        <w:spacing w:before="30" w:after="30"/>
        <w:ind w:left="420" w:hanging="210"/>
      </w:pPr>
      <w:r>
        <w:rPr>
          <w:rFonts w:ascii="微软雅黑" w:hAnsi="微软雅黑" w:eastAsia="微软雅黑"/>
          <w:sz w:val="21"/>
        </w:rPr>
        <w:t>● 外部信号指标：外部征信新查询、司法执行记录、媒体负面舆情</w:t>
      </w:r>
    </w:p>
    <w:p w14:paraId="04AD33C9">
      <w:pPr>
        <w:spacing w:before="30" w:after="30"/>
        <w:ind w:left="420" w:hanging="210"/>
      </w:pPr>
      <w:r>
        <w:rPr>
          <w:rFonts w:ascii="微软雅黑" w:hAnsi="微软雅黑" w:eastAsia="微软雅黑"/>
          <w:sz w:val="21"/>
        </w:rPr>
        <w:t>● App行为指标：登录频率变化、关闭推送通知、频繁查看分期说明</w:t>
      </w:r>
    </w:p>
    <w:p w14:paraId="1FA65601">
      <w:pPr>
        <w:spacing w:before="30" w:after="30"/>
      </w:pPr>
    </w:p>
    <w:p w14:paraId="300F5E56">
      <w:pPr>
        <w:shd w:val="clear" w:color="auto" w:fill="2E75B6"/>
        <w:spacing w:before="200" w:after="80"/>
        <w:ind w:left="120"/>
      </w:pPr>
      <w:r>
        <w:rPr>
          <w:rFonts w:ascii="微软雅黑" w:hAnsi="微软雅黑" w:eastAsia="微软雅黑"/>
          <w:b/>
          <w:color w:val="FFFFFF"/>
          <w:sz w:val="28"/>
        </w:rPr>
        <w:t>5.2 预警规则体系</w:t>
      </w:r>
    </w:p>
    <w:p w14:paraId="48C3452C">
      <w:pPr>
        <w:spacing w:before="40" w:after="40"/>
        <w:ind w:left="120"/>
      </w:pPr>
      <w:r>
        <w:rPr>
          <w:rFonts w:ascii="微软雅黑" w:hAnsi="微软雅黑" w:eastAsia="微软雅黑"/>
          <w:b w:val="0"/>
          <w:i w:val="0"/>
          <w:sz w:val="21"/>
        </w:rPr>
        <w:t>预警规则通常分为三级：</w:t>
      </w:r>
    </w:p>
    <w:p w14:paraId="4A9C6CC4">
      <w:pPr>
        <w:spacing w:before="30" w:after="30"/>
        <w:ind w:left="420" w:hanging="210"/>
      </w:pPr>
      <w:r>
        <w:rPr>
          <w:rFonts w:ascii="微软雅黑" w:hAnsi="微软雅黑" w:eastAsia="微软雅黑"/>
          <w:sz w:val="21"/>
        </w:rPr>
        <w:t>1. 蓝色预警（关注）：行为分连续下降2期，无需干预但需重点监控</w:t>
      </w:r>
    </w:p>
    <w:p w14:paraId="0C53AC94">
      <w:pPr>
        <w:spacing w:before="30" w:after="30"/>
        <w:ind w:left="420" w:hanging="210"/>
      </w:pPr>
      <w:r>
        <w:rPr>
          <w:rFonts w:ascii="微软雅黑" w:hAnsi="微软雅黑" w:eastAsia="微软雅黑"/>
          <w:sz w:val="21"/>
        </w:rPr>
        <w:t>2. 黄色预警（风险提示）：外部新增查询&gt;3次/月或最小还款连续2期，触发主动联系提示</w:t>
      </w:r>
    </w:p>
    <w:p w14:paraId="0B7E3B61">
      <w:pPr>
        <w:spacing w:before="30" w:after="30"/>
        <w:ind w:left="420" w:hanging="210"/>
      </w:pPr>
      <w:r>
        <w:rPr>
          <w:rFonts w:ascii="微软雅黑" w:hAnsi="微软雅黑" w:eastAsia="微软雅黑"/>
          <w:sz w:val="21"/>
        </w:rPr>
        <w:t>3. 红色预警（高风险）：当期逾期或行为评分低于阈值，触发额度冻结+催收介入</w:t>
      </w:r>
    </w:p>
    <w:p w14:paraId="36D39A9F">
      <w:pPr>
        <w:spacing w:before="30" w:after="30"/>
      </w:pPr>
    </w:p>
    <w:p w14:paraId="59E0CAA9">
      <w:pPr>
        <w:shd w:val="clear" w:color="auto" w:fill="2E75B6"/>
        <w:spacing w:before="200" w:after="80"/>
        <w:ind w:left="120"/>
      </w:pPr>
      <w:r>
        <w:rPr>
          <w:rFonts w:ascii="微软雅黑" w:hAnsi="微软雅黑" w:eastAsia="微软雅黑"/>
          <w:b/>
          <w:color w:val="FFFFFF"/>
          <w:sz w:val="28"/>
        </w:rPr>
        <w:t>5.3 实战案例</w:t>
      </w:r>
    </w:p>
    <w:p w14:paraId="544CC5D7">
      <w:pPr>
        <w:spacing w:before="30" w:after="30"/>
      </w:pPr>
    </w:p>
    <w:p w14:paraId="7F0F214D">
      <w:pPr>
        <w:shd w:val="clear" w:color="auto" w:fill="1F4E79"/>
        <w:spacing w:before="180" w:after="60"/>
        <w:ind w:left="120"/>
      </w:pPr>
      <w:r>
        <w:rPr>
          <w:rFonts w:ascii="微软雅黑" w:hAnsi="微软雅黑" w:eastAsia="微软雅黑"/>
          <w:b/>
          <w:color w:val="FFFFFF"/>
          <w:sz w:val="22"/>
        </w:rPr>
        <w:t>案例1  基于行为评分的贷中动态评估体系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1376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28F5DC4">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911C071">
            <w:pPr>
              <w:spacing w:after="0" w:line="240" w:lineRule="auto"/>
            </w:pPr>
            <w:r>
              <w:rPr>
                <w:rFonts w:ascii="微软雅黑" w:hAnsi="微软雅黑" w:eastAsia="微软雅黑"/>
                <w:sz w:val="20"/>
              </w:rPr>
              <w:t>某消费金融机构贷中管理粗放，仅依赖逾期状态判断风险，无法提前预警，导致大量M0（未逾期）期间内的信用恶化未被发现，风险暴露滞后。</w:t>
            </w:r>
          </w:p>
        </w:tc>
      </w:tr>
      <w:tr w14:paraId="04D5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88191BE">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16D24B9F">
            <w:pPr>
              <w:spacing w:after="0" w:line="240" w:lineRule="auto"/>
            </w:pPr>
            <w:r>
              <w:rPr>
                <w:rFonts w:ascii="微软雅黑" w:hAnsi="微软雅黑" w:eastAsia="微软雅黑"/>
                <w:sz w:val="20"/>
              </w:rPr>
              <w:t>已放款客户每月T+3工作日生成行为评分，若行为评分较上月下降30分以上或连续2月下降，触发贷中预警流程。</w:t>
            </w:r>
          </w:p>
        </w:tc>
      </w:tr>
      <w:tr w14:paraId="03BD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B502BA3">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06C5538">
            <w:pPr>
              <w:spacing w:after="0" w:line="240" w:lineRule="auto"/>
            </w:pPr>
            <w:r>
              <w:rPr>
                <w:rFonts w:ascii="微软雅黑" w:hAnsi="微软雅黑" w:eastAsia="微软雅黑"/>
                <w:sz w:val="20"/>
              </w:rPr>
              <w:t>① 开发B卡（行为评分），输入变量包含还款行为、额度使用、外部查询等；② 对行为分下降客户分级处理（轻度：短信提示+增加还款提醒；中度：额度不提升+人工跟进；重度：额度降至已使用金额并启动早期催收）；③ 每季度回测行为评分预测力，更新模型。</w:t>
            </w:r>
          </w:p>
        </w:tc>
      </w:tr>
      <w:tr w14:paraId="39A7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728C563">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4609EDC">
            <w:pPr>
              <w:spacing w:after="0" w:line="240" w:lineRule="auto"/>
            </w:pPr>
            <w:r>
              <w:rPr>
                <w:rFonts w:ascii="微软雅黑" w:hAnsi="微软雅黑" w:eastAsia="微软雅黑"/>
                <w:sz w:val="20"/>
              </w:rPr>
              <w:t>贷中预警客户后续30天逾期率为无预警组的3.8倍，验证了B卡预测有效性；早期干预组M1逾期转化率降低29%，早识别对整体资产质量的改善效果显著。</w:t>
            </w:r>
          </w:p>
        </w:tc>
      </w:tr>
    </w:tbl>
    <w:p w14:paraId="4B8A673D">
      <w:pPr>
        <w:spacing w:before="30" w:after="30"/>
      </w:pPr>
    </w:p>
    <w:p w14:paraId="56806E8C">
      <w:pPr>
        <w:shd w:val="clear" w:color="auto" w:fill="1F4E79"/>
        <w:spacing w:before="180" w:after="60"/>
        <w:ind w:left="120"/>
      </w:pPr>
      <w:r>
        <w:rPr>
          <w:rFonts w:ascii="微软雅黑" w:hAnsi="微软雅黑" w:eastAsia="微软雅黑"/>
          <w:b/>
          <w:color w:val="FFFFFF"/>
          <w:sz w:val="22"/>
        </w:rPr>
        <w:t>案例2  反洗钱资金监控异常交易拦截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2E17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70E9FDC">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CA96C74">
            <w:pPr>
              <w:spacing w:after="0" w:line="240" w:lineRule="auto"/>
            </w:pPr>
            <w:r>
              <w:rPr>
                <w:rFonts w:ascii="微软雅黑" w:hAnsi="微软雅黑" w:eastAsia="微软雅黑"/>
                <w:sz w:val="20"/>
              </w:rPr>
              <w:t>监管要求消费金融机构具备反洗钱（AML）能力，某平台发现部分客户借款后短时间内分散转出至多个陌生账户，疑似参与电信诈骗资金中转。</w:t>
            </w:r>
          </w:p>
        </w:tc>
      </w:tr>
      <w:tr w14:paraId="12FE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EC6D941">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5AA8EB9">
            <w:pPr>
              <w:spacing w:after="0" w:line="240" w:lineRule="auto"/>
            </w:pPr>
            <w:r>
              <w:rPr>
                <w:rFonts w:ascii="微软雅黑" w:hAnsi="微软雅黑" w:eastAsia="微软雅黑"/>
                <w:sz w:val="20"/>
              </w:rPr>
              <w:t>放款后24小时内将贷款资金分3笔以上转出至不同收款方，且收款方均为新开户或高风险名单账户。</w:t>
            </w:r>
          </w:p>
        </w:tc>
      </w:tr>
      <w:tr w14:paraId="7C2B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B1FFD33">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65BAA74">
            <w:pPr>
              <w:spacing w:after="0" w:line="240" w:lineRule="auto"/>
            </w:pPr>
            <w:r>
              <w:rPr>
                <w:rFonts w:ascii="微软雅黑" w:hAnsi="微软雅黑" w:eastAsia="微软雅黑"/>
                <w:sz w:val="20"/>
              </w:rPr>
              <w:t>① 接入央行反洗钱系统（AMLS）接口，实时比对收款账户风险等级；② 建立资金流向监测规则（快进快出、大额拆分等）；③ 对疑似洗钱交易触发人工审查+临时资金冻结；④ 按规定向央行反洗钱局进行大额交易和可疑交易报告。</w:t>
            </w:r>
          </w:p>
        </w:tc>
      </w:tr>
      <w:tr w14:paraId="7857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C64827D">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562BD727">
            <w:pPr>
              <w:spacing w:after="0" w:line="240" w:lineRule="auto"/>
            </w:pPr>
            <w:r>
              <w:rPr>
                <w:rFonts w:ascii="微软雅黑" w:hAnsi="微软雅黑" w:eastAsia="微软雅黑"/>
                <w:sz w:val="20"/>
              </w:rPr>
              <w:t>识别并报告可疑交易37笔，涉及金额约186万元，协助警方破获2起电信诈骗资金中转案件，机构反洗钱合规评级由C级提升至A级，避免监管处罚风险。</w:t>
            </w:r>
          </w:p>
        </w:tc>
      </w:tr>
    </w:tbl>
    <w:p w14:paraId="6FD5150B">
      <w:pPr>
        <w:spacing w:before="30" w:after="30"/>
      </w:pPr>
    </w:p>
    <w:p w14:paraId="7A4155B5">
      <w:pPr>
        <w:shd w:val="clear" w:color="auto" w:fill="1F4E79"/>
        <w:spacing w:before="180" w:after="60"/>
        <w:ind w:left="120"/>
      </w:pPr>
      <w:r>
        <w:rPr>
          <w:rFonts w:ascii="微软雅黑" w:hAnsi="微软雅黑" w:eastAsia="微软雅黑"/>
          <w:b/>
          <w:color w:val="FFFFFF"/>
          <w:sz w:val="22"/>
        </w:rPr>
        <w:t>案例3  触发式贷中额度冻结机制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4782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F78E7B7">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C801C95">
            <w:pPr>
              <w:spacing w:after="0" w:line="240" w:lineRule="auto"/>
            </w:pPr>
            <w:r>
              <w:rPr>
                <w:rFonts w:ascii="微软雅黑" w:hAnsi="微软雅黑" w:eastAsia="微软雅黑"/>
                <w:sz w:val="20"/>
              </w:rPr>
              <w:t>某平台客户出现司法被执行记录后仍可正常使用信用额度，导致额度被大量提取后还款能力急剧恶化，损失集中爆发。</w:t>
            </w:r>
          </w:p>
        </w:tc>
      </w:tr>
      <w:tr w14:paraId="741F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C47C8C8">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872D637">
            <w:pPr>
              <w:spacing w:after="0" w:line="240" w:lineRule="auto"/>
            </w:pPr>
            <w:r>
              <w:rPr>
                <w:rFonts w:ascii="微软雅黑" w:hAnsi="微软雅黑" w:eastAsia="微软雅黑"/>
                <w:sz w:val="20"/>
              </w:rPr>
              <w:t>外部数据源（法院执行公告）发现在贷客户新增被执行记录，且金额&gt;1万元，触发紧急额度管控。</w:t>
            </w:r>
          </w:p>
        </w:tc>
      </w:tr>
      <w:tr w14:paraId="6836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01B152B">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157CDD0">
            <w:pPr>
              <w:spacing w:after="0" w:line="240" w:lineRule="auto"/>
            </w:pPr>
            <w:r>
              <w:rPr>
                <w:rFonts w:ascii="微软雅黑" w:hAnsi="微软雅黑" w:eastAsia="微软雅黑"/>
                <w:sz w:val="20"/>
              </w:rPr>
              <w:t>① 每日自动爬取和比对法院被执行人名单；② 触发后立即冻结客户可用额度（已使用部分正常还款，不增加新提款）；③ 同步通知人工风控团队进行客户联系核实；④ 核实15日内无法解释的，启动提前还款函并进入催收流程。</w:t>
            </w:r>
          </w:p>
        </w:tc>
      </w:tr>
      <w:tr w14:paraId="5CA1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833AFD0">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26300F6F">
            <w:pPr>
              <w:spacing w:after="0" w:line="240" w:lineRule="auto"/>
            </w:pPr>
            <w:r>
              <w:rPr>
                <w:rFonts w:ascii="微软雅黑" w:hAnsi="微软雅黑" w:eastAsia="微软雅黑"/>
                <w:sz w:val="20"/>
              </w:rPr>
              <w:t>触发司法预警的客户后续60天逾期率高达68%，验证了触发机制的必要性；通过提前冻结额度，避免新增风险敞口约3400万元，同时在合规框架内保护了机构资产安全。</w:t>
            </w:r>
          </w:p>
        </w:tc>
      </w:tr>
    </w:tbl>
    <w:p w14:paraId="246E1A97">
      <w:pPr>
        <w:spacing w:before="30" w:after="30"/>
      </w:pPr>
    </w:p>
    <w:p w14:paraId="3523EF68">
      <w:pPr>
        <w:pageBreakBefore/>
        <w:shd w:val="clear" w:color="auto" w:fill="1F4E79"/>
        <w:spacing w:before="0" w:after="120"/>
        <w:ind w:left="200"/>
      </w:pPr>
      <w:r>
        <w:rPr>
          <w:rFonts w:ascii="微软雅黑" w:hAnsi="微软雅黑" w:eastAsia="微软雅黑"/>
          <w:b/>
          <w:color w:val="FFFFFF"/>
          <w:sz w:val="36"/>
        </w:rPr>
        <w:t>六、催收管理体系</w:t>
      </w:r>
    </w:p>
    <w:p w14:paraId="42D34836">
      <w:pPr>
        <w:spacing w:before="40" w:after="40"/>
        <w:ind w:left="120"/>
      </w:pPr>
      <w:r>
        <w:rPr>
          <w:rFonts w:ascii="微软雅黑" w:hAnsi="微软雅黑" w:eastAsia="微软雅黑"/>
          <w:b w:val="0"/>
          <w:i w:val="0"/>
          <w:sz w:val="21"/>
        </w:rPr>
        <w:t>催收是消费金融风控体系的【最后防线】，合理的催收策略能够在合规前提下最大化回收资产，降低实际信用损失。</w:t>
      </w:r>
    </w:p>
    <w:p w14:paraId="70B78936">
      <w:pPr>
        <w:spacing w:before="30" w:after="30"/>
      </w:pPr>
    </w:p>
    <w:p w14:paraId="482A60CC">
      <w:pPr>
        <w:shd w:val="clear" w:color="auto" w:fill="2E75B6"/>
        <w:spacing w:before="200" w:after="80"/>
        <w:ind w:left="120"/>
      </w:pPr>
      <w:r>
        <w:rPr>
          <w:rFonts w:ascii="微软雅黑" w:hAnsi="微软雅黑" w:eastAsia="微软雅黑"/>
          <w:b/>
          <w:color w:val="FFFFFF"/>
          <w:sz w:val="28"/>
        </w:rPr>
        <w:t>6.1 催收分层策略</w:t>
      </w:r>
    </w:p>
    <w:p w14:paraId="34357B10">
      <w:pPr>
        <w:spacing w:before="40" w:after="40"/>
        <w:ind w:left="120"/>
      </w:pPr>
      <w:r>
        <w:rPr>
          <w:rFonts w:ascii="微软雅黑" w:hAnsi="微软雅黑" w:eastAsia="微软雅黑"/>
          <w:b w:val="0"/>
          <w:i w:val="0"/>
          <w:sz w:val="21"/>
        </w:rPr>
        <w:t>根据逾期天数分层管理，实施差异化催收策略：</w:t>
      </w:r>
    </w:p>
    <w:p w14:paraId="48266D92">
      <w:pPr>
        <w:spacing w:before="30" w:after="30"/>
        <w:ind w:left="420" w:hanging="210"/>
      </w:pPr>
      <w:r>
        <w:rPr>
          <w:rFonts w:ascii="微软雅黑" w:hAnsi="微软雅黑" w:eastAsia="微软雅黑"/>
          <w:sz w:val="21"/>
        </w:rPr>
        <w:t>● M0（当期逾期1-30天）：自动短信/App推送提醒+AI语音催收，低成本覆盖，重点提高自愿还款率</w:t>
      </w:r>
    </w:p>
    <w:p w14:paraId="529E11FC">
      <w:pPr>
        <w:spacing w:before="30" w:after="30"/>
        <w:ind w:left="420" w:hanging="210"/>
      </w:pPr>
      <w:r>
        <w:rPr>
          <w:rFonts w:ascii="微软雅黑" w:hAnsi="微软雅黑" w:eastAsia="微软雅黑"/>
          <w:sz w:val="21"/>
        </w:rPr>
        <w:t>● M1（逾期31-60天）：人工电话催收，还款承诺管理，制定还款计划</w:t>
      </w:r>
    </w:p>
    <w:p w14:paraId="6B61BECE">
      <w:pPr>
        <w:spacing w:before="30" w:after="30"/>
        <w:ind w:left="420" w:hanging="210"/>
      </w:pPr>
      <w:r>
        <w:rPr>
          <w:rFonts w:ascii="微软雅黑" w:hAnsi="微软雅黑" w:eastAsia="微软雅黑"/>
          <w:sz w:val="21"/>
        </w:rPr>
        <w:t>● M2（逾期61-90天）：升级强催，配合短信律师函，部分业务启动催收外包</w:t>
      </w:r>
    </w:p>
    <w:p w14:paraId="1A213DAD">
      <w:pPr>
        <w:spacing w:before="30" w:after="30"/>
        <w:ind w:left="420" w:hanging="210"/>
      </w:pPr>
      <w:r>
        <w:rPr>
          <w:rFonts w:ascii="微软雅黑" w:hAnsi="微软雅黑" w:eastAsia="微软雅黑"/>
          <w:sz w:val="21"/>
        </w:rPr>
        <w:t>● M3+（逾期90天以上）：司法催收（诉讼）、资产打包出售（ABS/不良资产转让）</w:t>
      </w:r>
    </w:p>
    <w:p w14:paraId="1DAB0E59">
      <w:pPr>
        <w:spacing w:before="30" w:after="30"/>
      </w:pPr>
    </w:p>
    <w:p w14:paraId="51CEFCF3">
      <w:pPr>
        <w:shd w:val="clear" w:color="auto" w:fill="2E75B6"/>
        <w:spacing w:before="200" w:after="80"/>
        <w:ind w:left="120"/>
      </w:pPr>
      <w:r>
        <w:rPr>
          <w:rFonts w:ascii="微软雅黑" w:hAnsi="微软雅黑" w:eastAsia="微软雅黑"/>
          <w:b/>
          <w:color w:val="FFFFFF"/>
          <w:sz w:val="28"/>
        </w:rPr>
        <w:t>6.2 催收合规红线</w:t>
      </w:r>
    </w:p>
    <w:p w14:paraId="7BFBEB82">
      <w:pPr>
        <w:spacing w:before="30" w:after="30"/>
        <w:ind w:left="420" w:hanging="210"/>
      </w:pPr>
      <w:r>
        <w:rPr>
          <w:rFonts w:ascii="微软雅黑" w:hAnsi="微软雅黑" w:eastAsia="微软雅黑"/>
          <w:sz w:val="21"/>
        </w:rPr>
        <w:t>● 禁止骚扰非债务人第三方（如无关联系人）</w:t>
      </w:r>
    </w:p>
    <w:p w14:paraId="0941A365">
      <w:pPr>
        <w:spacing w:before="30" w:after="30"/>
        <w:ind w:left="420" w:hanging="210"/>
      </w:pPr>
      <w:r>
        <w:rPr>
          <w:rFonts w:ascii="微软雅黑" w:hAnsi="微软雅黑" w:eastAsia="微软雅黑"/>
          <w:sz w:val="21"/>
        </w:rPr>
        <w:t>● 禁止使用威胁、恐吓、侮辱性语言</w:t>
      </w:r>
    </w:p>
    <w:p w14:paraId="0AECFAD3">
      <w:pPr>
        <w:spacing w:before="30" w:after="30"/>
        <w:ind w:left="420" w:hanging="210"/>
      </w:pPr>
      <w:r>
        <w:rPr>
          <w:rFonts w:ascii="微软雅黑" w:hAnsi="微软雅黑" w:eastAsia="微软雅黑"/>
          <w:sz w:val="21"/>
        </w:rPr>
        <w:t>● 每日联系次数有限制（通常不超过3次/联系方式）</w:t>
      </w:r>
    </w:p>
    <w:p w14:paraId="6A80E9F1">
      <w:pPr>
        <w:spacing w:before="30" w:after="30"/>
        <w:ind w:left="420" w:hanging="210"/>
      </w:pPr>
      <w:r>
        <w:rPr>
          <w:rFonts w:ascii="微软雅黑" w:hAnsi="微软雅黑" w:eastAsia="微软雅黑"/>
          <w:sz w:val="21"/>
        </w:rPr>
        <w:t>● 禁止在法定节假日的特定时段（如22:00-8:00）联系</w:t>
      </w:r>
    </w:p>
    <w:p w14:paraId="3E6B885F">
      <w:pPr>
        <w:shd w:val="clear" w:color="auto" w:fill="EBF5EB"/>
        <w:spacing w:before="60" w:after="60"/>
        <w:ind w:left="200" w:right="200"/>
      </w:pPr>
      <w:r>
        <w:rPr>
          <w:rFonts w:ascii="微软雅黑" w:hAnsi="微软雅黑" w:eastAsia="微软雅黑"/>
          <w:i/>
          <w:color w:val="375623"/>
          <w:sz w:val="20"/>
        </w:rPr>
        <w:t xml:space="preserve">  提示：2021年以来催收合规监管持续收紧，建议建立全程录音录像制度，配合第三方合规审计。</w:t>
      </w:r>
    </w:p>
    <w:p w14:paraId="7C82167D">
      <w:pPr>
        <w:spacing w:before="30" w:after="30"/>
      </w:pPr>
    </w:p>
    <w:p w14:paraId="7645CED6">
      <w:pPr>
        <w:shd w:val="clear" w:color="auto" w:fill="2E75B6"/>
        <w:spacing w:before="200" w:after="80"/>
        <w:ind w:left="120"/>
      </w:pPr>
      <w:r>
        <w:rPr>
          <w:rFonts w:ascii="微软雅黑" w:hAnsi="微软雅黑" w:eastAsia="微软雅黑"/>
          <w:b/>
          <w:color w:val="FFFFFF"/>
          <w:sz w:val="28"/>
        </w:rPr>
        <w:t>6.3 实战案例</w:t>
      </w:r>
    </w:p>
    <w:p w14:paraId="442020A7">
      <w:pPr>
        <w:spacing w:before="30" w:after="30"/>
      </w:pPr>
    </w:p>
    <w:p w14:paraId="070E9249">
      <w:pPr>
        <w:shd w:val="clear" w:color="auto" w:fill="1F4E79"/>
        <w:spacing w:before="180" w:after="60"/>
        <w:ind w:left="120"/>
      </w:pPr>
      <w:r>
        <w:rPr>
          <w:rFonts w:ascii="微软雅黑" w:hAnsi="微软雅黑" w:eastAsia="微软雅黑"/>
          <w:b/>
          <w:color w:val="FFFFFF"/>
          <w:sz w:val="22"/>
        </w:rPr>
        <w:t>案例1  AI智能催收机器人降本增效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1E36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7901D17">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12744311">
            <w:pPr>
              <w:spacing w:after="0" w:line="240" w:lineRule="auto"/>
            </w:pPr>
            <w:r>
              <w:rPr>
                <w:rFonts w:ascii="微软雅黑" w:hAnsi="微软雅黑" w:eastAsia="微软雅黑"/>
                <w:sz w:val="20"/>
              </w:rPr>
              <w:t>某消费金融公司M0段逾期客户数量超过10万人/月，人工催收成本高昂，人工坐席效率低下（单坐席日拨打量约150通），无法覆盖全量客户。</w:t>
            </w:r>
          </w:p>
        </w:tc>
      </w:tr>
      <w:tr w14:paraId="60C5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3785A77">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C4F7847">
            <w:pPr>
              <w:spacing w:after="0" w:line="240" w:lineRule="auto"/>
            </w:pPr>
            <w:r>
              <w:rPr>
                <w:rFonts w:ascii="微软雅黑" w:hAnsi="微软雅黑" w:eastAsia="微软雅黑"/>
                <w:sz w:val="20"/>
              </w:rPr>
              <w:t>客户逾期1天进入M0提醒队列，且账户余额&gt;200元（有催收价值）且历史未被拉入人工沟通白名单，触发AI催收机器人外呼。</w:t>
            </w:r>
          </w:p>
        </w:tc>
      </w:tr>
      <w:tr w14:paraId="298A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14CA261">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6E26559A">
            <w:pPr>
              <w:spacing w:after="0" w:line="240" w:lineRule="auto"/>
            </w:pPr>
            <w:r>
              <w:rPr>
                <w:rFonts w:ascii="微软雅黑" w:hAnsi="微软雅黑" w:eastAsia="微软雅黑"/>
                <w:sz w:val="20"/>
              </w:rPr>
              <w:t>① 上线AI语音催收机器人，支持多轮对话和意图识别；② 个性化话术（首次逾期客户：温和提醒；多次逾期：加强逾期后果说明）；③ AI识别有效承诺还款意向后转人工核实；④ 对明确表示困难的客户推送特殊还款方案（延期/分期还款方案）。</w:t>
            </w:r>
          </w:p>
        </w:tc>
      </w:tr>
      <w:tr w14:paraId="69DD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586AD55">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4929C65">
            <w:pPr>
              <w:spacing w:after="0" w:line="240" w:lineRule="auto"/>
            </w:pPr>
            <w:r>
              <w:rPr>
                <w:rFonts w:ascii="微软雅黑" w:hAnsi="微软雅黑" w:eastAsia="微软雅黑"/>
                <w:sz w:val="20"/>
              </w:rPr>
              <w:t>M0段AI覆盖率从35%提升至92%，AI催收回款率达人工的78%（节约成本73%），人工坐席聚焦在M1+高价值催收，整体M1转化率提升12个百分点。</w:t>
            </w:r>
          </w:p>
        </w:tc>
      </w:tr>
    </w:tbl>
    <w:p w14:paraId="2FE2A5F3">
      <w:pPr>
        <w:spacing w:before="30" w:after="30"/>
      </w:pPr>
    </w:p>
    <w:p w14:paraId="06DA75D9">
      <w:pPr>
        <w:shd w:val="clear" w:color="auto" w:fill="1F4E79"/>
        <w:spacing w:before="180" w:after="60"/>
        <w:ind w:left="120"/>
      </w:pPr>
      <w:r>
        <w:rPr>
          <w:rFonts w:ascii="微软雅黑" w:hAnsi="微软雅黑" w:eastAsia="微软雅黑"/>
          <w:b/>
          <w:color w:val="FFFFFF"/>
          <w:sz w:val="22"/>
        </w:rPr>
        <w:t>案例2  逾期客户分群精细化还款方案设计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3D38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8B7AE74">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179C8589">
            <w:pPr>
              <w:spacing w:after="0" w:line="240" w:lineRule="auto"/>
            </w:pPr>
            <w:r>
              <w:rPr>
                <w:rFonts w:ascii="微软雅黑" w:hAnsi="微软雅黑" w:eastAsia="微软雅黑"/>
                <w:sz w:val="20"/>
              </w:rPr>
              <w:t>某平台对所有逾期客户统一催收，未针对不同逾期原因设计差异化方案，导致有意愿还款但暂时困难的客户被强催后直接沦为坏账。</w:t>
            </w:r>
          </w:p>
        </w:tc>
      </w:tr>
      <w:tr w14:paraId="38B7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43E8502">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B1984AE">
            <w:pPr>
              <w:spacing w:after="0" w:line="240" w:lineRule="auto"/>
            </w:pPr>
            <w:r>
              <w:rPr>
                <w:rFonts w:ascii="微软雅黑" w:hAnsi="微软雅黑" w:eastAsia="微软雅黑"/>
                <w:sz w:val="20"/>
              </w:rPr>
              <w:t>M1~M2段客户联系后表达还款意愿但反馈当前存在暂时性经济困难（如失业、医疗支出等），且历史还款记录良好（历史逾期次数&lt;3次）。</w:t>
            </w:r>
          </w:p>
        </w:tc>
      </w:tr>
      <w:tr w14:paraId="011B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E3E7F4F">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1B4C5831">
            <w:pPr>
              <w:spacing w:after="0" w:line="240" w:lineRule="auto"/>
            </w:pPr>
            <w:r>
              <w:rPr>
                <w:rFonts w:ascii="微软雅黑" w:hAnsi="微软雅黑" w:eastAsia="微软雅黑"/>
                <w:sz w:val="20"/>
              </w:rPr>
              <w:t>① 对M1段客户进行电话调研分类（主观不还/客观暂困/失联）；② 对【暂时性困难】客群推出【灵活还款计划】（延期1-3期、每期还款额减半等）；③ 签署书面承诺后暂停催收60天；④ 跟踪履约率，未履约即转正常催收流程。</w:t>
            </w:r>
          </w:p>
        </w:tc>
      </w:tr>
      <w:tr w14:paraId="037D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9A8775C">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F870B2B">
            <w:pPr>
              <w:spacing w:after="0" w:line="240" w:lineRule="auto"/>
            </w:pPr>
            <w:r>
              <w:rPr>
                <w:rFonts w:ascii="微软雅黑" w:hAnsi="微软雅黑" w:eastAsia="微软雅黑"/>
                <w:sz w:val="20"/>
              </w:rPr>
              <w:t>参与灵活还款计划的客户中，履约率达64%（远高于传统强催的28%），整体M3+转化率降低19%，同时减少了客户投诉55%，改善了品牌形象。</w:t>
            </w:r>
          </w:p>
        </w:tc>
      </w:tr>
    </w:tbl>
    <w:p w14:paraId="5F92214B">
      <w:pPr>
        <w:spacing w:before="30" w:after="30"/>
      </w:pPr>
    </w:p>
    <w:p w14:paraId="22C342DF">
      <w:pPr>
        <w:shd w:val="clear" w:color="auto" w:fill="1F4E79"/>
        <w:spacing w:before="180" w:after="60"/>
        <w:ind w:left="120"/>
      </w:pPr>
      <w:r>
        <w:rPr>
          <w:rFonts w:ascii="微软雅黑" w:hAnsi="微软雅黑" w:eastAsia="微软雅黑"/>
          <w:b/>
          <w:color w:val="FFFFFF"/>
          <w:sz w:val="22"/>
        </w:rPr>
        <w:t>案例3  诉讼催收批量化与智能化改造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247F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413B38D">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3C7E5FE">
            <w:pPr>
              <w:spacing w:after="0" w:line="240" w:lineRule="auto"/>
            </w:pPr>
            <w:r>
              <w:rPr>
                <w:rFonts w:ascii="微软雅黑" w:hAnsi="微软雅黑" w:eastAsia="微软雅黑"/>
                <w:sz w:val="20"/>
              </w:rPr>
              <w:t>某平台M6+（逾期180天以上）不良资产累积达3.2亿元，原有司法催收依赖外部律所，成本高（提成约20%），效率低，年化回收率仅18%。</w:t>
            </w:r>
          </w:p>
        </w:tc>
      </w:tr>
      <w:tr w14:paraId="24FD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7CEEC47">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15359AF">
            <w:pPr>
              <w:spacing w:after="0" w:line="240" w:lineRule="auto"/>
            </w:pPr>
            <w:r>
              <w:rPr>
                <w:rFonts w:ascii="微软雅黑" w:hAnsi="微软雅黑" w:eastAsia="微软雅黑"/>
                <w:sz w:val="20"/>
              </w:rPr>
              <w:t>逾期超过180天、借款金额≥3000元、有有效联系方式或已知家庭/工作地址，且外部催收已完成3轮无果，触发司法诉讼流程。</w:t>
            </w:r>
          </w:p>
        </w:tc>
      </w:tr>
      <w:tr w14:paraId="2408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0A08FF8">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1F1D8029">
            <w:pPr>
              <w:spacing w:after="0" w:line="240" w:lineRule="auto"/>
            </w:pPr>
            <w:r>
              <w:rPr>
                <w:rFonts w:ascii="微软雅黑" w:hAnsi="微软雅黑" w:eastAsia="微软雅黑"/>
                <w:sz w:val="20"/>
              </w:rPr>
              <w:t>① 引入法律科技（LegalTech）系统，标准化诉讼文件自动生成；② 批量立案，与法院建立电子诉讼通道，提升立案效率；③ 申请财产保全（银行账户冻结）作为还款压力工具；④ 胜诉后进入执行阶段，接入失信被执行人名单通报系统。</w:t>
            </w:r>
          </w:p>
        </w:tc>
      </w:tr>
      <w:tr w14:paraId="5523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FD65AF9">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65DEA58">
            <w:pPr>
              <w:spacing w:after="0" w:line="240" w:lineRule="auto"/>
            </w:pPr>
            <w:r>
              <w:rPr>
                <w:rFonts w:ascii="微软雅黑" w:hAnsi="微软雅黑" w:eastAsia="微软雅黑"/>
                <w:sz w:val="20"/>
              </w:rPr>
              <w:t>年化回收率从18%提升至31%，诉讼成本从贷款金额的20%降至9%，批量案件立案周期从45天压缩至7天，整体不良资产回收金额同比提升76%。</w:t>
            </w:r>
          </w:p>
        </w:tc>
      </w:tr>
    </w:tbl>
    <w:p w14:paraId="03CEC3D1">
      <w:pPr>
        <w:spacing w:before="30" w:after="30"/>
      </w:pPr>
    </w:p>
    <w:p w14:paraId="7CC70FC8">
      <w:pPr>
        <w:pageBreakBefore/>
        <w:shd w:val="clear" w:color="auto" w:fill="1F4E79"/>
        <w:spacing w:before="0" w:after="120"/>
        <w:ind w:left="200"/>
      </w:pPr>
      <w:r>
        <w:rPr>
          <w:rFonts w:ascii="微软雅黑" w:hAnsi="微软雅黑" w:eastAsia="微软雅黑"/>
          <w:b/>
          <w:color w:val="FFFFFF"/>
          <w:sz w:val="36"/>
        </w:rPr>
        <w:t>七、贷后数据分析体系</w:t>
      </w:r>
    </w:p>
    <w:p w14:paraId="0E1C556D">
      <w:pPr>
        <w:spacing w:before="40" w:after="40"/>
        <w:ind w:left="120"/>
      </w:pPr>
      <w:r>
        <w:rPr>
          <w:rFonts w:ascii="微软雅黑" w:hAnsi="微软雅黑" w:eastAsia="微软雅黑"/>
          <w:b w:val="0"/>
          <w:i w:val="0"/>
          <w:sz w:val="21"/>
        </w:rPr>
        <w:t>贷后数据分析是风控体系持续优化的"大脑"，通过系统化分析资产质量、策略效果和风险趋势，为管理层决策提供数据支撑。</w:t>
      </w:r>
    </w:p>
    <w:p w14:paraId="762F13ED">
      <w:pPr>
        <w:spacing w:before="30" w:after="30"/>
      </w:pPr>
    </w:p>
    <w:p w14:paraId="6F779A02">
      <w:pPr>
        <w:shd w:val="clear" w:color="auto" w:fill="2E75B6"/>
        <w:spacing w:before="200" w:after="80"/>
        <w:ind w:left="120"/>
      </w:pPr>
      <w:r>
        <w:rPr>
          <w:rFonts w:ascii="微软雅黑" w:hAnsi="微软雅黑" w:eastAsia="微软雅黑"/>
          <w:b/>
          <w:color w:val="FFFFFF"/>
          <w:sz w:val="28"/>
        </w:rPr>
        <w:t>7.1 核心分析方法</w:t>
      </w:r>
    </w:p>
    <w:p w14:paraId="7772DAA8">
      <w:pPr>
        <w:pBdr>
          <w:bottom w:val="single" w:color="2E75B6" w:sz="6" w:space="1"/>
        </w:pBdr>
        <w:spacing w:before="160" w:after="60"/>
      </w:pPr>
      <w:r>
        <w:rPr>
          <w:rFonts w:ascii="微软雅黑" w:hAnsi="微软雅黑" w:eastAsia="微软雅黑"/>
          <w:b/>
          <w:color w:val="1F4E79"/>
          <w:sz w:val="24"/>
        </w:rPr>
        <w:t>7.1.1 Vintage分析</w:t>
      </w:r>
    </w:p>
    <w:p w14:paraId="7081CF5D">
      <w:pPr>
        <w:spacing w:before="40" w:after="40"/>
        <w:ind w:left="120"/>
      </w:pPr>
      <w:r>
        <w:rPr>
          <w:rFonts w:ascii="微软雅黑" w:hAnsi="微软雅黑" w:eastAsia="微软雅黑"/>
          <w:b w:val="0"/>
          <w:i w:val="0"/>
          <w:sz w:val="21"/>
        </w:rPr>
        <w:t>Vintage分析（账龄分析）追踪同一批放款客户随时间推移的逾期率变化，是最重要的资产质量分析工具。通过对比不同批次（Vintage）的逾期曲线，可判断信用策略调整的效果和资产质量趋势。</w:t>
      </w:r>
    </w:p>
    <w:p w14:paraId="28CE5354">
      <w:pPr>
        <w:spacing w:before="30" w:after="30"/>
      </w:pPr>
    </w:p>
    <w:p w14:paraId="1723AD48">
      <w:pPr>
        <w:pBdr>
          <w:bottom w:val="single" w:color="2E75B6" w:sz="6" w:space="1"/>
        </w:pBdr>
        <w:spacing w:before="160" w:after="60"/>
      </w:pPr>
      <w:r>
        <w:rPr>
          <w:rFonts w:ascii="微软雅黑" w:hAnsi="微软雅黑" w:eastAsia="微软雅黑"/>
          <w:b/>
          <w:color w:val="1F4E79"/>
          <w:sz w:val="24"/>
        </w:rPr>
        <w:t>7.1.2 迁移矩阵分析</w:t>
      </w:r>
    </w:p>
    <w:p w14:paraId="77D86A58">
      <w:pPr>
        <w:spacing w:before="40" w:after="40"/>
        <w:ind w:left="120"/>
      </w:pPr>
      <w:r>
        <w:rPr>
          <w:rFonts w:ascii="微软雅黑" w:hAnsi="微软雅黑" w:eastAsia="微软雅黑"/>
          <w:b w:val="0"/>
          <w:i w:val="0"/>
          <w:sz w:val="21"/>
        </w:rPr>
        <w:t>迁移矩阵记录客户在不同逾期状态间的流转概率（如M0→M1、M1→M2的转化率），用于预测未来坏账生成量和评估催收效果。</w:t>
      </w:r>
    </w:p>
    <w:p w14:paraId="40ACEB33">
      <w:pPr>
        <w:spacing w:before="30" w:after="30"/>
      </w:pPr>
    </w:p>
    <w:p w14:paraId="07A5CB5B">
      <w:pPr>
        <w:pBdr>
          <w:bottom w:val="single" w:color="2E75B6" w:sz="6" w:space="1"/>
        </w:pBdr>
        <w:spacing w:before="160" w:after="60"/>
      </w:pPr>
      <w:r>
        <w:rPr>
          <w:rFonts w:ascii="微软雅黑" w:hAnsi="微软雅黑" w:eastAsia="微软雅黑"/>
          <w:b/>
          <w:color w:val="1F4E79"/>
          <w:sz w:val="24"/>
        </w:rPr>
        <w:t>7.1.3 滚动率分析</w:t>
      </w:r>
    </w:p>
    <w:p w14:paraId="2D9915AA">
      <w:pPr>
        <w:spacing w:before="40" w:after="40"/>
        <w:ind w:left="120"/>
      </w:pPr>
      <w:r>
        <w:rPr>
          <w:rFonts w:ascii="微软雅黑" w:hAnsi="微软雅黑" w:eastAsia="微软雅黑"/>
          <w:b w:val="0"/>
          <w:i w:val="0"/>
          <w:sz w:val="21"/>
        </w:rPr>
        <w:t>滚动率（Roll Rate）分析关注在各逾期状态下的资产向更差状态迁移的比例，是预测ECL（预期信用损失）的重要输入参数。</w:t>
      </w:r>
    </w:p>
    <w:p w14:paraId="360CBA05">
      <w:pPr>
        <w:spacing w:before="30" w:after="30"/>
      </w:pPr>
    </w:p>
    <w:p w14:paraId="159EE32D">
      <w:pPr>
        <w:shd w:val="clear" w:color="auto" w:fill="2E75B6"/>
        <w:spacing w:before="200" w:after="80"/>
        <w:ind w:left="120"/>
      </w:pPr>
      <w:r>
        <w:rPr>
          <w:rFonts w:ascii="微软雅黑" w:hAnsi="微软雅黑" w:eastAsia="微软雅黑"/>
          <w:b/>
          <w:color w:val="FFFFFF"/>
          <w:sz w:val="28"/>
        </w:rPr>
        <w:t>7.2 实战案例</w:t>
      </w:r>
    </w:p>
    <w:p w14:paraId="17C4FB39">
      <w:pPr>
        <w:spacing w:before="30" w:after="30"/>
      </w:pPr>
    </w:p>
    <w:p w14:paraId="1B56A9C0">
      <w:pPr>
        <w:shd w:val="clear" w:color="auto" w:fill="1F4E79"/>
        <w:spacing w:before="180" w:after="60"/>
        <w:ind w:left="120"/>
      </w:pPr>
      <w:r>
        <w:rPr>
          <w:rFonts w:ascii="微软雅黑" w:hAnsi="微软雅黑" w:eastAsia="微软雅黑"/>
          <w:b/>
          <w:color w:val="FFFFFF"/>
          <w:sz w:val="22"/>
        </w:rPr>
        <w:t>案例1  Vintage分析识别风险策略调整节点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2F137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5555A2D">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022E3798">
            <w:pPr>
              <w:spacing w:after="0" w:line="240" w:lineRule="auto"/>
            </w:pPr>
            <w:r>
              <w:rPr>
                <w:rFonts w:ascii="微软雅黑" w:hAnsi="微软雅黑" w:eastAsia="微软雅黑"/>
                <w:sz w:val="20"/>
              </w:rPr>
              <w:t>某消费金融机构风控总监发现最近3个月的不良率指标稳定，但业务团队反馈新发展客群质量有所下滑，需要判断风险是否真实存在。</w:t>
            </w:r>
          </w:p>
        </w:tc>
      </w:tr>
      <w:tr w14:paraId="3635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B802540">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04A082D">
            <w:pPr>
              <w:spacing w:after="0" w:line="240" w:lineRule="auto"/>
            </w:pPr>
            <w:r>
              <w:rPr>
                <w:rFonts w:ascii="微软雅黑" w:hAnsi="微软雅黑" w:eastAsia="微软雅黑"/>
                <w:sz w:val="20"/>
              </w:rPr>
              <w:t>每月进行Vintage分析，当某个月份Vintage的M3逾期率在发放后第6个月显著高于过去12个月同期均值20%以上，触发策略回顾会议。</w:t>
            </w:r>
          </w:p>
        </w:tc>
      </w:tr>
      <w:tr w14:paraId="339E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8EB089C">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8DBA043">
            <w:pPr>
              <w:spacing w:after="0" w:line="240" w:lineRule="auto"/>
            </w:pPr>
            <w:r>
              <w:rPr>
                <w:rFonts w:ascii="微软雅黑" w:hAnsi="微软雅黑" w:eastAsia="微软雅黑"/>
                <w:sz w:val="20"/>
              </w:rPr>
              <w:t>① 按发放月份切分贷款组合，分别绘制逾期率随账龄变化曲线；② 对比2023Q4与2024Q1的Vintage曲线，发现2024Q1第4个月逾期率上翘；③ 回溯发现该时期准入规则放宽（提高了评分卡通过率）；④ 立即收紧准入阈值，并对受影响客户提前预警处理。</w:t>
            </w:r>
          </w:p>
        </w:tc>
      </w:tr>
      <w:tr w14:paraId="51C2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F8287AF">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D4B1578">
            <w:pPr>
              <w:spacing w:after="0" w:line="240" w:lineRule="auto"/>
            </w:pPr>
            <w:r>
              <w:rPr>
                <w:rFonts w:ascii="微软雅黑" w:hAnsi="微软雅黑" w:eastAsia="微软雅黑"/>
                <w:sz w:val="20"/>
              </w:rPr>
              <w:t>通过Vintage分析提前3个月识别风险苗头，相比等到不良率指标显现问题早了约2个季度；策略收紧后下一Vintage逾期曲线恢复正常水平，预计减少最终损失约5000万元。</w:t>
            </w:r>
          </w:p>
        </w:tc>
      </w:tr>
    </w:tbl>
    <w:p w14:paraId="1424091F">
      <w:pPr>
        <w:spacing w:before="30" w:after="30"/>
      </w:pPr>
    </w:p>
    <w:p w14:paraId="0BD1EA51">
      <w:pPr>
        <w:shd w:val="clear" w:color="auto" w:fill="1F4E79"/>
        <w:spacing w:before="180" w:after="60"/>
        <w:ind w:left="120"/>
      </w:pPr>
      <w:r>
        <w:rPr>
          <w:rFonts w:ascii="微软雅黑" w:hAnsi="微软雅黑" w:eastAsia="微软雅黑"/>
          <w:b/>
          <w:color w:val="FFFFFF"/>
          <w:sz w:val="22"/>
        </w:rPr>
        <w:t>案例2  迁移矩阵构建季度贷款损失准备预测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0BCA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6CA4393">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35F55979">
            <w:pPr>
              <w:spacing w:after="0" w:line="240" w:lineRule="auto"/>
            </w:pPr>
            <w:r>
              <w:rPr>
                <w:rFonts w:ascii="微软雅黑" w:hAnsi="微软雅黑" w:eastAsia="微软雅黑"/>
                <w:sz w:val="20"/>
              </w:rPr>
              <w:t>某消费金融机构每季度需要向监管提交IFRS 9标准下的预期信用损失（ECL）报告，但缺乏系统化的损失预测方法，靠经验估计误差大。</w:t>
            </w:r>
          </w:p>
        </w:tc>
      </w:tr>
      <w:tr w14:paraId="76D3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65FCEA4">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AADC43A">
            <w:pPr>
              <w:spacing w:after="0" w:line="240" w:lineRule="auto"/>
            </w:pPr>
            <w:r>
              <w:rPr>
                <w:rFonts w:ascii="微软雅黑" w:hAnsi="微软雅黑" w:eastAsia="微软雅黑"/>
                <w:sz w:val="20"/>
              </w:rPr>
              <w:t>每季度末进行ECL计算，依据当期各逾期段余额×各段损失率，汇总计算应计提准备金金额。</w:t>
            </w:r>
          </w:p>
        </w:tc>
      </w:tr>
      <w:tr w14:paraId="1546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00E2CD5">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0EC380E">
            <w:pPr>
              <w:spacing w:after="0" w:line="240" w:lineRule="auto"/>
            </w:pPr>
            <w:r>
              <w:rPr>
                <w:rFonts w:ascii="微软雅黑" w:hAnsi="微软雅黑" w:eastAsia="微软雅黑"/>
                <w:sz w:val="20"/>
              </w:rPr>
              <w:t>① 建立12×12月逾期迁移矩阵，记录每个状态到下一状态的月度迁移概率；② 引入宏观经济变量（GDP增速、失业率）对迁移率进行情景调整；③ 构建三情景（基准/乐观/悲观）加权ECL预测模型；④ 每季度审计迁移矩阵参数，与实际结果比对校验。</w:t>
            </w:r>
          </w:p>
        </w:tc>
      </w:tr>
      <w:tr w14:paraId="6103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8BCFA2C">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10CED25">
            <w:pPr>
              <w:spacing w:after="0" w:line="240" w:lineRule="auto"/>
            </w:pPr>
            <w:r>
              <w:rPr>
                <w:rFonts w:ascii="微软雅黑" w:hAnsi="微软雅黑" w:eastAsia="微软雅黑"/>
                <w:sz w:val="20"/>
              </w:rPr>
              <w:t>ECL预测误差从±35%压缩至±8%，季度计提准备金更加精准，避免了过往因低估损失导致的突击大额计提，提升了财务稳定性，并顺利通过外部审计和监管现场检查。</w:t>
            </w:r>
          </w:p>
        </w:tc>
      </w:tr>
    </w:tbl>
    <w:p w14:paraId="2B709502">
      <w:pPr>
        <w:spacing w:before="30" w:after="30"/>
      </w:pPr>
    </w:p>
    <w:p w14:paraId="2F0FD318">
      <w:pPr>
        <w:shd w:val="clear" w:color="auto" w:fill="1F4E79"/>
        <w:spacing w:before="180" w:after="60"/>
        <w:ind w:left="120"/>
      </w:pPr>
      <w:r>
        <w:rPr>
          <w:rFonts w:ascii="微软雅黑" w:hAnsi="微软雅黑" w:eastAsia="微软雅黑"/>
          <w:b/>
          <w:color w:val="FFFFFF"/>
          <w:sz w:val="22"/>
        </w:rPr>
        <w:t>案例3  风控KPI看板体系建设与自动化报告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39CB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99C8C83">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2AC3946">
            <w:pPr>
              <w:spacing w:after="0" w:line="240" w:lineRule="auto"/>
            </w:pPr>
            <w:r>
              <w:rPr>
                <w:rFonts w:ascii="微软雅黑" w:hAnsi="微软雅黑" w:eastAsia="微软雅黑"/>
                <w:sz w:val="20"/>
              </w:rPr>
              <w:t>某平台风控团队日常分析工作高度依赖人工取数，每周报告需3名分析师耗时2天完成，且数据口径不统一，各部门数据打架现象频繁。</w:t>
            </w:r>
          </w:p>
        </w:tc>
      </w:tr>
      <w:tr w14:paraId="7437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80D8FCE">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418A70B1">
            <w:pPr>
              <w:spacing w:after="0" w:line="240" w:lineRule="auto"/>
            </w:pPr>
            <w:r>
              <w:rPr>
                <w:rFonts w:ascii="微软雅黑" w:hAnsi="微软雅黑" w:eastAsia="微软雅黑"/>
                <w:sz w:val="20"/>
              </w:rPr>
              <w:t>每周一8:00前需输出上周风控KPI报告，且数据需覆盖申请端、放款端、逾期端、催收端全链路，触发自动报告生成任务。</w:t>
            </w:r>
          </w:p>
        </w:tc>
      </w:tr>
      <w:tr w14:paraId="287C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5EA3DF0">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3ACD3EE">
            <w:pPr>
              <w:spacing w:after="0" w:line="240" w:lineRule="auto"/>
            </w:pPr>
            <w:r>
              <w:rPr>
                <w:rFonts w:ascii="微软雅黑" w:hAnsi="微软雅黑" w:eastAsia="微软雅黑"/>
                <w:sz w:val="20"/>
              </w:rPr>
              <w:t>① 建立统一数据仓库，规范各指标口径和计算逻辑；② 开发自动化风控KPI看板（Tableau/Power BI），覆盖30+核心指标；③ 设置异常指标自动预警（环比变化超阈值即推送告警）；④ 每周自动生成PDF格式分析报告发送至管理层邮箱。</w:t>
            </w:r>
          </w:p>
        </w:tc>
      </w:tr>
      <w:tr w14:paraId="4200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D5B84F4">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F6B912C">
            <w:pPr>
              <w:spacing w:after="0" w:line="240" w:lineRule="auto"/>
            </w:pPr>
            <w:r>
              <w:rPr>
                <w:rFonts w:ascii="微软雅黑" w:hAnsi="微软雅黑" w:eastAsia="微软雅黑"/>
                <w:sz w:val="20"/>
              </w:rPr>
              <w:t>人工报告工作量减少80%，数据口径争议降至零，管理层获取风控信息周期从T+2工作日压缩至T+2小时，异常指标平均响应时间从3天缩短至4小时。</w:t>
            </w:r>
          </w:p>
        </w:tc>
      </w:tr>
    </w:tbl>
    <w:p w14:paraId="23B5E7EA">
      <w:pPr>
        <w:spacing w:before="30" w:after="30"/>
      </w:pPr>
    </w:p>
    <w:p w14:paraId="361A7E20">
      <w:pPr>
        <w:pageBreakBefore/>
        <w:shd w:val="clear" w:color="auto" w:fill="1F4E79"/>
        <w:spacing w:before="0" w:after="120"/>
        <w:ind w:left="200"/>
      </w:pPr>
      <w:r>
        <w:rPr>
          <w:rFonts w:ascii="微软雅黑" w:hAnsi="微软雅黑" w:eastAsia="微软雅黑"/>
          <w:b/>
          <w:color w:val="FFFFFF"/>
          <w:sz w:val="36"/>
        </w:rPr>
        <w:t>八、客户分层与精细化运营</w:t>
      </w:r>
    </w:p>
    <w:p w14:paraId="44386D01">
      <w:pPr>
        <w:spacing w:before="40" w:after="40"/>
        <w:ind w:left="120"/>
      </w:pPr>
      <w:r>
        <w:rPr>
          <w:rFonts w:ascii="微软雅黑" w:hAnsi="微软雅黑" w:eastAsia="微软雅黑"/>
          <w:b w:val="0"/>
          <w:i w:val="0"/>
          <w:sz w:val="21"/>
        </w:rPr>
        <w:t>精细化客户运营是消费金融从粗放增长向高质量发展转型的关键能力，通过对客户进行多维度分层，实现差异化服务和风险管理。</w:t>
      </w:r>
    </w:p>
    <w:p w14:paraId="27CC6AE7">
      <w:pPr>
        <w:spacing w:before="30" w:after="30"/>
      </w:pPr>
    </w:p>
    <w:p w14:paraId="18AE2511">
      <w:pPr>
        <w:shd w:val="clear" w:color="auto" w:fill="2E75B6"/>
        <w:spacing w:before="200" w:after="80"/>
        <w:ind w:left="120"/>
      </w:pPr>
      <w:r>
        <w:rPr>
          <w:rFonts w:ascii="微软雅黑" w:hAnsi="微软雅黑" w:eastAsia="微软雅黑"/>
          <w:b/>
          <w:color w:val="FFFFFF"/>
          <w:sz w:val="28"/>
        </w:rPr>
        <w:t>8.1 客户分层维度</w:t>
      </w:r>
    </w:p>
    <w:p w14:paraId="15C6A17C">
      <w:pPr>
        <w:spacing w:before="30" w:after="30"/>
        <w:ind w:left="420" w:hanging="210"/>
      </w:pPr>
      <w:r>
        <w:rPr>
          <w:rFonts w:ascii="微软雅黑" w:hAnsi="微软雅黑" w:eastAsia="微软雅黑"/>
          <w:sz w:val="21"/>
        </w:rPr>
        <w:t>● 风险维度：基于信用评分、逾期历史、债务水平划分风险等级</w:t>
      </w:r>
    </w:p>
    <w:p w14:paraId="03DF2B67">
      <w:pPr>
        <w:spacing w:before="30" w:after="30"/>
        <w:ind w:left="420" w:hanging="210"/>
      </w:pPr>
      <w:r>
        <w:rPr>
          <w:rFonts w:ascii="微软雅黑" w:hAnsi="微软雅黑" w:eastAsia="微软雅黑"/>
          <w:sz w:val="21"/>
        </w:rPr>
        <w:t>● 价值维度：基于贷款余额、利息贡献、产品使用频率划分价值等级</w:t>
      </w:r>
    </w:p>
    <w:p w14:paraId="2F201385">
      <w:pPr>
        <w:spacing w:before="30" w:after="30"/>
        <w:ind w:left="420" w:hanging="210"/>
      </w:pPr>
      <w:r>
        <w:rPr>
          <w:rFonts w:ascii="微软雅黑" w:hAnsi="微软雅黑" w:eastAsia="微软雅黑"/>
          <w:sz w:val="21"/>
        </w:rPr>
        <w:t>● 行为维度：基于App活跃度、还款习惯、产品偏好划分行为类型</w:t>
      </w:r>
    </w:p>
    <w:p w14:paraId="29068D68">
      <w:pPr>
        <w:spacing w:before="30" w:after="30"/>
        <w:ind w:left="420" w:hanging="210"/>
      </w:pPr>
      <w:r>
        <w:rPr>
          <w:rFonts w:ascii="微软雅黑" w:hAnsi="微软雅黑" w:eastAsia="微软雅黑"/>
          <w:sz w:val="21"/>
        </w:rPr>
        <w:t>● 生命周期维度：新客/成长期/成熟期/衰退期/流失客</w:t>
      </w:r>
    </w:p>
    <w:p w14:paraId="55E5E04D">
      <w:pPr>
        <w:spacing w:before="30" w:after="30"/>
      </w:pPr>
    </w:p>
    <w:p w14:paraId="515CCE62">
      <w:pPr>
        <w:shd w:val="clear" w:color="auto" w:fill="2E75B6"/>
        <w:spacing w:before="200" w:after="80"/>
        <w:ind w:left="120"/>
      </w:pPr>
      <w:r>
        <w:rPr>
          <w:rFonts w:ascii="微软雅黑" w:hAnsi="微软雅黑" w:eastAsia="微软雅黑"/>
          <w:b/>
          <w:color w:val="FFFFFF"/>
          <w:sz w:val="28"/>
        </w:rPr>
        <w:t>8.2 RFM模型应用</w:t>
      </w:r>
    </w:p>
    <w:p w14:paraId="16BA2599">
      <w:pPr>
        <w:spacing w:before="40" w:after="40"/>
        <w:ind w:left="120"/>
      </w:pPr>
      <w:r>
        <w:rPr>
          <w:rFonts w:ascii="微软雅黑" w:hAnsi="微软雅黑" w:eastAsia="微软雅黑"/>
          <w:b w:val="0"/>
          <w:i w:val="0"/>
          <w:sz w:val="21"/>
        </w:rPr>
        <w:t>消费金融领域的RFM模型通常定义为：</w:t>
      </w:r>
    </w:p>
    <w:p w14:paraId="635773C0">
      <w:pPr>
        <w:spacing w:before="30" w:after="30"/>
        <w:ind w:left="420" w:hanging="210"/>
      </w:pPr>
      <w:r>
        <w:rPr>
          <w:rFonts w:ascii="微软雅黑" w:hAnsi="微软雅黑" w:eastAsia="微软雅黑"/>
          <w:sz w:val="21"/>
        </w:rPr>
        <w:t>● R（Recency）：最近一次借款距今天数</w:t>
      </w:r>
    </w:p>
    <w:p w14:paraId="49D6D0F1">
      <w:pPr>
        <w:spacing w:before="30" w:after="30"/>
        <w:ind w:left="420" w:hanging="210"/>
      </w:pPr>
      <w:r>
        <w:rPr>
          <w:rFonts w:ascii="微软雅黑" w:hAnsi="微软雅黑" w:eastAsia="微软雅黑"/>
          <w:sz w:val="21"/>
        </w:rPr>
        <w:t>● F（Frequency）：借款频次（循环使用次数）</w:t>
      </w:r>
    </w:p>
    <w:p w14:paraId="19BF451E">
      <w:pPr>
        <w:spacing w:before="30" w:after="30"/>
        <w:ind w:left="420" w:hanging="210"/>
      </w:pPr>
      <w:r>
        <w:rPr>
          <w:rFonts w:ascii="微软雅黑" w:hAnsi="微软雅黑" w:eastAsia="微软雅黑"/>
          <w:sz w:val="21"/>
        </w:rPr>
        <w:t>● M（Monetary）：平均借款金额/贷款余额</w:t>
      </w:r>
    </w:p>
    <w:p w14:paraId="7480486A">
      <w:pPr>
        <w:spacing w:before="40" w:after="40"/>
        <w:ind w:left="120"/>
      </w:pPr>
      <w:r>
        <w:rPr>
          <w:rFonts w:ascii="微软雅黑" w:hAnsi="微软雅黑" w:eastAsia="微软雅黑"/>
          <w:b w:val="0"/>
          <w:i w:val="0"/>
          <w:sz w:val="21"/>
        </w:rPr>
        <w:t>通过RFM三维度打分，对存量客户进行价值分层，驱动差异化营销和风险管理策略。</w:t>
      </w:r>
    </w:p>
    <w:p w14:paraId="1A8E74FE">
      <w:pPr>
        <w:spacing w:before="30" w:after="30"/>
      </w:pPr>
    </w:p>
    <w:p w14:paraId="1B8CF221">
      <w:pPr>
        <w:shd w:val="clear" w:color="auto" w:fill="2E75B6"/>
        <w:spacing w:before="200" w:after="80"/>
        <w:ind w:left="120"/>
      </w:pPr>
      <w:r>
        <w:rPr>
          <w:rFonts w:ascii="微软雅黑" w:hAnsi="微软雅黑" w:eastAsia="微软雅黑"/>
          <w:b/>
          <w:color w:val="FFFFFF"/>
          <w:sz w:val="28"/>
        </w:rPr>
        <w:t>8.3 实战案例</w:t>
      </w:r>
    </w:p>
    <w:p w14:paraId="0B89E08A">
      <w:pPr>
        <w:spacing w:before="30" w:after="30"/>
      </w:pPr>
    </w:p>
    <w:p w14:paraId="26504DB8">
      <w:pPr>
        <w:shd w:val="clear" w:color="auto" w:fill="1F4E79"/>
        <w:spacing w:before="180" w:after="60"/>
        <w:ind w:left="120"/>
      </w:pPr>
      <w:r>
        <w:rPr>
          <w:rFonts w:ascii="微软雅黑" w:hAnsi="微软雅黑" w:eastAsia="微软雅黑"/>
          <w:b/>
          <w:color w:val="FFFFFF"/>
          <w:sz w:val="22"/>
        </w:rPr>
        <w:t>案例1  高价值客群专属服务提升LTV</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67AF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46956D1">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9F59693">
            <w:pPr>
              <w:spacing w:after="0" w:line="240" w:lineRule="auto"/>
            </w:pPr>
            <w:r>
              <w:rPr>
                <w:rFonts w:ascii="微软雅黑" w:hAnsi="微软雅黑" w:eastAsia="微软雅黑"/>
                <w:sz w:val="20"/>
              </w:rPr>
              <w:t>某消费金融机构识别出顶部20%的高价值客群（贡献了60%以上利息收入），但这批客户面临来自银行低利率产品的竞争压力，流失率偏高。</w:t>
            </w:r>
          </w:p>
        </w:tc>
      </w:tr>
      <w:tr w14:paraId="509C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23C77D4">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A12BA79">
            <w:pPr>
              <w:spacing w:after="0" w:line="240" w:lineRule="auto"/>
            </w:pPr>
            <w:r>
              <w:rPr>
                <w:rFonts w:ascii="微软雅黑" w:hAnsi="微软雅黑" w:eastAsia="微软雅黑"/>
                <w:sz w:val="20"/>
              </w:rPr>
              <w:t>客户RFM综合评分处于前20%且历史无逾期，近6个月平均贷款余额&gt;3万元，触发高价值客户专属权益推送。</w:t>
            </w:r>
          </w:p>
        </w:tc>
      </w:tr>
      <w:tr w14:paraId="2646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32F2785D">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D750AD0">
            <w:pPr>
              <w:spacing w:after="0" w:line="240" w:lineRule="auto"/>
            </w:pPr>
            <w:r>
              <w:rPr>
                <w:rFonts w:ascii="微软雅黑" w:hAnsi="微软雅黑" w:eastAsia="微软雅黑"/>
                <w:sz w:val="20"/>
              </w:rPr>
              <w:t>① 建立【金牌客户】分层标签，配置专属客服通道（响应时间&lt;1分钟）；② 提供专属优惠利率（比标准利率低1.5个百分点）；③ 推出【额度保障计划】（确保额度不因长期未用而降低）；④ 定期进行高价值客户满意度调研，持续迭代服务。</w:t>
            </w:r>
          </w:p>
        </w:tc>
      </w:tr>
      <w:tr w14:paraId="5F55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E16CF15">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D203303">
            <w:pPr>
              <w:spacing w:after="0" w:line="240" w:lineRule="auto"/>
            </w:pPr>
            <w:r>
              <w:rPr>
                <w:rFonts w:ascii="微软雅黑" w:hAnsi="微软雅黑" w:eastAsia="微软雅黑"/>
                <w:sz w:val="20"/>
              </w:rPr>
              <w:t>高价值客户年流失率从28%降至14%，人均年贡献利息收入提升22%，净推荐值（NPS）从34分提升至61分，客户生命周期价值（LTV）平均提升约1.8倍。</w:t>
            </w:r>
          </w:p>
        </w:tc>
      </w:tr>
    </w:tbl>
    <w:p w14:paraId="65593C9F">
      <w:pPr>
        <w:spacing w:before="30" w:after="30"/>
      </w:pPr>
    </w:p>
    <w:p w14:paraId="69D4FA64">
      <w:pPr>
        <w:shd w:val="clear" w:color="auto" w:fill="1F4E79"/>
        <w:spacing w:before="180" w:after="60"/>
        <w:ind w:left="120"/>
      </w:pPr>
      <w:r>
        <w:rPr>
          <w:rFonts w:ascii="微软雅黑" w:hAnsi="微软雅黑" w:eastAsia="微软雅黑"/>
          <w:b/>
          <w:color w:val="FFFFFF"/>
          <w:sz w:val="22"/>
        </w:rPr>
        <w:t>案例2  流失预警模型挽回即将流失客户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2E72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A55E63E">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48E0BC9A">
            <w:pPr>
              <w:spacing w:after="0" w:line="240" w:lineRule="auto"/>
            </w:pPr>
            <w:r>
              <w:rPr>
                <w:rFonts w:ascii="微软雅黑" w:hAnsi="微软雅黑" w:eastAsia="微软雅黑"/>
                <w:sz w:val="20"/>
              </w:rPr>
              <w:t>某平台发现大量优质客户在信用额度到期后不再复借，流失严重，但复借率下降往往提前3个月就有信号，缺乏有效的预警和挽留机制。</w:t>
            </w:r>
          </w:p>
        </w:tc>
      </w:tr>
      <w:tr w14:paraId="338B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51E0A2A">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607F62DB">
            <w:pPr>
              <w:spacing w:after="0" w:line="240" w:lineRule="auto"/>
            </w:pPr>
            <w:r>
              <w:rPr>
                <w:rFonts w:ascii="微软雅黑" w:hAnsi="微软雅黑" w:eastAsia="微软雅黑"/>
                <w:sz w:val="20"/>
              </w:rPr>
              <w:t>客户最近3个月登录频率较前3个月下降50%以上，且上次借款已超过60天，信用评分仍在A/B级，触发流失预警。</w:t>
            </w:r>
          </w:p>
        </w:tc>
      </w:tr>
      <w:tr w14:paraId="570B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EF5A085">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94AE50D">
            <w:pPr>
              <w:spacing w:after="0" w:line="240" w:lineRule="auto"/>
            </w:pPr>
            <w:r>
              <w:rPr>
                <w:rFonts w:ascii="微软雅黑" w:hAnsi="微软雅黑" w:eastAsia="微软雅黑"/>
                <w:sz w:val="20"/>
              </w:rPr>
              <w:t>① 构建客户流失预测模型（输入：登录频率、还款方式、产品使用深度等）；② 对预测流失概率&gt;65%的客户推送个性化挽留活动（免息券、提额礼包）；③ 人工客服主动外呼了解客户需求，收集反馈；④ 对挽留成功客户建立持续跟踪标签，防止二次流失。</w:t>
            </w:r>
          </w:p>
        </w:tc>
      </w:tr>
      <w:tr w14:paraId="271A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5EDBC9D">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2E1F43A7">
            <w:pPr>
              <w:spacing w:after="0" w:line="240" w:lineRule="auto"/>
            </w:pPr>
            <w:r>
              <w:rPr>
                <w:rFonts w:ascii="微软雅黑" w:hAnsi="微软雅黑" w:eastAsia="微软雅黑"/>
                <w:sz w:val="20"/>
              </w:rPr>
              <w:t>流失预警模型的30天精准率达71%，挽留活动客户接受率38%，被挽留客户后续6个月复借率82%（对照组仅19%），整体复借率提升约15个百分点，年化贡献收入增加约2600万元。</w:t>
            </w:r>
          </w:p>
        </w:tc>
      </w:tr>
    </w:tbl>
    <w:p w14:paraId="48E20301">
      <w:pPr>
        <w:spacing w:before="30" w:after="30"/>
      </w:pPr>
    </w:p>
    <w:p w14:paraId="04F83E8B">
      <w:pPr>
        <w:shd w:val="clear" w:color="auto" w:fill="1F4E79"/>
        <w:spacing w:before="180" w:after="60"/>
        <w:ind w:left="120"/>
      </w:pPr>
      <w:r>
        <w:rPr>
          <w:rFonts w:ascii="微软雅黑" w:hAnsi="微软雅黑" w:eastAsia="微软雅黑"/>
          <w:b/>
          <w:color w:val="FFFFFF"/>
          <w:sz w:val="22"/>
        </w:rPr>
        <w:t>案例3  信用修复计划激活历史逾期客户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4F46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7695ACEE">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53F859D">
            <w:pPr>
              <w:spacing w:after="0" w:line="240" w:lineRule="auto"/>
            </w:pPr>
            <w:r>
              <w:rPr>
                <w:rFonts w:ascii="微软雅黑" w:hAnsi="微软雅黑" w:eastAsia="微软雅黑"/>
                <w:sz w:val="20"/>
              </w:rPr>
              <w:t>某平台积累了大量曾经逾期但已结清的客户，这批【历史逾期客群】约占注册用户的12%，但因一刀切拒绝策略无法再度借款，潜在价值被完全封锁。</w:t>
            </w:r>
          </w:p>
        </w:tc>
      </w:tr>
      <w:tr w14:paraId="1C58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B28CD60">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4EF18B41">
            <w:pPr>
              <w:spacing w:after="0" w:line="240" w:lineRule="auto"/>
            </w:pPr>
            <w:r>
              <w:rPr>
                <w:rFonts w:ascii="微软雅黑" w:hAnsi="微软雅黑" w:eastAsia="微软雅黑"/>
                <w:sz w:val="20"/>
              </w:rPr>
              <w:t>客户历史存在M1-M2逾期但已全额结清，结清后至今超过12个月无新逾期，且重新申请时综合评分≥580分。</w:t>
            </w:r>
          </w:p>
        </w:tc>
      </w:tr>
      <w:tr w14:paraId="2D34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2E32AA7">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62BFE38C">
            <w:pPr>
              <w:spacing w:after="0" w:line="240" w:lineRule="auto"/>
            </w:pPr>
            <w:r>
              <w:rPr>
                <w:rFonts w:ascii="微软雅黑" w:hAnsi="微软雅黑" w:eastAsia="微软雅黑"/>
                <w:sz w:val="20"/>
              </w:rPr>
              <w:t>① 设计【信用修复】专项产品，初始额度限定在1000~3000元，利率较标准产品高5%；② 要求前3期按时还款作为行为验证期；③ 验证期表现良好后自动升级为标准产品，利率回归正常；④ 全程监控该群体的逾期表现，与新客群隔离分析。</w:t>
            </w:r>
          </w:p>
        </w:tc>
      </w:tr>
      <w:tr w14:paraId="5EF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4CD6038">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2CA9250">
            <w:pPr>
              <w:spacing w:after="0" w:line="240" w:lineRule="auto"/>
            </w:pPr>
            <w:r>
              <w:rPr>
                <w:rFonts w:ascii="微软雅黑" w:hAnsi="微软雅黑" w:eastAsia="微软雅黑"/>
                <w:sz w:val="20"/>
              </w:rPr>
              <w:t>信用修复客群6个月逾期率为8.3%（高于新客的4.1%，但收益率亦更高），综合风险调整收益为正；激活沉默用户约4.2万名，带来年化利息收入约1800万元，且客户满意度极高（NPS 73分）。</w:t>
            </w:r>
          </w:p>
        </w:tc>
      </w:tr>
    </w:tbl>
    <w:p w14:paraId="797CEEB3">
      <w:pPr>
        <w:spacing w:before="30" w:after="30"/>
      </w:pPr>
    </w:p>
    <w:p w14:paraId="00A3D91D">
      <w:pPr>
        <w:pageBreakBefore/>
        <w:shd w:val="clear" w:color="auto" w:fill="1F4E79"/>
        <w:spacing w:before="0" w:after="120"/>
        <w:ind w:left="200"/>
      </w:pPr>
      <w:r>
        <w:rPr>
          <w:rFonts w:ascii="微软雅黑" w:hAnsi="微软雅黑" w:eastAsia="微软雅黑"/>
          <w:b/>
          <w:color w:val="FFFFFF"/>
          <w:sz w:val="36"/>
        </w:rPr>
        <w:t>九、风控合规与监管</w:t>
      </w:r>
    </w:p>
    <w:p w14:paraId="0C3FA086">
      <w:pPr>
        <w:spacing w:before="40" w:after="40"/>
        <w:ind w:left="120"/>
      </w:pPr>
      <w:r>
        <w:rPr>
          <w:rFonts w:ascii="微软雅黑" w:hAnsi="微软雅黑" w:eastAsia="微软雅黑"/>
          <w:b w:val="0"/>
          <w:i w:val="0"/>
          <w:sz w:val="21"/>
        </w:rPr>
        <w:t>合规是消费金融机构经营的底线，随着监管政策不断收紧，将合规要求深度嵌入风控体系，既是法律义务，也是防范机构系统性风险的重要保障。</w:t>
      </w:r>
    </w:p>
    <w:p w14:paraId="37A27016">
      <w:pPr>
        <w:spacing w:before="30" w:after="30"/>
      </w:pPr>
    </w:p>
    <w:p w14:paraId="076833BD">
      <w:pPr>
        <w:shd w:val="clear" w:color="auto" w:fill="2E75B6"/>
        <w:spacing w:before="200" w:after="80"/>
        <w:ind w:left="120"/>
      </w:pPr>
      <w:r>
        <w:rPr>
          <w:rFonts w:ascii="微软雅黑" w:hAnsi="微软雅黑" w:eastAsia="微软雅黑"/>
          <w:b/>
          <w:color w:val="FFFFFF"/>
          <w:sz w:val="28"/>
        </w:rPr>
        <w:t>9.1 主要监管框架</w:t>
      </w:r>
    </w:p>
    <w:p w14:paraId="7E7ABD21">
      <w:pPr>
        <w:spacing w:before="30" w:after="30"/>
        <w:ind w:left="420" w:hanging="210"/>
      </w:pPr>
      <w:r>
        <w:rPr>
          <w:rFonts w:ascii="微软雅黑" w:hAnsi="微软雅黑" w:eastAsia="微软雅黑"/>
          <w:sz w:val="21"/>
        </w:rPr>
        <w:t>● 中国人民银行：征信业务管理（《征信业管理条例》）、反洗钱（《反洗钱法》）、利率管理（LPR相关规定）</w:t>
      </w:r>
    </w:p>
    <w:p w14:paraId="4332C6F6">
      <w:pPr>
        <w:spacing w:before="30" w:after="30"/>
        <w:ind w:left="420" w:hanging="210"/>
      </w:pPr>
      <w:r>
        <w:rPr>
          <w:rFonts w:ascii="微软雅黑" w:hAnsi="微软雅黑" w:eastAsia="微软雅黑"/>
          <w:sz w:val="21"/>
        </w:rPr>
        <w:t>● 国家金融监督管理总局（原银保监会）：消费金融公司监管（《消费金融公司管理办法》2023版）</w:t>
      </w:r>
    </w:p>
    <w:p w14:paraId="3EE5077E">
      <w:pPr>
        <w:spacing w:before="30" w:after="30"/>
        <w:ind w:left="420" w:hanging="210"/>
      </w:pPr>
      <w:r>
        <w:rPr>
          <w:rFonts w:ascii="微软雅黑" w:hAnsi="微软雅黑" w:eastAsia="微软雅黑"/>
          <w:sz w:val="21"/>
        </w:rPr>
        <w:t>● 国家互联网信息办公室：个人信息保护（《个人信息保护法》）、数据安全（《数据安全法》）</w:t>
      </w:r>
    </w:p>
    <w:p w14:paraId="3BA63456">
      <w:pPr>
        <w:spacing w:before="30" w:after="30"/>
        <w:ind w:left="420" w:hanging="210"/>
      </w:pPr>
      <w:r>
        <w:rPr>
          <w:rFonts w:ascii="微软雅黑" w:hAnsi="微软雅黑" w:eastAsia="微软雅黑"/>
          <w:sz w:val="21"/>
        </w:rPr>
        <w:t>● 最高人民法院：民间借贷利率司法保护上限、催收规范</w:t>
      </w:r>
    </w:p>
    <w:p w14:paraId="145897C4">
      <w:pPr>
        <w:spacing w:before="30" w:after="30"/>
      </w:pPr>
    </w:p>
    <w:p w14:paraId="4FD71991">
      <w:pPr>
        <w:shd w:val="clear" w:color="auto" w:fill="2E75B6"/>
        <w:spacing w:before="200" w:after="80"/>
        <w:ind w:left="120"/>
      </w:pPr>
      <w:r>
        <w:rPr>
          <w:rFonts w:ascii="微软雅黑" w:hAnsi="微软雅黑" w:eastAsia="微软雅黑"/>
          <w:b/>
          <w:color w:val="FFFFFF"/>
          <w:sz w:val="28"/>
        </w:rPr>
        <w:t>9.2 关键合规要求</w:t>
      </w:r>
    </w:p>
    <w:p w14:paraId="734252D9">
      <w:pPr>
        <w:spacing w:before="30" w:after="30"/>
        <w:ind w:left="420" w:hanging="210"/>
      </w:pPr>
      <w:r>
        <w:rPr>
          <w:rFonts w:ascii="微软雅黑" w:hAnsi="微软雅黑" w:eastAsia="微软雅黑"/>
          <w:sz w:val="21"/>
        </w:rPr>
        <w:t>● 利率上限：综合年化利率不超过LPR的4倍（当前约15.4%），司法保护上限24%/36%区间规则</w:t>
      </w:r>
    </w:p>
    <w:p w14:paraId="1C280BCF">
      <w:pPr>
        <w:spacing w:before="30" w:after="30"/>
        <w:ind w:left="420" w:hanging="210"/>
      </w:pPr>
      <w:r>
        <w:rPr>
          <w:rFonts w:ascii="微软雅黑" w:hAnsi="微软雅黑" w:eastAsia="微软雅黑"/>
          <w:sz w:val="21"/>
        </w:rPr>
        <w:t>● 信息披露：贷款成本（APR）须向借款人明确披露，禁止捆绑销售保险等变相提高成本</w:t>
      </w:r>
    </w:p>
    <w:p w14:paraId="280B605F">
      <w:pPr>
        <w:spacing w:before="30" w:after="30"/>
        <w:ind w:left="420" w:hanging="210"/>
      </w:pPr>
      <w:r>
        <w:rPr>
          <w:rFonts w:ascii="微软雅黑" w:hAnsi="微软雅黑" w:eastAsia="微软雅黑"/>
          <w:sz w:val="21"/>
        </w:rPr>
        <w:t>● 数据合规：客户数据采集须获得明确授权，不得过度收集，禁止向未授权第三方共享</w:t>
      </w:r>
    </w:p>
    <w:p w14:paraId="7CE9A955">
      <w:pPr>
        <w:spacing w:before="30" w:after="30"/>
        <w:ind w:left="420" w:hanging="210"/>
      </w:pPr>
      <w:r>
        <w:rPr>
          <w:rFonts w:ascii="微软雅黑" w:hAnsi="微软雅黑" w:eastAsia="微软雅黑"/>
          <w:sz w:val="21"/>
        </w:rPr>
        <w:t>● 催收合规：禁止暴力催收、骚扰行为，须保留催收录音备查</w:t>
      </w:r>
    </w:p>
    <w:p w14:paraId="522D32D9">
      <w:pPr>
        <w:spacing w:before="30" w:after="30"/>
      </w:pPr>
    </w:p>
    <w:p w14:paraId="33F50992">
      <w:pPr>
        <w:shd w:val="clear" w:color="auto" w:fill="2E75B6"/>
        <w:spacing w:before="200" w:after="80"/>
        <w:ind w:left="120"/>
      </w:pPr>
      <w:r>
        <w:rPr>
          <w:rFonts w:ascii="微软雅黑" w:hAnsi="微软雅黑" w:eastAsia="微软雅黑"/>
          <w:b/>
          <w:color w:val="FFFFFF"/>
          <w:sz w:val="28"/>
        </w:rPr>
        <w:t>9.3 实战案例</w:t>
      </w:r>
    </w:p>
    <w:p w14:paraId="31573012">
      <w:pPr>
        <w:spacing w:before="30" w:after="30"/>
      </w:pPr>
    </w:p>
    <w:p w14:paraId="1AB25474">
      <w:pPr>
        <w:shd w:val="clear" w:color="auto" w:fill="1F4E79"/>
        <w:spacing w:before="180" w:after="60"/>
        <w:ind w:left="120"/>
      </w:pPr>
      <w:r>
        <w:rPr>
          <w:rFonts w:ascii="微软雅黑" w:hAnsi="微软雅黑" w:eastAsia="微软雅黑"/>
          <w:b/>
          <w:color w:val="FFFFFF"/>
          <w:sz w:val="22"/>
        </w:rPr>
        <w:t>案例1  全面合规审查与整改：应对消费金融公司监管检查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6BA0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599EBDA">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63EA3830">
            <w:pPr>
              <w:spacing w:after="0" w:line="240" w:lineRule="auto"/>
            </w:pPr>
            <w:r>
              <w:rPr>
                <w:rFonts w:ascii="微软雅黑" w:hAnsi="微软雅黑" w:eastAsia="微软雅黑"/>
                <w:sz w:val="20"/>
              </w:rPr>
              <w:t>监管部门通知某消费金融公司将于3个月后开展现场检查，覆盖授信管理、催收合规、数据安全三大领域，公司需提前开展内部整改。</w:t>
            </w:r>
          </w:p>
        </w:tc>
      </w:tr>
      <w:tr w14:paraId="7312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79FC5E7">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16EE96A0">
            <w:pPr>
              <w:spacing w:after="0" w:line="240" w:lineRule="auto"/>
            </w:pPr>
            <w:r>
              <w:rPr>
                <w:rFonts w:ascii="微软雅黑" w:hAnsi="微软雅黑" w:eastAsia="微软雅黑"/>
                <w:sz w:val="20"/>
              </w:rPr>
              <w:t>收到监管检查通知后立即触发合规专项自查程序，内控部门牵头，风控、法务、IT协同参与。</w:t>
            </w:r>
          </w:p>
        </w:tc>
      </w:tr>
      <w:tr w14:paraId="6AF1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1AD2581">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C6D30CE">
            <w:pPr>
              <w:spacing w:after="0" w:line="240" w:lineRule="auto"/>
            </w:pPr>
            <w:r>
              <w:rPr>
                <w:rFonts w:ascii="微软雅黑" w:hAnsi="微软雅黑" w:eastAsia="微软雅黑"/>
                <w:sz w:val="20"/>
              </w:rPr>
              <w:t>① 对照最新监管文件（《消费金融公司管理办法》2023版）开展条款对照自查；② 对历史催收录音进行抽样检测（每类产品随机抽取200条）；③ 检查数据安全措施（加密标准、访问控制、日志审计）；④ 发现问题立即整改，形成整改台账并留痕；⑤ 对监管关注重点进行模拟问询演练。</w:t>
            </w:r>
          </w:p>
        </w:tc>
      </w:tr>
      <w:tr w14:paraId="2947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A9E5782">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70C73BC3">
            <w:pPr>
              <w:spacing w:after="0" w:line="240" w:lineRule="auto"/>
            </w:pPr>
            <w:r>
              <w:rPr>
                <w:rFonts w:ascii="微软雅黑" w:hAnsi="微软雅黑" w:eastAsia="微软雅黑"/>
                <w:sz w:val="20"/>
              </w:rPr>
              <w:t>检查结果为【无重大问题】，仅有2项一般性意见被要求限期整改，合规风险得到有效控制；后续建立季度合规例行自查机制，形成长效合规管理体系。</w:t>
            </w:r>
          </w:p>
        </w:tc>
      </w:tr>
    </w:tbl>
    <w:p w14:paraId="728672D6">
      <w:pPr>
        <w:spacing w:before="30" w:after="30"/>
      </w:pPr>
    </w:p>
    <w:p w14:paraId="50416BAB">
      <w:pPr>
        <w:shd w:val="clear" w:color="auto" w:fill="1F4E79"/>
        <w:spacing w:before="180" w:after="60"/>
        <w:ind w:left="120"/>
      </w:pPr>
      <w:r>
        <w:rPr>
          <w:rFonts w:ascii="微软雅黑" w:hAnsi="微软雅黑" w:eastAsia="微软雅黑"/>
          <w:b/>
          <w:color w:val="FFFFFF"/>
          <w:sz w:val="22"/>
        </w:rPr>
        <w:t>案例2  个人信息保护合规改造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0549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B900B6A">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FB6FA80">
            <w:pPr>
              <w:spacing w:after="0" w:line="240" w:lineRule="auto"/>
            </w:pPr>
            <w:r>
              <w:rPr>
                <w:rFonts w:ascii="微软雅黑" w:hAnsi="微软雅黑" w:eastAsia="微软雅黑"/>
                <w:sz w:val="20"/>
              </w:rPr>
              <w:t>《个人信息保护法》实施后，审计发现平台存在过度采集用户手机通讯录、位置信息等问题，同时未建立完善的数据主体权利响应机制，面临监管处罚风险。</w:t>
            </w:r>
          </w:p>
        </w:tc>
      </w:tr>
      <w:tr w14:paraId="726C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9BBEE83">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43C04598">
            <w:pPr>
              <w:spacing w:after="0" w:line="240" w:lineRule="auto"/>
            </w:pPr>
            <w:r>
              <w:rPr>
                <w:rFonts w:ascii="微软雅黑" w:hAnsi="微软雅黑" w:eastAsia="微软雅黑"/>
                <w:sz w:val="20"/>
              </w:rPr>
              <w:t>法规生效或监管通知后立即触发个人信息保护合规评估，或用户提出数据权利申请（如数据删除、导出）时触发响应流程。</w:t>
            </w:r>
          </w:p>
        </w:tc>
      </w:tr>
      <w:tr w14:paraId="6273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5AD10CDB">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561D52AF">
            <w:pPr>
              <w:spacing w:after="0" w:line="240" w:lineRule="auto"/>
            </w:pPr>
            <w:r>
              <w:rPr>
                <w:rFonts w:ascii="微软雅黑" w:hAnsi="微软雅黑" w:eastAsia="微软雅黑"/>
                <w:sz w:val="20"/>
              </w:rPr>
              <w:t>① 开展数据地图梳理，识别所有个人数据采集点和存储位置；② 删除非必要采集字段（如通讯录、相册访问）；③ 更新隐私政策和用户授权协议，语言通俗化；④ 建立用户数据权利响应机制（查询/更正/删除/可携带性，响应时间&lt;15天）；⑤ 设立数据保护官（DPO）岗位。</w:t>
            </w:r>
          </w:p>
        </w:tc>
      </w:tr>
      <w:tr w14:paraId="0A29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2AACF23A">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3DADE32">
            <w:pPr>
              <w:spacing w:after="0" w:line="240" w:lineRule="auto"/>
            </w:pPr>
            <w:r>
              <w:rPr>
                <w:rFonts w:ascii="微软雅黑" w:hAnsi="微软雅黑" w:eastAsia="微软雅黑"/>
                <w:sz w:val="20"/>
              </w:rPr>
              <w:t>彻底消除4项数据合规高风险点，通过监管合规自评获得A级，用户投诉中涉及隐私的案件减少73%，品牌形象在用户调研中的【数据安全可信】指标提升28个百分点。</w:t>
            </w:r>
          </w:p>
        </w:tc>
      </w:tr>
    </w:tbl>
    <w:p w14:paraId="33E89142">
      <w:pPr>
        <w:spacing w:before="30" w:after="30"/>
      </w:pPr>
    </w:p>
    <w:p w14:paraId="070B74CF">
      <w:pPr>
        <w:shd w:val="clear" w:color="auto" w:fill="1F4E79"/>
        <w:spacing w:before="180" w:after="60"/>
        <w:ind w:left="120"/>
      </w:pPr>
      <w:r>
        <w:rPr>
          <w:rFonts w:ascii="微软雅黑" w:hAnsi="微软雅黑" w:eastAsia="微软雅黑"/>
          <w:b/>
          <w:color w:val="FFFFFF"/>
          <w:sz w:val="22"/>
        </w:rPr>
        <w:t>案例3  利率合规整改：彻底清理综合成本超标产品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427"/>
      </w:tblGrid>
      <w:tr w14:paraId="27F1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0D02CCB2">
            <w:pPr>
              <w:spacing w:after="0" w:line="240" w:lineRule="auto"/>
              <w:jc w:val="center"/>
            </w:pPr>
            <w:r>
              <w:rPr>
                <w:rFonts w:ascii="微软雅黑" w:hAnsi="微软雅黑" w:eastAsia="微软雅黑"/>
                <w:b/>
                <w:color w:val="1F4E79"/>
                <w:sz w:val="20"/>
              </w:rPr>
              <w:t>背   景</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229FB98B">
            <w:pPr>
              <w:spacing w:after="0" w:line="240" w:lineRule="auto"/>
            </w:pPr>
            <w:r>
              <w:rPr>
                <w:rFonts w:ascii="微软雅黑" w:hAnsi="微软雅黑" w:eastAsia="微软雅黑"/>
                <w:sz w:val="20"/>
              </w:rPr>
              <w:t>某平台原有部分短期小额贷款产品叠加手续费、账户管理费后实际APR超过司法保护上限，属违规收费，面临客户投诉和监管处罚双重压力。</w:t>
            </w:r>
          </w:p>
        </w:tc>
      </w:tr>
      <w:tr w14:paraId="4094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6927E422">
            <w:pPr>
              <w:spacing w:after="0" w:line="240" w:lineRule="auto"/>
              <w:jc w:val="center"/>
            </w:pPr>
            <w:r>
              <w:rPr>
                <w:rFonts w:ascii="微软雅黑" w:hAnsi="微软雅黑" w:eastAsia="微软雅黑"/>
                <w:b/>
                <w:color w:val="1F4E79"/>
                <w:sz w:val="20"/>
              </w:rPr>
              <w:t>触发条件</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3958A087">
            <w:pPr>
              <w:spacing w:after="0" w:line="240" w:lineRule="auto"/>
            </w:pPr>
            <w:r>
              <w:rPr>
                <w:rFonts w:ascii="微软雅黑" w:hAnsi="微软雅黑" w:eastAsia="微软雅黑"/>
                <w:sz w:val="20"/>
              </w:rPr>
              <w:t>监管投诉或内部合规审计发现综合APR（含所有费率折算）超过36%的产品，立即触发合规整改流程。</w:t>
            </w:r>
          </w:p>
        </w:tc>
      </w:tr>
      <w:tr w14:paraId="0818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43BD7A85">
            <w:pPr>
              <w:spacing w:after="0" w:line="240" w:lineRule="auto"/>
              <w:jc w:val="center"/>
            </w:pPr>
            <w:r>
              <w:rPr>
                <w:rFonts w:ascii="微软雅黑" w:hAnsi="微软雅黑" w:eastAsia="微软雅黑"/>
                <w:b/>
                <w:color w:val="1F4E79"/>
                <w:sz w:val="20"/>
              </w:rPr>
              <w:t>执行流程</w:t>
            </w:r>
          </w:p>
        </w:tc>
        <w:tc>
          <w:tcPr>
            <w:tcW w:w="7427" w:type="dxa"/>
            <w:tcBorders>
              <w:top w:val="single" w:color="BBBBBB" w:sz="4" w:space="0"/>
              <w:left w:val="single" w:color="BBBBBB" w:sz="4" w:space="0"/>
              <w:bottom w:val="single" w:color="BBBBBB" w:sz="4" w:space="0"/>
              <w:right w:val="single" w:color="BBBBBB" w:sz="4" w:space="0"/>
            </w:tcBorders>
            <w:shd w:val="clear" w:color="auto" w:fill="F5FAFF"/>
          </w:tcPr>
          <w:p w14:paraId="7796E3C3">
            <w:pPr>
              <w:spacing w:after="0" w:line="240" w:lineRule="auto"/>
            </w:pPr>
            <w:r>
              <w:rPr>
                <w:rFonts w:ascii="微软雅黑" w:hAnsi="微软雅黑" w:eastAsia="微软雅黑"/>
                <w:sz w:val="20"/>
              </w:rPr>
              <w:t>① 对所有产品进行APR全量重新测算（包含利息、手续费、保险费、其他服务费）；② 对超标产品立即下架或调整收费结构；③ 对已收取超标费用的存量客户按监管要求退款；④ 系统层面增加APR合规校验硬规则（APR&gt;36%的产品无法上线）；⑤ 建立产品上线前合规审查门禁机制。</w:t>
            </w:r>
          </w:p>
        </w:tc>
      </w:tr>
      <w:tr w14:paraId="1774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D6E4F0"/>
            <w:vAlign w:val="center"/>
          </w:tcPr>
          <w:p w14:paraId="1ADB0E91">
            <w:pPr>
              <w:spacing w:after="0" w:line="240" w:lineRule="auto"/>
              <w:jc w:val="center"/>
            </w:pPr>
            <w:r>
              <w:rPr>
                <w:rFonts w:ascii="微软雅黑" w:hAnsi="微软雅黑" w:eastAsia="微软雅黑"/>
                <w:b/>
                <w:color w:val="1F4E79"/>
                <w:sz w:val="20"/>
              </w:rPr>
              <w:t>预期效果</w:t>
            </w:r>
          </w:p>
        </w:tc>
        <w:tc>
          <w:tcPr>
            <w:tcW w:w="7427" w:type="dxa"/>
            <w:tcBorders>
              <w:top w:val="single" w:color="BBBBBB" w:sz="4" w:space="0"/>
              <w:left w:val="single" w:color="BBBBBB" w:sz="4" w:space="0"/>
              <w:bottom w:val="single" w:color="BBBBBB" w:sz="4" w:space="0"/>
              <w:right w:val="single" w:color="BBBBBB" w:sz="4" w:space="0"/>
            </w:tcBorders>
            <w:shd w:val="clear" w:color="auto" w:fill="FAFAFA"/>
          </w:tcPr>
          <w:p w14:paraId="027E165F">
            <w:pPr>
              <w:spacing w:after="0" w:line="240" w:lineRule="auto"/>
            </w:pPr>
            <w:r>
              <w:rPr>
                <w:rFonts w:ascii="微软雅黑" w:hAnsi="微软雅黑" w:eastAsia="微软雅黑"/>
                <w:sz w:val="20"/>
              </w:rPr>
              <w:t>整改后全产品线APR合规率100%，客户投诉量下降41%，监管约谈风险消除；退款金额约420万元（一次性损失），但品牌信誉和监管关系显著改善，后续业务扩张获得监管支持。</w:t>
            </w:r>
          </w:p>
        </w:tc>
      </w:tr>
    </w:tbl>
    <w:p w14:paraId="506AB5C9">
      <w:pPr>
        <w:spacing w:before="30" w:after="30"/>
      </w:pPr>
    </w:p>
    <w:p w14:paraId="1440E3BF">
      <w:pPr>
        <w:pageBreakBefore/>
        <w:shd w:val="clear" w:color="auto" w:fill="1F4E79"/>
        <w:spacing w:before="0" w:after="120"/>
        <w:ind w:left="200"/>
      </w:pPr>
      <w:r>
        <w:rPr>
          <w:rFonts w:ascii="微软雅黑" w:hAnsi="微软雅黑" w:eastAsia="微软雅黑"/>
          <w:b/>
          <w:color w:val="FFFFFF"/>
          <w:sz w:val="36"/>
        </w:rPr>
        <w:t>十、总结与建议</w:t>
      </w:r>
    </w:p>
    <w:p w14:paraId="5CF0DE93">
      <w:pPr>
        <w:spacing w:before="30" w:after="30"/>
      </w:pPr>
    </w:p>
    <w:p w14:paraId="0175AF9A">
      <w:pPr>
        <w:shd w:val="clear" w:color="auto" w:fill="2E75B6"/>
        <w:spacing w:before="200" w:after="80"/>
        <w:ind w:left="120"/>
      </w:pPr>
      <w:r>
        <w:rPr>
          <w:rFonts w:ascii="微软雅黑" w:hAnsi="微软雅黑" w:eastAsia="微软雅黑"/>
          <w:b/>
          <w:color w:val="FFFFFF"/>
          <w:sz w:val="28"/>
        </w:rPr>
        <w:t>10.1 体系建设优先级建议</w:t>
      </w:r>
    </w:p>
    <w:p w14:paraId="3AE04DFB">
      <w:pPr>
        <w:spacing w:before="40" w:after="40"/>
        <w:ind w:left="120"/>
      </w:pPr>
      <w:r>
        <w:rPr>
          <w:rFonts w:ascii="微软雅黑" w:hAnsi="微软雅黑" w:eastAsia="微软雅黑"/>
          <w:b w:val="0"/>
          <w:i w:val="0"/>
          <w:sz w:val="21"/>
        </w:rPr>
        <w:t>对于处于不同发展阶段的消费金融机构，风控体系建设重点有所不同：</w:t>
      </w:r>
    </w:p>
    <w:p w14:paraId="78A08C25">
      <w:pPr>
        <w:spacing w:before="30" w:after="3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798"/>
        <w:gridCol w:w="3628"/>
      </w:tblGrid>
      <w:tr w14:paraId="75F6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1F4E79"/>
          </w:tcPr>
          <w:p w14:paraId="71B91A95">
            <w:pPr>
              <w:spacing w:after="0" w:line="240" w:lineRule="auto"/>
              <w:jc w:val="center"/>
            </w:pPr>
            <w:r>
              <w:rPr>
                <w:rFonts w:ascii="微软雅黑" w:hAnsi="微软雅黑" w:eastAsia="微软雅黑"/>
                <w:b/>
                <w:color w:val="FFFFFF"/>
                <w:sz w:val="20"/>
              </w:rPr>
              <w:t>发展阶段</w:t>
            </w:r>
          </w:p>
        </w:tc>
        <w:tc>
          <w:tcPr>
            <w:tcW w:w="3798" w:type="dxa"/>
            <w:tcBorders>
              <w:top w:val="single" w:color="BBBBBB" w:sz="4" w:space="0"/>
              <w:left w:val="single" w:color="BBBBBB" w:sz="4" w:space="0"/>
              <w:bottom w:val="single" w:color="BBBBBB" w:sz="4" w:space="0"/>
              <w:right w:val="single" w:color="BBBBBB" w:sz="4" w:space="0"/>
            </w:tcBorders>
            <w:shd w:val="clear" w:color="auto" w:fill="1F4E79"/>
          </w:tcPr>
          <w:p w14:paraId="73869ABC">
            <w:pPr>
              <w:spacing w:after="0" w:line="240" w:lineRule="auto"/>
              <w:jc w:val="center"/>
            </w:pPr>
            <w:r>
              <w:rPr>
                <w:rFonts w:ascii="微软雅黑" w:hAnsi="微软雅黑" w:eastAsia="微软雅黑"/>
                <w:b/>
                <w:color w:val="FFFFFF"/>
                <w:sz w:val="20"/>
              </w:rPr>
              <w:t>建设重点</w:t>
            </w:r>
          </w:p>
        </w:tc>
        <w:tc>
          <w:tcPr>
            <w:tcW w:w="3628" w:type="dxa"/>
            <w:tcBorders>
              <w:top w:val="single" w:color="BBBBBB" w:sz="4" w:space="0"/>
              <w:left w:val="single" w:color="BBBBBB" w:sz="4" w:space="0"/>
              <w:bottom w:val="single" w:color="BBBBBB" w:sz="4" w:space="0"/>
              <w:right w:val="single" w:color="BBBBBB" w:sz="4" w:space="0"/>
            </w:tcBorders>
            <w:shd w:val="clear" w:color="auto" w:fill="1F4E79"/>
          </w:tcPr>
          <w:p w14:paraId="525A03FE">
            <w:pPr>
              <w:spacing w:after="0" w:line="240" w:lineRule="auto"/>
              <w:jc w:val="center"/>
            </w:pPr>
            <w:r>
              <w:rPr>
                <w:rFonts w:ascii="微软雅黑" w:hAnsi="微软雅黑" w:eastAsia="微软雅黑"/>
                <w:b/>
                <w:color w:val="FFFFFF"/>
                <w:sz w:val="20"/>
              </w:rPr>
              <w:t>关键工具/方法</w:t>
            </w:r>
          </w:p>
        </w:tc>
      </w:tr>
      <w:tr w14:paraId="463E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EBF3FB"/>
          </w:tcPr>
          <w:p w14:paraId="60F58001">
            <w:pPr>
              <w:spacing w:after="0" w:line="240" w:lineRule="auto"/>
            </w:pPr>
            <w:r>
              <w:rPr>
                <w:rFonts w:ascii="微软雅黑" w:hAnsi="微软雅黑" w:eastAsia="微软雅黑"/>
                <w:sz w:val="20"/>
              </w:rPr>
              <w:t>初创阶段（&lt;1年）</w:t>
            </w:r>
          </w:p>
        </w:tc>
        <w:tc>
          <w:tcPr>
            <w:tcW w:w="3798" w:type="dxa"/>
            <w:tcBorders>
              <w:top w:val="single" w:color="BBBBBB" w:sz="4" w:space="0"/>
              <w:left w:val="single" w:color="BBBBBB" w:sz="4" w:space="0"/>
              <w:bottom w:val="single" w:color="BBBBBB" w:sz="4" w:space="0"/>
              <w:right w:val="single" w:color="BBBBBB" w:sz="4" w:space="0"/>
            </w:tcBorders>
            <w:shd w:val="clear" w:color="auto" w:fill="EBF3FB"/>
          </w:tcPr>
          <w:p w14:paraId="6A77B21F">
            <w:pPr>
              <w:spacing w:after="0" w:line="240" w:lineRule="auto"/>
            </w:pPr>
            <w:r>
              <w:rPr>
                <w:rFonts w:ascii="微软雅黑" w:hAnsi="微软雅黑" w:eastAsia="微软雅黑"/>
                <w:sz w:val="20"/>
              </w:rPr>
              <w:t>优先搭建准入+反欺诈基础能力，快速上线最小可行风控体系</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3B36193A">
            <w:pPr>
              <w:spacing w:after="0" w:line="240" w:lineRule="auto"/>
            </w:pPr>
            <w:r>
              <w:rPr>
                <w:rFonts w:ascii="微软雅黑" w:hAnsi="微软雅黑" w:eastAsia="微软雅黑"/>
                <w:sz w:val="20"/>
              </w:rPr>
              <w:t>评分卡、规则引擎、基础反欺诈</w:t>
            </w:r>
          </w:p>
        </w:tc>
      </w:tr>
      <w:tr w14:paraId="78F4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FFFFFF"/>
          </w:tcPr>
          <w:p w14:paraId="0C670E2C">
            <w:pPr>
              <w:spacing w:after="0" w:line="240" w:lineRule="auto"/>
            </w:pPr>
            <w:r>
              <w:rPr>
                <w:rFonts w:ascii="微软雅黑" w:hAnsi="微软雅黑" w:eastAsia="微软雅黑"/>
                <w:sz w:val="20"/>
              </w:rPr>
              <w:t>成长阶段（1-3年）</w:t>
            </w:r>
          </w:p>
        </w:tc>
        <w:tc>
          <w:tcPr>
            <w:tcW w:w="3798" w:type="dxa"/>
            <w:tcBorders>
              <w:top w:val="single" w:color="BBBBBB" w:sz="4" w:space="0"/>
              <w:left w:val="single" w:color="BBBBBB" w:sz="4" w:space="0"/>
              <w:bottom w:val="single" w:color="BBBBBB" w:sz="4" w:space="0"/>
              <w:right w:val="single" w:color="BBBBBB" w:sz="4" w:space="0"/>
            </w:tcBorders>
            <w:shd w:val="clear" w:color="auto" w:fill="FFFFFF"/>
          </w:tcPr>
          <w:p w14:paraId="7197CD40">
            <w:pPr>
              <w:spacing w:after="0" w:line="240" w:lineRule="auto"/>
            </w:pPr>
            <w:r>
              <w:rPr>
                <w:rFonts w:ascii="微软雅黑" w:hAnsi="微软雅黑" w:eastAsia="微软雅黑"/>
                <w:sz w:val="20"/>
              </w:rPr>
              <w:t>完善贷中监控和催收体系，建立数据分析能力，优化额度定价</w:t>
            </w:r>
          </w:p>
        </w:tc>
        <w:tc>
          <w:tcPr>
            <w:tcW w:w="3628" w:type="dxa"/>
            <w:tcBorders>
              <w:top w:val="single" w:color="BBBBBB" w:sz="4" w:space="0"/>
              <w:left w:val="single" w:color="BBBBBB" w:sz="4" w:space="0"/>
              <w:bottom w:val="single" w:color="BBBBBB" w:sz="4" w:space="0"/>
              <w:right w:val="single" w:color="BBBBBB" w:sz="4" w:space="0"/>
            </w:tcBorders>
            <w:shd w:val="clear" w:color="auto" w:fill="FFFFFF"/>
          </w:tcPr>
          <w:p w14:paraId="13483093">
            <w:pPr>
              <w:spacing w:after="0" w:line="240" w:lineRule="auto"/>
            </w:pPr>
            <w:r>
              <w:rPr>
                <w:rFonts w:ascii="微软雅黑" w:hAnsi="微软雅黑" w:eastAsia="微软雅黑"/>
                <w:sz w:val="20"/>
              </w:rPr>
              <w:t>B卡、催收分群、Vintage分析</w:t>
            </w:r>
          </w:p>
        </w:tc>
      </w:tr>
      <w:tr w14:paraId="162D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BBBBBB" w:sz="4" w:space="0"/>
              <w:left w:val="single" w:color="BBBBBB" w:sz="4" w:space="0"/>
              <w:bottom w:val="single" w:color="BBBBBB" w:sz="4" w:space="0"/>
              <w:right w:val="single" w:color="BBBBBB" w:sz="4" w:space="0"/>
            </w:tcBorders>
            <w:shd w:val="clear" w:color="auto" w:fill="EBF3FB"/>
          </w:tcPr>
          <w:p w14:paraId="76589EBF">
            <w:pPr>
              <w:spacing w:after="0" w:line="240" w:lineRule="auto"/>
            </w:pPr>
            <w:r>
              <w:rPr>
                <w:rFonts w:ascii="微软雅黑" w:hAnsi="微软雅黑" w:eastAsia="微软雅黑"/>
                <w:sz w:val="20"/>
              </w:rPr>
              <w:t>成熟阶段（3年+）</w:t>
            </w:r>
          </w:p>
        </w:tc>
        <w:tc>
          <w:tcPr>
            <w:tcW w:w="3798" w:type="dxa"/>
            <w:tcBorders>
              <w:top w:val="single" w:color="BBBBBB" w:sz="4" w:space="0"/>
              <w:left w:val="single" w:color="BBBBBB" w:sz="4" w:space="0"/>
              <w:bottom w:val="single" w:color="BBBBBB" w:sz="4" w:space="0"/>
              <w:right w:val="single" w:color="BBBBBB" w:sz="4" w:space="0"/>
            </w:tcBorders>
            <w:shd w:val="clear" w:color="auto" w:fill="EBF3FB"/>
          </w:tcPr>
          <w:p w14:paraId="0A2FE0C3">
            <w:pPr>
              <w:spacing w:after="0" w:line="240" w:lineRule="auto"/>
            </w:pPr>
            <w:r>
              <w:rPr>
                <w:rFonts w:ascii="微软雅黑" w:hAnsi="微软雅黑" w:eastAsia="微软雅黑"/>
                <w:sz w:val="20"/>
              </w:rPr>
              <w:t>精细化运营和客户分层，强化合规体系，引入AI/大模型技术</w:t>
            </w:r>
          </w:p>
        </w:tc>
        <w:tc>
          <w:tcPr>
            <w:tcW w:w="3628" w:type="dxa"/>
            <w:tcBorders>
              <w:top w:val="single" w:color="BBBBBB" w:sz="4" w:space="0"/>
              <w:left w:val="single" w:color="BBBBBB" w:sz="4" w:space="0"/>
              <w:bottom w:val="single" w:color="BBBBBB" w:sz="4" w:space="0"/>
              <w:right w:val="single" w:color="BBBBBB" w:sz="4" w:space="0"/>
            </w:tcBorders>
            <w:shd w:val="clear" w:color="auto" w:fill="EBF3FB"/>
          </w:tcPr>
          <w:p w14:paraId="1EFCE8DE">
            <w:pPr>
              <w:spacing w:after="0" w:line="240" w:lineRule="auto"/>
            </w:pPr>
            <w:r>
              <w:rPr>
                <w:rFonts w:ascii="微软雅黑" w:hAnsi="微软雅黑" w:eastAsia="微软雅黑"/>
                <w:sz w:val="20"/>
              </w:rPr>
              <w:t>RFM、LTV、AML、AIGC催收</w:t>
            </w:r>
          </w:p>
        </w:tc>
      </w:tr>
    </w:tbl>
    <w:p w14:paraId="75C2694B">
      <w:pPr>
        <w:spacing w:before="30" w:after="30"/>
      </w:pPr>
    </w:p>
    <w:p w14:paraId="28411DDD">
      <w:pPr>
        <w:shd w:val="clear" w:color="auto" w:fill="2E75B6"/>
        <w:spacing w:before="200" w:after="80"/>
        <w:ind w:left="120"/>
      </w:pPr>
      <w:r>
        <w:rPr>
          <w:rFonts w:ascii="微软雅黑" w:hAnsi="微软雅黑" w:eastAsia="微软雅黑"/>
          <w:b/>
          <w:color w:val="FFFFFF"/>
          <w:sz w:val="28"/>
        </w:rPr>
        <w:t>10.2 十大核心建议</w:t>
      </w:r>
    </w:p>
    <w:p w14:paraId="0810B78A">
      <w:pPr>
        <w:spacing w:before="30" w:after="30"/>
        <w:ind w:left="420" w:hanging="210"/>
      </w:pPr>
      <w:r>
        <w:rPr>
          <w:rFonts w:ascii="微软雅黑" w:hAnsi="微软雅黑" w:eastAsia="微软雅黑"/>
          <w:sz w:val="21"/>
        </w:rPr>
        <w:t>1. 数据是基础：持续投入数据基础设施建设，建立统一数据仓库，确保数据质量和口径一致</w:t>
      </w:r>
    </w:p>
    <w:p w14:paraId="1D4BEB82">
      <w:pPr>
        <w:spacing w:before="30" w:after="30"/>
        <w:ind w:left="420" w:hanging="210"/>
      </w:pPr>
      <w:r>
        <w:rPr>
          <w:rFonts w:ascii="微软雅黑" w:hAnsi="微软雅黑" w:eastAsia="微软雅黑"/>
          <w:sz w:val="21"/>
        </w:rPr>
        <w:t>2. 策略迭代文化：风控策略需每季度回顾、每半年大版本升级，避免策略老化</w:t>
      </w:r>
    </w:p>
    <w:p w14:paraId="1E41FA79">
      <w:pPr>
        <w:spacing w:before="30" w:after="30"/>
        <w:ind w:left="420" w:hanging="210"/>
      </w:pPr>
      <w:r>
        <w:rPr>
          <w:rFonts w:ascii="微软雅黑" w:hAnsi="微软雅黑" w:eastAsia="微软雅黑"/>
          <w:sz w:val="21"/>
        </w:rPr>
        <w:t>3. AB测试驱动决策：所有重大策略调整须经过严格的AB测试验证，用数据说话</w:t>
      </w:r>
    </w:p>
    <w:p w14:paraId="24D74621">
      <w:pPr>
        <w:spacing w:before="30" w:after="30"/>
        <w:ind w:left="420" w:hanging="210"/>
      </w:pPr>
      <w:r>
        <w:rPr>
          <w:rFonts w:ascii="微软雅黑" w:hAnsi="微软雅黑" w:eastAsia="微软雅黑"/>
          <w:sz w:val="21"/>
        </w:rPr>
        <w:t>4. 技术+业务深度融合：风控团队需同时具备数据建模和业务理解能力，避免技术与业务脱节</w:t>
      </w:r>
    </w:p>
    <w:p w14:paraId="4A39F8C1">
      <w:pPr>
        <w:spacing w:before="30" w:after="30"/>
        <w:ind w:left="420" w:hanging="210"/>
      </w:pPr>
      <w:r>
        <w:rPr>
          <w:rFonts w:ascii="微软雅黑" w:hAnsi="微软雅黑" w:eastAsia="微软雅黑"/>
          <w:sz w:val="21"/>
        </w:rPr>
        <w:t>5. 合规前置：将合规要求嵌入产品设计和风控策略，而非事后补救</w:t>
      </w:r>
    </w:p>
    <w:p w14:paraId="239C65DA">
      <w:pPr>
        <w:spacing w:before="30" w:after="30"/>
        <w:ind w:left="420" w:hanging="210"/>
      </w:pPr>
      <w:r>
        <w:rPr>
          <w:rFonts w:ascii="微软雅黑" w:hAnsi="微软雅黑" w:eastAsia="微软雅黑"/>
          <w:sz w:val="21"/>
        </w:rPr>
        <w:t>6. 客户体验与风控平衡：好的风控不应显著损害客户体验，追求最小摩擦风控</w:t>
      </w:r>
    </w:p>
    <w:p w14:paraId="0561572B">
      <w:pPr>
        <w:spacing w:before="30" w:after="30"/>
        <w:ind w:left="420" w:hanging="210"/>
      </w:pPr>
      <w:r>
        <w:rPr>
          <w:rFonts w:ascii="微软雅黑" w:hAnsi="微软雅黑" w:eastAsia="微软雅黑"/>
          <w:sz w:val="21"/>
        </w:rPr>
        <w:t>7. 外部数据生态：积极拓展外部数据合作，提升风险识别能力边界</w:t>
      </w:r>
    </w:p>
    <w:p w14:paraId="3CB0D932">
      <w:pPr>
        <w:spacing w:before="30" w:after="30"/>
        <w:ind w:left="420" w:hanging="210"/>
      </w:pPr>
      <w:r>
        <w:rPr>
          <w:rFonts w:ascii="微软雅黑" w:hAnsi="微软雅黑" w:eastAsia="微软雅黑"/>
          <w:sz w:val="21"/>
        </w:rPr>
        <w:t>8. 组织能力建设：培养风控+数据+科技复合型人才，建立知识沉淀机制</w:t>
      </w:r>
    </w:p>
    <w:p w14:paraId="79542E28">
      <w:pPr>
        <w:spacing w:before="30" w:after="30"/>
        <w:ind w:left="420" w:hanging="210"/>
      </w:pPr>
      <w:r>
        <w:rPr>
          <w:rFonts w:ascii="微软雅黑" w:hAnsi="微软雅黑" w:eastAsia="微软雅黑"/>
          <w:sz w:val="21"/>
        </w:rPr>
        <w:t>9. 极端场景压力测试：定期对风控体系进行压力测试，验证极端经济环境下的韧性</w:t>
      </w:r>
    </w:p>
    <w:p w14:paraId="59F5DDCB">
      <w:pPr>
        <w:spacing w:before="30" w:after="30"/>
        <w:ind w:left="420" w:hanging="210"/>
      </w:pPr>
      <w:r>
        <w:rPr>
          <w:rFonts w:ascii="微软雅黑" w:hAnsi="微软雅黑" w:eastAsia="微软雅黑"/>
          <w:sz w:val="21"/>
        </w:rPr>
        <w:t>10. 借鉴国际最佳实践：参考FICO、Experian等机构实践，结合中国国情创新落地</w:t>
      </w:r>
    </w:p>
    <w:p w14:paraId="3C9FBD28">
      <w:pPr>
        <w:spacing w:before="30" w:after="30"/>
      </w:pPr>
    </w:p>
    <w:p w14:paraId="1383673E">
      <w:pPr>
        <w:shd w:val="clear" w:color="auto" w:fill="EBF5EB"/>
        <w:spacing w:before="60" w:after="60"/>
        <w:ind w:left="200" w:right="200"/>
      </w:pPr>
      <w:r>
        <w:rPr>
          <w:rFonts w:ascii="微软雅黑" w:hAnsi="微软雅黑" w:eastAsia="微软雅黑"/>
          <w:i/>
          <w:color w:val="375623"/>
          <w:sz w:val="20"/>
        </w:rPr>
        <w:t xml:space="preserve">  提示：消费金融风控体系没有一劳永逸的方案，需要在实践中持续学习、动态调整，始终以"控制风险、创造价值"为核心目标。</w:t>
      </w:r>
    </w:p>
    <w:p w14:paraId="5F472D8C">
      <w:pPr>
        <w:spacing w:before="30" w:after="30"/>
      </w:pPr>
    </w:p>
    <w:p w14:paraId="37D4A75B">
      <w:pPr>
        <w:spacing w:before="400" w:after="100"/>
        <w:jc w:val="center"/>
      </w:pPr>
      <w:r>
        <w:rPr>
          <w:rFonts w:ascii="微软雅黑" w:hAnsi="微软雅黑" w:eastAsia="微软雅黑"/>
          <w:b w:val="0"/>
          <w:i w:val="0"/>
          <w:color w:val="2E75B6"/>
          <w:sz w:val="20"/>
        </w:rPr>
        <w:t>━━━━━━━━━━━━━━━━━━━━━━━━━━━━━━━━━━━</w:t>
      </w:r>
    </w:p>
    <w:p w14:paraId="0D5592C7">
      <w:pPr>
        <w:spacing w:before="80" w:after="60"/>
        <w:jc w:val="center"/>
      </w:pPr>
      <w:r>
        <w:rPr>
          <w:rFonts w:ascii="微软雅黑" w:hAnsi="微软雅黑" w:eastAsia="微软雅黑"/>
          <w:i/>
          <w:color w:val="888888"/>
          <w:sz w:val="18"/>
        </w:rPr>
        <w:t>本报告为内部参考文件，如需转载或对外使用，请联系风险管理部门审核。</w:t>
      </w:r>
    </w:p>
    <w:p w14:paraId="5DCBDC2E">
      <w:pPr>
        <w:spacing w:before="40" w:after="200"/>
        <w:jc w:val="center"/>
      </w:pPr>
      <w:r>
        <w:rPr>
          <w:rFonts w:ascii="微软雅黑" w:hAnsi="微软雅黑" w:eastAsia="微软雅黑"/>
          <w:color w:val="888888"/>
          <w:sz w:val="18"/>
        </w:rPr>
        <w:t>© 2026  消费金融风险管理中心</w:t>
      </w:r>
    </w:p>
    <w:sectPr>
      <w:pgSz w:w="11906" w:h="16838"/>
      <w:pgMar w:top="1440" w:right="1440" w:bottom="113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B2139"/>
    <w:rsid w:val="1F692B6D"/>
    <w:rsid w:val="2BF40832"/>
    <w:rsid w:val="3AF52984"/>
    <w:rsid w:val="65766406"/>
    <w:rsid w:val="68B72DE1"/>
    <w:rsid w:val="72D27C5D"/>
    <w:rsid w:val="76631F55"/>
    <w:rsid w:val="7D1B0CF0"/>
    <w:rsid w:val="7E7C0C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2958</Words>
  <Characters>3254</Characters>
  <Lines>0</Lines>
  <Paragraphs>0</Paragraphs>
  <TotalTime>5</TotalTime>
  <ScaleCrop>false</ScaleCrop>
  <LinksUpToDate>false</LinksUpToDate>
  <CharactersWithSpaces>3365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38671</dc:creator>
  <cp:lastModifiedBy>Mike</cp:lastModifiedBy>
  <dcterms:modified xsi:type="dcterms:W3CDTF">2026-04-15T12:29:57Z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eyJoZGlkIjoiODAyOGM3MWVlYmIxNTk2NWM3ODViMjJiYjUwZmJmYzUiLCJ1c2VySWQiOiI2MTM5NzkyNzEifQ==</vt:lpwstr>
  </property>
  <property fmtid="{D5CDD505-2E9C-101B-9397-08002B2CF9AE}" pid="3" name="KSOProductBuildVer">
    <vt:lpwstr>2052-12.1.0.25225</vt:lpwstr>
  </property>
  <property fmtid="{D5CDD505-2E9C-101B-9397-08002B2CF9AE}" pid="4" name="ICV">
    <vt:lpwstr>D2E5D08AEA9A4824A9346B25CF390C29_12</vt:lpwstr>
  </property>
</Properties>
</file>