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7AD98"/>
    <w:p w14:paraId="609A6D8E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消费金融风控体系总览</w:t>
      </w:r>
    </w:p>
    <w:p w14:paraId="01FE82AD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全链路风险管理框架详解</w:t>
      </w:r>
    </w:p>
    <w:p w14:paraId="2AB736F6"/>
    <w:p w14:paraId="758884E2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7862200B">
      <w:r>
        <w:br w:type="page"/>
      </w:r>
    </w:p>
    <w:p w14:paraId="4D09ECE2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0B8EE70B">
      <w:pPr>
        <w:spacing w:after="80"/>
        <w:ind w:left="0" w:firstLine="420" w:firstLineChars="200"/>
      </w:pPr>
      <w:r>
        <w:rPr>
          <w:rFonts w:ascii="微软雅黑" w:hAnsi="微软雅黑" w:eastAsia="微软雅黑"/>
          <w:b w:val="0"/>
          <w:sz w:val="21"/>
        </w:rPr>
        <w:t>消费金融风控体系是一个覆盖客户全生命周期的系统性工程，从贷前准入到</w:t>
      </w:r>
      <w:r>
        <w:rPr>
          <w:rFonts w:hint="eastAsia"/>
          <w:b w:val="0"/>
          <w:sz w:val="21"/>
          <w:lang w:val="en-US" w:eastAsia="zh-CN"/>
        </w:rPr>
        <w:t>贷中</w:t>
      </w:r>
      <w:r>
        <w:rPr>
          <w:rFonts w:ascii="微软雅黑" w:hAnsi="微软雅黑" w:eastAsia="微软雅黑"/>
          <w:b w:val="0"/>
          <w:sz w:val="21"/>
        </w:rPr>
        <w:t>管理</w:t>
      </w:r>
      <w:r>
        <w:rPr>
          <w:rFonts w:hint="eastAsia"/>
          <w:b w:val="0"/>
          <w:sz w:val="21"/>
          <w:lang w:val="en-US" w:eastAsia="zh-CN"/>
        </w:rPr>
        <w:t>和贷后补救</w:t>
      </w:r>
      <w:r>
        <w:rPr>
          <w:rFonts w:ascii="微软雅黑" w:hAnsi="微软雅黑" w:eastAsia="微软雅黑"/>
          <w:b w:val="0"/>
          <w:sz w:val="21"/>
        </w:rPr>
        <w:t>，形成三道防线。其核心目标是：</w:t>
      </w:r>
      <w:r>
        <w:rPr>
          <w:rFonts w:ascii="微软雅黑" w:hAnsi="微软雅黑" w:eastAsia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在确保资产质量</w:t>
      </w:r>
      <w:r>
        <w:rPr>
          <w:rFonts w:hint="eastAsia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和结构良好的</w:t>
      </w:r>
      <w:r>
        <w:rPr>
          <w:rFonts w:ascii="微软雅黑" w:hAnsi="微软雅黑" w:eastAsia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前提下，最大化业务收益，同时满足监管合规要求。</w:t>
      </w:r>
      <w:r>
        <w:rPr>
          <w:rFonts w:ascii="微软雅黑" w:hAnsi="微软雅黑" w:eastAsia="微软雅黑"/>
          <w:b w:val="0"/>
          <w:sz w:val="21"/>
        </w:rPr>
        <w:t>风控体系不是孤立的规则集合，而是一个包含数据、模型、策略、系统和人的完整生态。</w:t>
      </w:r>
    </w:p>
    <w:p w14:paraId="7B2C218F">
      <w:pPr>
        <w:pStyle w:val="3"/>
      </w:pPr>
      <w:r>
        <w:rPr>
          <w:rFonts w:ascii="微软雅黑" w:hAnsi="微软雅黑" w:eastAsia="微软雅黑"/>
          <w:color w:val="1F3864"/>
        </w:rPr>
        <w:t>二、三道防线架构</w:t>
      </w:r>
    </w:p>
    <w:p w14:paraId="61A24468">
      <w:pPr>
        <w:pStyle w:val="4"/>
      </w:pPr>
      <w:r>
        <w:rPr>
          <w:rFonts w:ascii="微软雅黑" w:hAnsi="微软雅黑" w:eastAsia="微软雅黑"/>
          <w:color w:val="2E75B6"/>
        </w:rPr>
        <w:t>第一道防线：贷前风控</w:t>
      </w:r>
    </w:p>
    <w:p w14:paraId="0A6D493F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贷前风控是整个风控体系的入口，决定了进件质量</w:t>
      </w:r>
      <w:r>
        <w:rPr>
          <w:rFonts w:hint="eastAsia"/>
          <w:b w:val="0"/>
          <w:sz w:val="21"/>
          <w:lang w:val="en-US" w:eastAsia="zh-CN"/>
        </w:rPr>
        <w:t>(用户是否有入场券)</w:t>
      </w:r>
      <w:r>
        <w:rPr>
          <w:rFonts w:ascii="微软雅黑" w:hAnsi="微软雅黑" w:eastAsia="微软雅黑"/>
          <w:b w:val="0"/>
          <w:sz w:val="21"/>
        </w:rPr>
        <w:t>。核心职责包括：</w:t>
      </w:r>
    </w:p>
    <w:p w14:paraId="4B9CD8B3">
      <w:pPr>
        <w:pStyle w:val="16"/>
      </w:pPr>
      <w:r>
        <w:rPr>
          <w:rFonts w:ascii="微软雅黑" w:hAnsi="微软雅黑" w:eastAsia="微软雅黑"/>
          <w:sz w:val="21"/>
        </w:rPr>
        <w:t>准入策略设计：通过硬规则（年龄、收入、征信要求）进行初步筛选，过滤掉明显不合格的申请</w:t>
      </w:r>
    </w:p>
    <w:p w14:paraId="39A97EA0">
      <w:pPr>
        <w:pStyle w:val="16"/>
      </w:pPr>
      <w:r>
        <w:rPr>
          <w:rFonts w:ascii="微软雅黑" w:hAnsi="微软雅黑" w:eastAsia="微软雅黑"/>
          <w:sz w:val="21"/>
        </w:rPr>
        <w:t>信用评估：利用申请评分卡(A卡)、行为评分卡(B卡)、征信数据、三方数据进行综合信用评估</w:t>
      </w:r>
    </w:p>
    <w:p w14:paraId="503CF7FC">
      <w:pPr>
        <w:pStyle w:val="16"/>
      </w:pPr>
      <w:r>
        <w:rPr>
          <w:rFonts w:ascii="微软雅黑" w:hAnsi="微软雅黑" w:eastAsia="微软雅黑"/>
          <w:sz w:val="21"/>
        </w:rPr>
        <w:t>反欺诈识别：通过设备指纹、图数据库、ML模型识别身份欺诈、信息欺诈和团伙欺诈</w:t>
      </w:r>
    </w:p>
    <w:p w14:paraId="04542010">
      <w:pPr>
        <w:pStyle w:val="16"/>
      </w:pPr>
      <w:r>
        <w:rPr>
          <w:rFonts w:ascii="微软雅黑" w:hAnsi="微软雅黑" w:eastAsia="微软雅黑"/>
          <w:sz w:val="21"/>
        </w:rPr>
        <w:t>额度审批：根据信用评分</w:t>
      </w:r>
      <w:r>
        <w:rPr>
          <w:rFonts w:hint="eastAsia"/>
          <w:sz w:val="21"/>
          <w:lang w:val="en-US" w:eastAsia="zh-CN"/>
        </w:rPr>
        <w:t>等进行</w:t>
      </w:r>
      <w:r>
        <w:rPr>
          <w:rFonts w:ascii="微软雅黑" w:hAnsi="微软雅黑" w:eastAsia="微软雅黑"/>
          <w:sz w:val="21"/>
        </w:rPr>
        <w:t>风险分层，差异化授予初始额度</w:t>
      </w:r>
    </w:p>
    <w:p w14:paraId="549818F9">
      <w:pPr>
        <w:pStyle w:val="16"/>
      </w:pPr>
      <w:r>
        <w:rPr>
          <w:rFonts w:ascii="微软雅黑" w:hAnsi="微软雅黑" w:eastAsia="微软雅黑"/>
          <w:sz w:val="21"/>
        </w:rPr>
        <w:t>定价策略：基于风险定价原则(RBP)，对不同风险等级客户实施差异化定价</w:t>
      </w:r>
    </w:p>
    <w:p w14:paraId="2205792D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贷前风控的核心指标：申请通过率(目标</w:t>
      </w:r>
      <w:r>
        <w:rPr>
          <w:rFonts w:hint="eastAsia"/>
          <w:b w:val="0"/>
          <w:sz w:val="21"/>
          <w:lang w:val="en-US" w:eastAsia="zh-CN"/>
        </w:rPr>
        <w:t>25</w:t>
      </w:r>
      <w:r>
        <w:rPr>
          <w:rFonts w:ascii="微软雅黑" w:hAnsi="微软雅黑" w:eastAsia="微软雅黑"/>
          <w:b w:val="0"/>
          <w:sz w:val="21"/>
        </w:rPr>
        <w:t>%-</w:t>
      </w:r>
      <w:r>
        <w:rPr>
          <w:rFonts w:hint="eastAsia"/>
          <w:b w:val="0"/>
          <w:sz w:val="21"/>
          <w:lang w:val="en-US" w:eastAsia="zh-CN"/>
        </w:rPr>
        <w:t>35</w:t>
      </w:r>
      <w:r>
        <w:rPr>
          <w:rFonts w:ascii="微软雅黑" w:hAnsi="微软雅黑" w:eastAsia="微软雅黑"/>
          <w:b w:val="0"/>
          <w:sz w:val="21"/>
        </w:rPr>
        <w:t>%)、评分卡KS值(&gt;3</w:t>
      </w:r>
      <w:r>
        <w:rPr>
          <w:rFonts w:hint="eastAsia"/>
          <w:b w:val="0"/>
          <w:sz w:val="21"/>
          <w:lang w:val="en-US" w:eastAsia="zh-CN"/>
        </w:rPr>
        <w:t>0</w:t>
      </w:r>
      <w:r>
        <w:rPr>
          <w:rFonts w:ascii="微软雅黑" w:hAnsi="微软雅黑" w:eastAsia="微软雅黑"/>
          <w:b w:val="0"/>
          <w:sz w:val="21"/>
        </w:rPr>
        <w:t>)、欺诈识别率(&gt;</w:t>
      </w:r>
      <w:r>
        <w:rPr>
          <w:rFonts w:hint="eastAsia"/>
          <w:b w:val="0"/>
          <w:sz w:val="21"/>
          <w:lang w:val="en-US" w:eastAsia="zh-CN"/>
        </w:rPr>
        <w:t>75</w:t>
      </w:r>
      <w:r>
        <w:rPr>
          <w:rFonts w:ascii="微软雅黑" w:hAnsi="微软雅黑" w:eastAsia="微软雅黑"/>
          <w:b w:val="0"/>
          <w:sz w:val="21"/>
        </w:rPr>
        <w:t>%)、渠道质量指数。</w:t>
      </w:r>
    </w:p>
    <w:p w14:paraId="48C1D61B">
      <w:pPr>
        <w:pStyle w:val="4"/>
      </w:pPr>
      <w:r>
        <w:rPr>
          <w:rFonts w:ascii="微软雅黑" w:hAnsi="微软雅黑" w:eastAsia="微软雅黑"/>
          <w:color w:val="2E75B6"/>
        </w:rPr>
        <w:t>第二道防线：贷中风控</w:t>
      </w:r>
    </w:p>
    <w:p w14:paraId="4D85B6FB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贷中风控是存量资产管理的核心，通过实时监控和预警机制，提前识别风险信号并采取干预措施。核心职责包括：</w:t>
      </w:r>
    </w:p>
    <w:p w14:paraId="5CDC3AB4">
      <w:pPr>
        <w:pStyle w:val="16"/>
      </w:pPr>
      <w:r>
        <w:rPr>
          <w:rFonts w:ascii="微软雅黑" w:hAnsi="微软雅黑" w:eastAsia="微软雅黑"/>
          <w:sz w:val="21"/>
        </w:rPr>
        <w:t>行为监控：实时追踪客户的还款行为</w:t>
      </w:r>
      <w:r>
        <w:rPr>
          <w:rFonts w:hint="eastAsia"/>
          <w:sz w:val="21"/>
          <w:lang w:val="en-US" w:eastAsia="zh-CN"/>
        </w:rPr>
        <w:t>(如提前还款)</w:t>
      </w:r>
      <w:r>
        <w:rPr>
          <w:rFonts w:ascii="微软雅黑" w:hAnsi="微软雅黑" w:eastAsia="微软雅黑"/>
          <w:sz w:val="21"/>
        </w:rPr>
        <w:t>、借贷查询、消费模式变化等行为信号</w:t>
      </w:r>
    </w:p>
    <w:p w14:paraId="27C33353">
      <w:pPr>
        <w:pStyle w:val="16"/>
      </w:pPr>
      <w:r>
        <w:rPr>
          <w:rFonts w:ascii="微软雅黑" w:hAnsi="微软雅黑" w:eastAsia="微软雅黑"/>
          <w:sz w:val="21"/>
        </w:rPr>
        <w:t>预警系统(EWS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early warning system</w:t>
      </w:r>
      <w:r>
        <w:rPr>
          <w:rFonts w:ascii="微软雅黑" w:hAnsi="微软雅黑" w:eastAsia="微软雅黑"/>
          <w:sz w:val="21"/>
        </w:rPr>
        <w:t>)：根据行为评分和规则引擎，触发不同层级的预警和干预</w:t>
      </w:r>
    </w:p>
    <w:p w14:paraId="377ADBBD">
      <w:pPr>
        <w:pStyle w:val="16"/>
      </w:pPr>
      <w:r>
        <w:rPr>
          <w:rFonts w:ascii="微软雅黑" w:hAnsi="微软雅黑" w:eastAsia="微软雅黑"/>
          <w:sz w:val="21"/>
        </w:rPr>
        <w:t>额度动态管理：CLI(额度提升)和CLD(额度</w:t>
      </w:r>
      <w:r>
        <w:rPr>
          <w:rFonts w:hint="eastAsia"/>
          <w:sz w:val="21"/>
          <w:lang w:val="en-US" w:eastAsia="zh-CN"/>
        </w:rPr>
        <w:t>下降</w:t>
      </w:r>
      <w:r>
        <w:rPr>
          <w:rFonts w:ascii="微软雅黑" w:hAnsi="微软雅黑" w:eastAsia="微软雅黑"/>
          <w:sz w:val="21"/>
        </w:rPr>
        <w:t>)的自动化管理</w:t>
      </w:r>
    </w:p>
    <w:p w14:paraId="03F03F6D">
      <w:pPr>
        <w:pStyle w:val="16"/>
      </w:pPr>
      <w:r>
        <w:rPr>
          <w:rFonts w:ascii="微软雅黑" w:hAnsi="微软雅黑" w:eastAsia="微软雅黑"/>
          <w:sz w:val="21"/>
        </w:rPr>
        <w:t>风险报表与看板：每日/每周监控逾期率、滚动率、Vintage曲线等核心指标</w:t>
      </w:r>
    </w:p>
    <w:p w14:paraId="5B2A8768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贷中风控的核心指标：EWS预警覆盖率(&gt;8</w:t>
      </w:r>
      <w:r>
        <w:rPr>
          <w:rFonts w:hint="eastAsia"/>
          <w:b w:val="0"/>
          <w:sz w:val="21"/>
          <w:lang w:val="en-US" w:eastAsia="zh-CN"/>
        </w:rPr>
        <w:t>0</w:t>
      </w:r>
      <w:r>
        <w:rPr>
          <w:rFonts w:ascii="微软雅黑" w:hAnsi="微软雅黑" w:eastAsia="微软雅黑"/>
          <w:b w:val="0"/>
          <w:sz w:val="21"/>
        </w:rPr>
        <w:t>%)、提前干预成功率(&gt;4</w:t>
      </w:r>
      <w:r>
        <w:rPr>
          <w:rFonts w:hint="eastAsia"/>
          <w:b w:val="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1"/>
        </w:rPr>
        <w:t>%)、M1→M2滚动率(&lt;</w:t>
      </w:r>
      <w:r>
        <w:rPr>
          <w:rFonts w:hint="eastAsia"/>
          <w:b w:val="0"/>
          <w:sz w:val="21"/>
          <w:lang w:val="en-US" w:eastAsia="zh-CN"/>
        </w:rPr>
        <w:t>40</w:t>
      </w:r>
      <w:r>
        <w:rPr>
          <w:rFonts w:ascii="微软雅黑" w:hAnsi="微软雅黑" w:eastAsia="微软雅黑"/>
          <w:b w:val="0"/>
          <w:sz w:val="21"/>
        </w:rPr>
        <w:t>%)。</w:t>
      </w:r>
    </w:p>
    <w:p w14:paraId="59E51F30">
      <w:pPr>
        <w:pStyle w:val="4"/>
      </w:pPr>
      <w:r>
        <w:rPr>
          <w:rFonts w:ascii="微软雅黑" w:hAnsi="微软雅黑" w:eastAsia="微软雅黑"/>
          <w:color w:val="2E75B6"/>
        </w:rPr>
        <w:t>第三道防线：贷后风控</w:t>
      </w:r>
    </w:p>
    <w:p w14:paraId="146349E4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贷后风控是资产回收的最后一道关卡，通过分层催收策略和数据分析，最大化回收率并降低损失。核心职责包括：</w:t>
      </w:r>
    </w:p>
    <w:p w14:paraId="59F4ADC9">
      <w:pPr>
        <w:pStyle w:val="16"/>
      </w:pPr>
      <w:r>
        <w:rPr>
          <w:rFonts w:ascii="微软雅黑" w:hAnsi="微软雅黑" w:eastAsia="微软雅黑"/>
          <w:sz w:val="21"/>
        </w:rPr>
        <w:t>催收分层管理：M0到M6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180一般作为坏账处理</w:t>
      </w:r>
      <w:r>
        <w:rPr>
          <w:rFonts w:hint="eastAsia"/>
          <w:sz w:val="21"/>
          <w:lang w:eastAsia="zh-CN"/>
        </w:rPr>
        <w:t>）</w:t>
      </w:r>
      <w:r>
        <w:rPr>
          <w:rFonts w:ascii="微软雅黑" w:hAnsi="微软雅黑" w:eastAsia="微软雅黑"/>
          <w:sz w:val="21"/>
        </w:rPr>
        <w:t>不同逾期阶段采取差异化的催收策略</w:t>
      </w:r>
    </w:p>
    <w:p w14:paraId="6ADC259E">
      <w:pPr>
        <w:pStyle w:val="16"/>
      </w:pPr>
      <w:r>
        <w:rPr>
          <w:rFonts w:ascii="微软雅黑" w:hAnsi="微软雅黑" w:eastAsia="微软雅黑"/>
          <w:sz w:val="21"/>
        </w:rPr>
        <w:t>AI智能催收：利用AI机器人处理标准化案件，降低人工成本</w:t>
      </w:r>
    </w:p>
    <w:p w14:paraId="0320CF4D">
      <w:pPr>
        <w:pStyle w:val="16"/>
      </w:pPr>
      <w:r>
        <w:rPr>
          <w:rFonts w:ascii="微软雅黑" w:hAnsi="微软雅黑" w:eastAsia="微软雅黑"/>
          <w:sz w:val="21"/>
        </w:rPr>
        <w:t>数据分析与预测：Vintage分析、迁徙矩阵、损失准备金预测</w:t>
      </w:r>
    </w:p>
    <w:p w14:paraId="0A5F22AE">
      <w:pPr>
        <w:pStyle w:val="16"/>
      </w:pPr>
      <w:r>
        <w:rPr>
          <w:rFonts w:ascii="微软雅黑" w:hAnsi="微软雅黑" w:eastAsia="微软雅黑"/>
          <w:sz w:val="21"/>
        </w:rPr>
        <w:t>合规催收：严格遵守催收合规红线</w:t>
      </w:r>
      <w:r>
        <w:rPr>
          <w:rFonts w:hint="eastAsia"/>
          <w:sz w:val="21"/>
          <w:lang w:val="en-US" w:eastAsia="zh-CN"/>
        </w:rPr>
        <w:t>(如:不能爆通讯录)</w:t>
      </w:r>
      <w:r>
        <w:rPr>
          <w:rFonts w:ascii="微软雅黑" w:hAnsi="微软雅黑" w:eastAsia="微软雅黑"/>
          <w:sz w:val="21"/>
        </w:rPr>
        <w:t>，避免监管处罚</w:t>
      </w:r>
    </w:p>
    <w:p w14:paraId="146092B6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贷后风控的核心指标：M1回收率(&gt;</w:t>
      </w:r>
      <w:r>
        <w:rPr>
          <w:rFonts w:hint="eastAsia"/>
          <w:b w:val="0"/>
          <w:sz w:val="21"/>
          <w:lang w:val="en-US" w:eastAsia="zh-CN"/>
        </w:rPr>
        <w:t>70</w:t>
      </w:r>
      <w:r>
        <w:rPr>
          <w:rFonts w:ascii="微软雅黑" w:hAnsi="微软雅黑" w:eastAsia="微软雅黑"/>
          <w:b w:val="0"/>
          <w:sz w:val="21"/>
        </w:rPr>
        <w:t>%)、M2回收率(&gt;40%)、AI催收覆盖率(&gt;60%)。</w:t>
      </w:r>
    </w:p>
    <w:p w14:paraId="3AC222EF">
      <w:pPr>
        <w:pStyle w:val="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color w:val="1F3864"/>
        </w:rPr>
        <w:t>三、核心KPI指标体系</w:t>
      </w:r>
      <w:r>
        <w:rPr>
          <w:rFonts w:hint="eastAsia" w:ascii="微软雅黑" w:hAnsi="微软雅黑" w:eastAsia="微软雅黑"/>
          <w:color w:val="1F3864"/>
          <w:lang w:val="en-US" w:eastAsia="zh-CN"/>
        </w:rPr>
        <w:t>(目标值不同业务不一样</w:t>
      </w:r>
      <w:bookmarkStart w:id="0" w:name="_GoBack"/>
      <w:bookmarkEnd w:id="0"/>
      <w:r>
        <w:rPr>
          <w:rFonts w:hint="eastAsia" w:ascii="微软雅黑" w:hAnsi="微软雅黑" w:eastAsia="微软雅黑"/>
          <w:color w:val="1F3864"/>
          <w:lang w:val="en-US" w:eastAsia="zh-CN"/>
        </w:rPr>
        <w:t>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B14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5E9C4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指标类别</w:t>
            </w:r>
          </w:p>
        </w:tc>
        <w:tc>
          <w:tcPr>
            <w:tcW w:w="2268" w:type="dxa"/>
            <w:shd w:val="clear" w:color="auto" w:fill="2E75B6"/>
          </w:tcPr>
          <w:p w14:paraId="1EB45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tcW w:w="2268" w:type="dxa"/>
            <w:shd w:val="clear" w:color="auto" w:fill="2E75B6"/>
          </w:tcPr>
          <w:p w14:paraId="226C2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2268" w:type="dxa"/>
            <w:shd w:val="clear" w:color="auto" w:fill="2E75B6"/>
          </w:tcPr>
          <w:p w14:paraId="4BDFB1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 w14:paraId="5CFD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80F3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资产质量</w:t>
            </w:r>
          </w:p>
        </w:tc>
        <w:tc>
          <w:tcPr>
            <w:tcW w:w="2268" w:type="dxa"/>
            <w:shd w:val="clear" w:color="auto" w:fill="F2F7FF"/>
          </w:tcPr>
          <w:p w14:paraId="023B52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</w:t>
            </w:r>
            <w:r>
              <w:rPr>
                <w:rFonts w:hint="eastAsia"/>
                <w:sz w:val="20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sz w:val="20"/>
              </w:rPr>
              <w:t>+逾期率</w:t>
            </w:r>
          </w:p>
        </w:tc>
        <w:tc>
          <w:tcPr>
            <w:tcW w:w="2268" w:type="dxa"/>
            <w:shd w:val="clear" w:color="auto" w:fill="F2F7FF"/>
          </w:tcPr>
          <w:p w14:paraId="08DC29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逾期1天</w:t>
            </w:r>
            <w:r>
              <w:rPr>
                <w:rFonts w:hint="eastAsia"/>
                <w:sz w:val="20"/>
                <w:lang w:val="en-US" w:eastAsia="zh-CN"/>
              </w:rPr>
              <w:t>及</w:t>
            </w:r>
            <w:r>
              <w:rPr>
                <w:rFonts w:ascii="微软雅黑" w:hAnsi="微软雅黑" w:eastAsia="微软雅黑"/>
                <w:sz w:val="20"/>
              </w:rPr>
              <w:t>以上的贷款余额占比</w:t>
            </w:r>
          </w:p>
        </w:tc>
        <w:tc>
          <w:tcPr>
            <w:tcW w:w="2268" w:type="dxa"/>
            <w:shd w:val="clear" w:color="auto" w:fill="F2F7FF"/>
          </w:tcPr>
          <w:p w14:paraId="77AAF2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&lt;2.8%</w:t>
            </w:r>
          </w:p>
        </w:tc>
      </w:tr>
      <w:tr w14:paraId="7B17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CEC6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资产质量</w:t>
            </w:r>
          </w:p>
        </w:tc>
        <w:tc>
          <w:tcPr>
            <w:tcW w:w="2268" w:type="dxa"/>
            <w:shd w:val="clear" w:color="auto" w:fill="FFFFFF"/>
          </w:tcPr>
          <w:p w14:paraId="5B7D5E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M3+逾期率</w:t>
            </w:r>
          </w:p>
        </w:tc>
        <w:tc>
          <w:tcPr>
            <w:tcW w:w="2268" w:type="dxa"/>
            <w:shd w:val="clear" w:color="auto" w:fill="FFFFFF"/>
          </w:tcPr>
          <w:p w14:paraId="3D71C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逾期91天</w:t>
            </w:r>
            <w:r>
              <w:rPr>
                <w:rFonts w:hint="eastAsia"/>
                <w:sz w:val="20"/>
                <w:lang w:val="en-US" w:eastAsia="zh-CN"/>
              </w:rPr>
              <w:t>及</w:t>
            </w:r>
            <w:r>
              <w:rPr>
                <w:rFonts w:ascii="微软雅黑" w:hAnsi="微软雅黑" w:eastAsia="微软雅黑"/>
                <w:sz w:val="20"/>
              </w:rPr>
              <w:t>以上的贷款余额占比</w:t>
            </w:r>
          </w:p>
        </w:tc>
        <w:tc>
          <w:tcPr>
            <w:tcW w:w="2268" w:type="dxa"/>
            <w:shd w:val="clear" w:color="auto" w:fill="FFFFFF"/>
          </w:tcPr>
          <w:p w14:paraId="389DED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&lt;1.5%</w:t>
            </w:r>
          </w:p>
        </w:tc>
      </w:tr>
      <w:tr w14:paraId="3E08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6C9E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资产质量</w:t>
            </w:r>
          </w:p>
        </w:tc>
        <w:tc>
          <w:tcPr>
            <w:tcW w:w="2268" w:type="dxa"/>
            <w:shd w:val="clear" w:color="auto" w:fill="F2F7FF"/>
          </w:tcPr>
          <w:p w14:paraId="3A7F11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不良贷款率(NPL)</w:t>
            </w:r>
          </w:p>
        </w:tc>
        <w:tc>
          <w:tcPr>
            <w:tcW w:w="2268" w:type="dxa"/>
            <w:shd w:val="clear" w:color="auto" w:fill="F2F7FF"/>
          </w:tcPr>
          <w:p w14:paraId="35918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M3+或核销贷款余额占比</w:t>
            </w:r>
          </w:p>
        </w:tc>
        <w:tc>
          <w:tcPr>
            <w:tcW w:w="2268" w:type="dxa"/>
            <w:shd w:val="clear" w:color="auto" w:fill="F2F7FF"/>
          </w:tcPr>
          <w:p w14:paraId="39BE7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&lt;2.0%</w:t>
            </w:r>
          </w:p>
        </w:tc>
      </w:tr>
      <w:tr w14:paraId="684E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73C63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业务效率</w:t>
            </w:r>
          </w:p>
        </w:tc>
        <w:tc>
          <w:tcPr>
            <w:tcW w:w="2268" w:type="dxa"/>
            <w:shd w:val="clear" w:color="auto" w:fill="FFFFFF"/>
          </w:tcPr>
          <w:p w14:paraId="120DF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申请通过率</w:t>
            </w:r>
          </w:p>
        </w:tc>
        <w:tc>
          <w:tcPr>
            <w:tcW w:w="2268" w:type="dxa"/>
            <w:shd w:val="clear" w:color="auto" w:fill="FFFFFF"/>
          </w:tcPr>
          <w:p w14:paraId="08688F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审批通过件数/申请总件数</w:t>
            </w:r>
          </w:p>
        </w:tc>
        <w:tc>
          <w:tcPr>
            <w:tcW w:w="2268" w:type="dxa"/>
            <w:shd w:val="clear" w:color="auto" w:fill="FFFFFF"/>
          </w:tcPr>
          <w:p w14:paraId="2167F8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55%-65%</w:t>
            </w:r>
          </w:p>
        </w:tc>
      </w:tr>
      <w:tr w14:paraId="4EB0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5EE64F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模型性能</w:t>
            </w:r>
          </w:p>
        </w:tc>
        <w:tc>
          <w:tcPr>
            <w:tcW w:w="2268" w:type="dxa"/>
            <w:shd w:val="clear" w:color="auto" w:fill="F2F7FF"/>
          </w:tcPr>
          <w:p w14:paraId="2DC530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KS值</w:t>
            </w:r>
          </w:p>
        </w:tc>
        <w:tc>
          <w:tcPr>
            <w:tcW w:w="2268" w:type="dxa"/>
            <w:shd w:val="clear" w:color="auto" w:fill="F2F7FF"/>
          </w:tcPr>
          <w:p w14:paraId="207314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模型区分好坏客户的能力</w:t>
            </w:r>
          </w:p>
        </w:tc>
        <w:tc>
          <w:tcPr>
            <w:tcW w:w="2268" w:type="dxa"/>
            <w:shd w:val="clear" w:color="auto" w:fill="F2F7FF"/>
          </w:tcPr>
          <w:p w14:paraId="009C4F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&gt;35</w:t>
            </w:r>
          </w:p>
        </w:tc>
      </w:tr>
      <w:tr w14:paraId="0E8F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CA1B4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模型性能</w:t>
            </w:r>
          </w:p>
        </w:tc>
        <w:tc>
          <w:tcPr>
            <w:tcW w:w="2268" w:type="dxa"/>
            <w:shd w:val="clear" w:color="auto" w:fill="FFFFFF"/>
          </w:tcPr>
          <w:p w14:paraId="3A101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AUC</w:t>
            </w:r>
          </w:p>
        </w:tc>
        <w:tc>
          <w:tcPr>
            <w:tcW w:w="2268" w:type="dxa"/>
            <w:shd w:val="clear" w:color="auto" w:fill="FFFFFF"/>
          </w:tcPr>
          <w:p w14:paraId="6F33C3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模型ROC曲线下面积</w:t>
            </w:r>
          </w:p>
        </w:tc>
        <w:tc>
          <w:tcPr>
            <w:tcW w:w="2268" w:type="dxa"/>
            <w:shd w:val="clear" w:color="auto" w:fill="FFFFFF"/>
          </w:tcPr>
          <w:p w14:paraId="52196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&gt;0.70</w:t>
            </w:r>
          </w:p>
        </w:tc>
      </w:tr>
      <w:tr w14:paraId="1475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0701C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运营效率</w:t>
            </w:r>
          </w:p>
        </w:tc>
        <w:tc>
          <w:tcPr>
            <w:tcW w:w="2268" w:type="dxa"/>
            <w:shd w:val="clear" w:color="auto" w:fill="F2F7FF"/>
          </w:tcPr>
          <w:p w14:paraId="5EB76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审批时效</w:t>
            </w:r>
          </w:p>
        </w:tc>
        <w:tc>
          <w:tcPr>
            <w:tcW w:w="2268" w:type="dxa"/>
            <w:shd w:val="clear" w:color="auto" w:fill="F2F7FF"/>
          </w:tcPr>
          <w:p w14:paraId="1CA063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从申请到放款的平均时间</w:t>
            </w:r>
          </w:p>
        </w:tc>
        <w:tc>
          <w:tcPr>
            <w:tcW w:w="2268" w:type="dxa"/>
            <w:shd w:val="clear" w:color="auto" w:fill="F2F7FF"/>
          </w:tcPr>
          <w:p w14:paraId="592A05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&lt;5分钟</w:t>
            </w:r>
          </w:p>
        </w:tc>
      </w:tr>
      <w:tr w14:paraId="006E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6271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盈利能力</w:t>
            </w:r>
          </w:p>
        </w:tc>
        <w:tc>
          <w:tcPr>
            <w:tcW w:w="2268" w:type="dxa"/>
            <w:shd w:val="clear" w:color="auto" w:fill="FFFFFF"/>
          </w:tcPr>
          <w:p w14:paraId="075D2C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ROE</w:t>
            </w:r>
          </w:p>
        </w:tc>
        <w:tc>
          <w:tcPr>
            <w:tcW w:w="2268" w:type="dxa"/>
            <w:shd w:val="clear" w:color="auto" w:fill="FFFFFF"/>
          </w:tcPr>
          <w:p w14:paraId="3EC3E7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净利润/股东权益</w:t>
            </w:r>
          </w:p>
        </w:tc>
        <w:tc>
          <w:tcPr>
            <w:tcW w:w="2268" w:type="dxa"/>
            <w:shd w:val="clear" w:color="auto" w:fill="FFFFFF"/>
          </w:tcPr>
          <w:p w14:paraId="05FE8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&gt;12%</w:t>
            </w:r>
          </w:p>
        </w:tc>
      </w:tr>
      <w:tr w14:paraId="5547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D0DE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盈利能力</w:t>
            </w:r>
          </w:p>
        </w:tc>
        <w:tc>
          <w:tcPr>
            <w:tcW w:w="2268" w:type="dxa"/>
            <w:shd w:val="clear" w:color="auto" w:fill="F2F7FF"/>
          </w:tcPr>
          <w:p w14:paraId="324AE2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RAROC</w:t>
            </w:r>
          </w:p>
        </w:tc>
        <w:tc>
          <w:tcPr>
            <w:tcW w:w="2268" w:type="dxa"/>
            <w:shd w:val="clear" w:color="auto" w:fill="F2F7FF"/>
          </w:tcPr>
          <w:p w14:paraId="2BAFE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风险调整后资本回报率</w:t>
            </w:r>
          </w:p>
        </w:tc>
        <w:tc>
          <w:tcPr>
            <w:tcW w:w="2268" w:type="dxa"/>
            <w:shd w:val="clear" w:color="auto" w:fill="F2F7FF"/>
          </w:tcPr>
          <w:p w14:paraId="0C99A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&gt;15%</w:t>
            </w:r>
          </w:p>
        </w:tc>
      </w:tr>
    </w:tbl>
    <w:p w14:paraId="1214F6D4"/>
    <w:p w14:paraId="3D76ED8B">
      <w:pPr>
        <w:pStyle w:val="3"/>
      </w:pPr>
      <w:r>
        <w:rPr>
          <w:rFonts w:ascii="微软雅黑" w:hAnsi="微软雅黑" w:eastAsia="微软雅黑"/>
          <w:color w:val="1F3864"/>
        </w:rPr>
        <w:t>四、风控组织架构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9CC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458E06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部门</w:t>
            </w:r>
          </w:p>
        </w:tc>
        <w:tc>
          <w:tcPr>
            <w:tcW w:w="2268" w:type="dxa"/>
            <w:shd w:val="clear" w:color="auto" w:fill="2E75B6"/>
          </w:tcPr>
          <w:p w14:paraId="6A369A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核心职能</w:t>
            </w:r>
          </w:p>
        </w:tc>
        <w:tc>
          <w:tcPr>
            <w:tcW w:w="2268" w:type="dxa"/>
            <w:shd w:val="clear" w:color="auto" w:fill="2E75B6"/>
          </w:tcPr>
          <w:p w14:paraId="0D153B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关键岗位</w:t>
            </w:r>
          </w:p>
        </w:tc>
        <w:tc>
          <w:tcPr>
            <w:tcW w:w="2268" w:type="dxa"/>
            <w:shd w:val="clear" w:color="auto" w:fill="2E75B6"/>
          </w:tcPr>
          <w:p w14:paraId="22EC4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汇报关系</w:t>
            </w:r>
          </w:p>
        </w:tc>
      </w:tr>
      <w:tr w14:paraId="2D7C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D5DA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风控策略部</w:t>
            </w:r>
          </w:p>
        </w:tc>
        <w:tc>
          <w:tcPr>
            <w:tcW w:w="2268" w:type="dxa"/>
            <w:shd w:val="clear" w:color="auto" w:fill="F2F7FF"/>
          </w:tcPr>
          <w:p w14:paraId="62B75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规则设计、策略制定、A/B测试</w:t>
            </w:r>
          </w:p>
        </w:tc>
        <w:tc>
          <w:tcPr>
            <w:tcW w:w="2268" w:type="dxa"/>
            <w:shd w:val="clear" w:color="auto" w:fill="F2F7FF"/>
          </w:tcPr>
          <w:p w14:paraId="33AD0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风控策略总监、策略分析师</w:t>
            </w:r>
          </w:p>
        </w:tc>
        <w:tc>
          <w:tcPr>
            <w:tcW w:w="2268" w:type="dxa"/>
            <w:shd w:val="clear" w:color="auto" w:fill="F2F7FF"/>
          </w:tcPr>
          <w:p w14:paraId="3191C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CRO</w:t>
            </w:r>
          </w:p>
        </w:tc>
      </w:tr>
      <w:tr w14:paraId="12A6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1BD8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模型开发部</w:t>
            </w:r>
          </w:p>
        </w:tc>
        <w:tc>
          <w:tcPr>
            <w:tcW w:w="2268" w:type="dxa"/>
            <w:shd w:val="clear" w:color="auto" w:fill="FFFFFF"/>
          </w:tcPr>
          <w:p w14:paraId="35644C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评分卡建模、ML模型开发、模型监控</w:t>
            </w:r>
          </w:p>
        </w:tc>
        <w:tc>
          <w:tcPr>
            <w:tcW w:w="2268" w:type="dxa"/>
            <w:shd w:val="clear" w:color="auto" w:fill="FFFFFF"/>
          </w:tcPr>
          <w:p w14:paraId="47436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建模总监、数据科学家</w:t>
            </w:r>
          </w:p>
        </w:tc>
        <w:tc>
          <w:tcPr>
            <w:tcW w:w="2268" w:type="dxa"/>
            <w:shd w:val="clear" w:color="auto" w:fill="FFFFFF"/>
          </w:tcPr>
          <w:p w14:paraId="7B48C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CRO</w:t>
            </w:r>
          </w:p>
        </w:tc>
      </w:tr>
      <w:tr w14:paraId="5342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4DB413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反欺诈部</w:t>
            </w:r>
          </w:p>
        </w:tc>
        <w:tc>
          <w:tcPr>
            <w:tcW w:w="2268" w:type="dxa"/>
            <w:shd w:val="clear" w:color="auto" w:fill="F2F7FF"/>
          </w:tcPr>
          <w:p w14:paraId="4B1C0F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欺诈规则、图计算、黑产对抗</w:t>
            </w:r>
          </w:p>
        </w:tc>
        <w:tc>
          <w:tcPr>
            <w:tcW w:w="2268" w:type="dxa"/>
            <w:shd w:val="clear" w:color="auto" w:fill="F2F7FF"/>
          </w:tcPr>
          <w:p w14:paraId="43B16F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反欺诈专家、安全分析师</w:t>
            </w:r>
          </w:p>
        </w:tc>
        <w:tc>
          <w:tcPr>
            <w:tcW w:w="2268" w:type="dxa"/>
            <w:shd w:val="clear" w:color="auto" w:fill="F2F7FF"/>
          </w:tcPr>
          <w:p w14:paraId="5286F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CRO</w:t>
            </w:r>
          </w:p>
        </w:tc>
      </w:tr>
      <w:tr w14:paraId="4144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C33D1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催收管理部</w:t>
            </w:r>
          </w:p>
        </w:tc>
        <w:tc>
          <w:tcPr>
            <w:tcW w:w="2268" w:type="dxa"/>
            <w:shd w:val="clear" w:color="auto" w:fill="FFFFFF"/>
          </w:tcPr>
          <w:p w14:paraId="549D69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催收策略、外包管理、AI催收</w:t>
            </w:r>
          </w:p>
        </w:tc>
        <w:tc>
          <w:tcPr>
            <w:tcW w:w="2268" w:type="dxa"/>
            <w:shd w:val="clear" w:color="auto" w:fill="FFFFFF"/>
          </w:tcPr>
          <w:p w14:paraId="5EFBF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催收总监、催收主管</w:t>
            </w:r>
          </w:p>
        </w:tc>
        <w:tc>
          <w:tcPr>
            <w:tcW w:w="2268" w:type="dxa"/>
            <w:shd w:val="clear" w:color="auto" w:fill="FFFFFF"/>
          </w:tcPr>
          <w:p w14:paraId="39922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COO</w:t>
            </w:r>
          </w:p>
        </w:tc>
      </w:tr>
      <w:tr w14:paraId="2152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CD3D5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合规管理部</w:t>
            </w:r>
          </w:p>
        </w:tc>
        <w:tc>
          <w:tcPr>
            <w:tcW w:w="2268" w:type="dxa"/>
            <w:shd w:val="clear" w:color="auto" w:fill="F2F7FF"/>
          </w:tcPr>
          <w:p w14:paraId="7B5CB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监管对接、合规检查、政策解读</w:t>
            </w:r>
          </w:p>
        </w:tc>
        <w:tc>
          <w:tcPr>
            <w:tcW w:w="2268" w:type="dxa"/>
            <w:shd w:val="clear" w:color="auto" w:fill="F2F7FF"/>
          </w:tcPr>
          <w:p w14:paraId="76ADEF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合规总监、合规经理</w:t>
            </w:r>
          </w:p>
        </w:tc>
        <w:tc>
          <w:tcPr>
            <w:tcW w:w="2268" w:type="dxa"/>
            <w:shd w:val="clear" w:color="auto" w:fill="F2F7FF"/>
          </w:tcPr>
          <w:p w14:paraId="4C9D94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CEO/董事会</w:t>
            </w:r>
          </w:p>
        </w:tc>
      </w:tr>
      <w:tr w14:paraId="10BD0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9381D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数据分析部</w:t>
            </w:r>
          </w:p>
        </w:tc>
        <w:tc>
          <w:tcPr>
            <w:tcW w:w="2268" w:type="dxa"/>
            <w:shd w:val="clear" w:color="auto" w:fill="FFFFFF"/>
          </w:tcPr>
          <w:p w14:paraId="5295CB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数据看板、Vintage分析、风险报告</w:t>
            </w:r>
          </w:p>
        </w:tc>
        <w:tc>
          <w:tcPr>
            <w:tcW w:w="2268" w:type="dxa"/>
            <w:shd w:val="clear" w:color="auto" w:fill="FFFFFF"/>
          </w:tcPr>
          <w:p w14:paraId="785F6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数据总监、数据分析师</w:t>
            </w:r>
          </w:p>
        </w:tc>
        <w:tc>
          <w:tcPr>
            <w:tcW w:w="2268" w:type="dxa"/>
            <w:shd w:val="clear" w:color="auto" w:fill="FFFFFF"/>
          </w:tcPr>
          <w:p w14:paraId="6C519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CRO</w:t>
            </w:r>
          </w:p>
        </w:tc>
      </w:tr>
    </w:tbl>
    <w:p w14:paraId="2072DD6A"/>
    <w:p w14:paraId="40EF2424">
      <w:pPr>
        <w:pStyle w:val="3"/>
      </w:pPr>
      <w:r>
        <w:rPr>
          <w:rFonts w:ascii="微软雅黑" w:hAnsi="微软雅黑" w:eastAsia="微软雅黑"/>
          <w:color w:val="1F3864"/>
        </w:rPr>
        <w:t>五、数字化转型路径</w:t>
      </w:r>
    </w:p>
    <w:p w14:paraId="78D2B09F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消费金融风控的数字化转型分为三个阶段：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264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2BF022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2E75B6"/>
          </w:tcPr>
          <w:p w14:paraId="024FD1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2268" w:type="dxa"/>
            <w:shd w:val="clear" w:color="auto" w:fill="2E75B6"/>
          </w:tcPr>
          <w:p w14:paraId="54EE02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核心建设</w:t>
            </w:r>
          </w:p>
        </w:tc>
        <w:tc>
          <w:tcPr>
            <w:tcW w:w="2268" w:type="dxa"/>
            <w:shd w:val="clear" w:color="auto" w:fill="2E75B6"/>
          </w:tcPr>
          <w:p w14:paraId="333F6A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</w:tr>
      <w:tr w14:paraId="7B9E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354C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基础夯实期</w:t>
            </w:r>
          </w:p>
        </w:tc>
        <w:tc>
          <w:tcPr>
            <w:tcW w:w="2268" w:type="dxa"/>
            <w:shd w:val="clear" w:color="auto" w:fill="F2F7FF"/>
          </w:tcPr>
          <w:p w14:paraId="436A6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第1年</w:t>
            </w:r>
          </w:p>
        </w:tc>
        <w:tc>
          <w:tcPr>
            <w:tcW w:w="2268" w:type="dxa"/>
            <w:shd w:val="clear" w:color="auto" w:fill="F2F7FF"/>
          </w:tcPr>
          <w:p w14:paraId="3B329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数据中台、评分卡模型、基础监控看板</w:t>
            </w:r>
          </w:p>
        </w:tc>
        <w:tc>
          <w:tcPr>
            <w:tcW w:w="2268" w:type="dxa"/>
            <w:shd w:val="clear" w:color="auto" w:fill="F2F7FF"/>
          </w:tcPr>
          <w:p w14:paraId="06D05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逾期率下降1个百分点</w:t>
            </w:r>
          </w:p>
        </w:tc>
      </w:tr>
      <w:tr w14:paraId="49C0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FDC0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能力提升期</w:t>
            </w:r>
          </w:p>
        </w:tc>
        <w:tc>
          <w:tcPr>
            <w:tcW w:w="2268" w:type="dxa"/>
            <w:shd w:val="clear" w:color="auto" w:fill="FFFFFF"/>
          </w:tcPr>
          <w:p w14:paraId="2A845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第2年</w:t>
            </w:r>
          </w:p>
        </w:tc>
        <w:tc>
          <w:tcPr>
            <w:tcW w:w="2268" w:type="dxa"/>
            <w:shd w:val="clear" w:color="auto" w:fill="FFFFFF"/>
          </w:tcPr>
          <w:p w14:paraId="65635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图计算反欺诈、EWS预警、AI催收</w:t>
            </w:r>
          </w:p>
        </w:tc>
        <w:tc>
          <w:tcPr>
            <w:tcW w:w="2268" w:type="dxa"/>
            <w:shd w:val="clear" w:color="auto" w:fill="FFFFFF"/>
          </w:tcPr>
          <w:p w14:paraId="6D5164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催收成本降低30%</w:t>
            </w:r>
          </w:p>
        </w:tc>
      </w:tr>
      <w:tr w14:paraId="0C19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8E77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智能化期</w:t>
            </w:r>
          </w:p>
        </w:tc>
        <w:tc>
          <w:tcPr>
            <w:tcW w:w="2268" w:type="dxa"/>
            <w:shd w:val="clear" w:color="auto" w:fill="F2F7FF"/>
          </w:tcPr>
          <w:p w14:paraId="31C56C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第3年</w:t>
            </w:r>
          </w:p>
        </w:tc>
        <w:tc>
          <w:tcPr>
            <w:tcW w:w="2268" w:type="dxa"/>
            <w:shd w:val="clear" w:color="auto" w:fill="F2F7FF"/>
          </w:tcPr>
          <w:p w14:paraId="366E5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实时决策引擎、差异化定价、生命周期管理</w:t>
            </w:r>
          </w:p>
        </w:tc>
        <w:tc>
          <w:tcPr>
            <w:tcW w:w="2268" w:type="dxa"/>
            <w:shd w:val="clear" w:color="auto" w:fill="F2F7FF"/>
          </w:tcPr>
          <w:p w14:paraId="0E054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全链路自动化率&gt;90%</w:t>
            </w:r>
          </w:p>
        </w:tc>
      </w:tr>
    </w:tbl>
    <w:p w14:paraId="0C3764E6"/>
    <w:p w14:paraId="5F7D244E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通过三年数字化转型，实现风控体系的全面升级，从经验驱动转向数据驱动，从人工决策转向智能决策，最终达到行业领先的风控水平。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7B9F"/>
    <w:rsid w:val="00FC693F"/>
    <w:rsid w:val="026F1A39"/>
    <w:rsid w:val="068C623B"/>
    <w:rsid w:val="09804621"/>
    <w:rsid w:val="0B131104"/>
    <w:rsid w:val="11F7418A"/>
    <w:rsid w:val="1F780145"/>
    <w:rsid w:val="23E84F27"/>
    <w:rsid w:val="33CB39E5"/>
    <w:rsid w:val="3AB21517"/>
    <w:rsid w:val="3B1E4680"/>
    <w:rsid w:val="3CBD7F7B"/>
    <w:rsid w:val="51597C7A"/>
    <w:rsid w:val="5B6141E9"/>
    <w:rsid w:val="5D5B2436"/>
    <w:rsid w:val="653178FB"/>
    <w:rsid w:val="734A5B0A"/>
    <w:rsid w:val="7C3675DF"/>
    <w:rsid w:val="7D4A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1422</Words>
  <Characters>1601</Characters>
  <DocSecurity>0</DocSecurity>
  <Lines>0</Lines>
  <Paragraphs>0</Paragraphs>
  <ScaleCrop>false</ScaleCrop>
  <LinksUpToDate>false</LinksUpToDate>
  <CharactersWithSpaces>1601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2026-04-02T14:18:32Z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5EAC5FAF4FBB450B81CB40FAF91EBCCE_12</vt:lpwstr>
  </property>
</Properties>
</file>