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0806D"/>
    <w:p w14:paraId="2A08E945"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贷前准入与信用评估</w:t>
      </w:r>
    </w:p>
    <w:p w14:paraId="32E18EDE">
      <w:pPr>
        <w:jc w:val="center"/>
      </w:pPr>
      <w:r>
        <w:rPr>
          <w:rFonts w:ascii="微软雅黑" w:hAnsi="微软雅黑" w:eastAsia="微软雅黑"/>
          <w:color w:val="2E75B6"/>
          <w:sz w:val="28"/>
        </w:rPr>
        <w:t>准入策略与评分卡建模详解</w:t>
      </w:r>
    </w:p>
    <w:p w14:paraId="6A3B6A18"/>
    <w:p w14:paraId="2D7EA8B7">
      <w:pPr>
        <w:jc w:val="center"/>
      </w:pPr>
      <w:r>
        <w:rPr>
          <w:rFonts w:ascii="微软雅黑" w:hAnsi="微软雅黑" w:eastAsia="微软雅黑"/>
          <w:sz w:val="22"/>
        </w:rPr>
        <w:t>2026年4月</w:t>
      </w:r>
    </w:p>
    <w:p w14:paraId="715C1759">
      <w:r>
        <w:br w:type="page"/>
      </w:r>
    </w:p>
    <w:p w14:paraId="10DF5539">
      <w:pPr>
        <w:pStyle w:val="3"/>
      </w:pPr>
      <w:r>
        <w:rPr>
          <w:rFonts w:ascii="微软雅黑" w:hAnsi="微软雅黑" w:eastAsia="微软雅黑"/>
          <w:color w:val="1F3864"/>
        </w:rPr>
        <w:t>模块概述</w:t>
      </w:r>
    </w:p>
    <w:p w14:paraId="138333F9">
      <w:pPr>
        <w:spacing w:after="80"/>
        <w:ind w:left="0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贷前准入与信用评估是消费金融风控的第一道关卡，其核心目标是在风险</w:t>
      </w:r>
      <w:r>
        <w:rPr>
          <w:rFonts w:hint="eastAsia"/>
          <w:b w:val="0"/>
          <w:sz w:val="21"/>
          <w:lang w:val="en-US" w:eastAsia="zh-CN"/>
        </w:rPr>
        <w:t>可控</w:t>
      </w:r>
      <w:r>
        <w:rPr>
          <w:rFonts w:ascii="微软雅黑" w:hAnsi="微软雅黑" w:eastAsia="微软雅黑"/>
          <w:b w:val="0"/>
          <w:sz w:val="21"/>
        </w:rPr>
        <w:t>的前提下最大化通过率，确保进件质量。该模块涵盖准入策略设计、信用评分体系搭建、外部数据整合及模型监控迭代四大核心内容。</w:t>
      </w:r>
    </w:p>
    <w:p w14:paraId="317DD7E3">
      <w:pPr>
        <w:pStyle w:val="3"/>
        <w:rPr>
          <w:rFonts w:hint="eastAsia" w:ascii="微软雅黑" w:hAnsi="微软雅黑" w:eastAsia="微软雅黑"/>
          <w:color w:val="1F3864"/>
          <w:lang w:val="en-US" w:eastAsia="zh-CN"/>
        </w:rPr>
      </w:pPr>
      <w:r>
        <w:rPr>
          <w:rFonts w:hint="eastAsia" w:ascii="微软雅黑" w:hAnsi="微软雅黑" w:eastAsia="微软雅黑"/>
          <w:color w:val="1F3864"/>
          <w:lang w:val="en-US" w:eastAsia="zh-CN"/>
        </w:rPr>
        <w:t>策略决策引擎开发流程</w:t>
      </w:r>
    </w:p>
    <w:p w14:paraId="7D073CDB">
      <w:pPr>
        <w:rPr>
          <w:rFonts w:hint="default"/>
          <w:lang w:val="en-US"/>
        </w:rPr>
      </w:pPr>
      <w:r>
        <w:drawing>
          <wp:inline distT="0" distB="0" distL="114300" distR="114300">
            <wp:extent cx="3067050" cy="4051300"/>
            <wp:effectExtent l="0" t="0" r="635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6A621">
      <w:pPr>
        <w:pStyle w:val="30"/>
        <w:keepNext w:val="0"/>
        <w:keepLines w:val="0"/>
        <w:widowControl/>
        <w:suppressLineNumbers w:val="0"/>
        <w:ind w:firstLine="480" w:firstLineChars="200"/>
      </w:pPr>
      <w:r>
        <w:t>本次展示为贷前核心决策引擎全流程链路，决策引擎部署于用户借款申请提交后、资金放款前，是贷前风险管控的核心。风控策略核心工作围绕引擎全流程展开：负责整体链路的节点排布、决策点调用逻辑设计，统筹内部指标、外部三方数据、风控规则、评分模型、用户风险分层等模块的触发顺序与流转条件，最终在数据成本、接口调用效率、风险决策有效性三者之间实现动态平衡，在保障资产质量、严控不良风险的基础上，兼顾用户审批体验与精细化运营成本管控。</w:t>
      </w:r>
    </w:p>
    <w:p w14:paraId="0549FCB5">
      <w:pPr>
        <w:spacing w:after="80"/>
        <w:ind w:left="0"/>
        <w:rPr>
          <w:rFonts w:ascii="微软雅黑" w:hAnsi="微软雅黑" w:eastAsia="微软雅黑"/>
          <w:b w:val="0"/>
          <w:sz w:val="21"/>
        </w:rPr>
      </w:pPr>
    </w:p>
    <w:p w14:paraId="71F0E16A">
      <w:pPr>
        <w:pStyle w:val="3"/>
      </w:pPr>
      <w:r>
        <w:rPr>
          <w:rFonts w:hint="eastAsia" w:ascii="微软雅黑" w:hAnsi="微软雅黑" w:eastAsia="微软雅黑"/>
          <w:color w:val="1F3864"/>
          <w:lang w:val="en-US" w:eastAsia="zh-CN"/>
        </w:rPr>
        <w:t>一</w:t>
      </w:r>
      <w:r>
        <w:rPr>
          <w:rFonts w:ascii="微软雅黑" w:hAnsi="微软雅黑" w:eastAsia="微软雅黑"/>
          <w:color w:val="1F3864"/>
        </w:rPr>
        <w:t>、准入策</w:t>
      </w:r>
      <w:bookmarkStart w:id="0" w:name="_GoBack"/>
      <w:bookmarkEnd w:id="0"/>
      <w:r>
        <w:rPr>
          <w:rFonts w:ascii="微软雅黑" w:hAnsi="微软雅黑" w:eastAsia="微软雅黑"/>
          <w:color w:val="1F3864"/>
        </w:rPr>
        <w:t>略设计</w:t>
      </w:r>
    </w:p>
    <w:p w14:paraId="5DAF83BF">
      <w:pPr>
        <w:pStyle w:val="4"/>
      </w:pPr>
      <w:r>
        <w:rPr>
          <w:rFonts w:ascii="微软雅黑" w:hAnsi="微软雅黑" w:eastAsia="微软雅黑"/>
          <w:color w:val="2E75B6"/>
        </w:rPr>
        <w:t>2.1 硬规则体系</w:t>
      </w:r>
    </w:p>
    <w:p w14:paraId="63364C18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准入硬规则是风控的第一层过滤，通过简单明确的标准快速筛除不合格申请。主要规则包括：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3B21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7FDBAD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规则类别</w:t>
            </w:r>
          </w:p>
        </w:tc>
        <w:tc>
          <w:tcPr>
            <w:tcW w:w="2268" w:type="dxa"/>
            <w:shd w:val="clear" w:color="auto" w:fill="2E75B6"/>
          </w:tcPr>
          <w:p w14:paraId="39DAB7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规则项</w:t>
            </w:r>
          </w:p>
        </w:tc>
        <w:tc>
          <w:tcPr>
            <w:tcW w:w="2268" w:type="dxa"/>
            <w:shd w:val="clear" w:color="auto" w:fill="2E75B6"/>
          </w:tcPr>
          <w:p w14:paraId="40604F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规则条件</w:t>
            </w:r>
          </w:p>
        </w:tc>
        <w:tc>
          <w:tcPr>
            <w:tcW w:w="2268" w:type="dxa"/>
            <w:shd w:val="clear" w:color="auto" w:fill="2E75B6"/>
          </w:tcPr>
          <w:p w14:paraId="674418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设计原理</w:t>
            </w:r>
          </w:p>
        </w:tc>
      </w:tr>
      <w:tr w14:paraId="64738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3EDCBB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基本准入</w:t>
            </w:r>
          </w:p>
        </w:tc>
        <w:tc>
          <w:tcPr>
            <w:tcW w:w="2268" w:type="dxa"/>
            <w:shd w:val="clear" w:color="auto" w:fill="F2F7FF"/>
          </w:tcPr>
          <w:p w14:paraId="3A901B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年龄要求</w:t>
            </w:r>
          </w:p>
        </w:tc>
        <w:tc>
          <w:tcPr>
            <w:tcW w:w="2268" w:type="dxa"/>
            <w:shd w:val="clear" w:color="auto" w:fill="F2F7FF"/>
          </w:tcPr>
          <w:p w14:paraId="1E3040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22-55周岁</w:t>
            </w:r>
          </w:p>
        </w:tc>
        <w:tc>
          <w:tcPr>
            <w:tcW w:w="2268" w:type="dxa"/>
            <w:shd w:val="clear" w:color="auto" w:fill="F2F7FF"/>
          </w:tcPr>
          <w:p w14:paraId="6F2591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限制未成年和高龄风险</w:t>
            </w:r>
          </w:p>
        </w:tc>
      </w:tr>
      <w:tr w14:paraId="6AFB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4865CE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基本准入</w:t>
            </w:r>
          </w:p>
        </w:tc>
        <w:tc>
          <w:tcPr>
            <w:tcW w:w="2268" w:type="dxa"/>
            <w:shd w:val="clear" w:color="auto" w:fill="FFFFFF"/>
          </w:tcPr>
          <w:p w14:paraId="1528CC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身份证校验</w:t>
            </w:r>
          </w:p>
        </w:tc>
        <w:tc>
          <w:tcPr>
            <w:tcW w:w="2268" w:type="dxa"/>
            <w:shd w:val="clear" w:color="auto" w:fill="FFFFFF"/>
          </w:tcPr>
          <w:p w14:paraId="268CB8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二代身份证实名认证</w:t>
            </w:r>
          </w:p>
        </w:tc>
        <w:tc>
          <w:tcPr>
            <w:tcW w:w="2268" w:type="dxa"/>
            <w:shd w:val="clear" w:color="auto" w:fill="FFFFFF"/>
          </w:tcPr>
          <w:p w14:paraId="5472EF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防止虚假身份</w:t>
            </w:r>
          </w:p>
        </w:tc>
      </w:tr>
      <w:tr w14:paraId="31FD8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15B317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基本准入</w:t>
            </w:r>
          </w:p>
        </w:tc>
        <w:tc>
          <w:tcPr>
            <w:tcW w:w="2268" w:type="dxa"/>
            <w:shd w:val="clear" w:color="auto" w:fill="F2F7FF"/>
          </w:tcPr>
          <w:p w14:paraId="258DD6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手机号实名</w:t>
            </w:r>
          </w:p>
        </w:tc>
        <w:tc>
          <w:tcPr>
            <w:tcW w:w="2268" w:type="dxa"/>
            <w:shd w:val="clear" w:color="auto" w:fill="F2F7FF"/>
          </w:tcPr>
          <w:p w14:paraId="532268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入网时长&gt;6个月</w:t>
            </w:r>
          </w:p>
        </w:tc>
        <w:tc>
          <w:tcPr>
            <w:tcW w:w="2268" w:type="dxa"/>
            <w:shd w:val="clear" w:color="auto" w:fill="F2F7FF"/>
          </w:tcPr>
          <w:p w14:paraId="305DCB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防止虚假号码</w:t>
            </w:r>
          </w:p>
        </w:tc>
      </w:tr>
      <w:tr w14:paraId="4724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27CC51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征信要求</w:t>
            </w:r>
          </w:p>
        </w:tc>
        <w:tc>
          <w:tcPr>
            <w:tcW w:w="2268" w:type="dxa"/>
            <w:shd w:val="clear" w:color="auto" w:fill="FFFFFF"/>
          </w:tcPr>
          <w:p w14:paraId="3FD9C1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当前逾期</w:t>
            </w:r>
          </w:p>
        </w:tc>
        <w:tc>
          <w:tcPr>
            <w:tcW w:w="2268" w:type="dxa"/>
            <w:shd w:val="clear" w:color="auto" w:fill="FFFFFF"/>
          </w:tcPr>
          <w:p w14:paraId="109E57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当前无M1+逾期</w:t>
            </w:r>
          </w:p>
        </w:tc>
        <w:tc>
          <w:tcPr>
            <w:tcW w:w="2268" w:type="dxa"/>
            <w:shd w:val="clear" w:color="auto" w:fill="FFFFFF"/>
          </w:tcPr>
          <w:p w14:paraId="394DCE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排除已有违约客户</w:t>
            </w:r>
          </w:p>
        </w:tc>
      </w:tr>
      <w:tr w14:paraId="1276A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20CF8D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征信要求</w:t>
            </w:r>
          </w:p>
        </w:tc>
        <w:tc>
          <w:tcPr>
            <w:tcW w:w="2268" w:type="dxa"/>
            <w:shd w:val="clear" w:color="auto" w:fill="F2F7FF"/>
          </w:tcPr>
          <w:p w14:paraId="418142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近6月查询</w:t>
            </w:r>
          </w:p>
        </w:tc>
        <w:tc>
          <w:tcPr>
            <w:tcW w:w="2268" w:type="dxa"/>
            <w:shd w:val="clear" w:color="auto" w:fill="F2F7FF"/>
          </w:tcPr>
          <w:p w14:paraId="38F73D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硬查询次数&lt;8次</w:t>
            </w:r>
          </w:p>
        </w:tc>
        <w:tc>
          <w:tcPr>
            <w:tcW w:w="2268" w:type="dxa"/>
            <w:shd w:val="clear" w:color="auto" w:fill="F2F7FF"/>
          </w:tcPr>
          <w:p w14:paraId="56FD8A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排除多头借贷</w:t>
            </w:r>
          </w:p>
        </w:tc>
      </w:tr>
      <w:tr w14:paraId="57491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4DCD80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征信要求</w:t>
            </w:r>
          </w:p>
        </w:tc>
        <w:tc>
          <w:tcPr>
            <w:tcW w:w="2268" w:type="dxa"/>
            <w:shd w:val="clear" w:color="auto" w:fill="FFFFFF"/>
          </w:tcPr>
          <w:p w14:paraId="0FE29B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历史违约</w:t>
            </w:r>
          </w:p>
        </w:tc>
        <w:tc>
          <w:tcPr>
            <w:tcW w:w="2268" w:type="dxa"/>
            <w:shd w:val="clear" w:color="auto" w:fill="FFFFFF"/>
          </w:tcPr>
          <w:p w14:paraId="4C67C3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近2年无M3+记录</w:t>
            </w:r>
          </w:p>
        </w:tc>
        <w:tc>
          <w:tcPr>
            <w:tcW w:w="2268" w:type="dxa"/>
            <w:shd w:val="clear" w:color="auto" w:fill="FFFFFF"/>
          </w:tcPr>
          <w:p w14:paraId="121FC0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排除高风险客户</w:t>
            </w:r>
          </w:p>
        </w:tc>
      </w:tr>
      <w:tr w14:paraId="1E14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3E21CA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收入要求</w:t>
            </w:r>
          </w:p>
        </w:tc>
        <w:tc>
          <w:tcPr>
            <w:tcW w:w="2268" w:type="dxa"/>
            <w:shd w:val="clear" w:color="auto" w:fill="F2F7FF"/>
          </w:tcPr>
          <w:p w14:paraId="37A8D3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月收入门槛</w:t>
            </w:r>
          </w:p>
        </w:tc>
        <w:tc>
          <w:tcPr>
            <w:tcW w:w="2268" w:type="dxa"/>
            <w:shd w:val="clear" w:color="auto" w:fill="F2F7FF"/>
          </w:tcPr>
          <w:p w14:paraId="58F62F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月收入&gt;=3000元</w:t>
            </w:r>
          </w:p>
        </w:tc>
        <w:tc>
          <w:tcPr>
            <w:tcW w:w="2268" w:type="dxa"/>
            <w:shd w:val="clear" w:color="auto" w:fill="F2F7FF"/>
          </w:tcPr>
          <w:p w14:paraId="3754D1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确保还款能力</w:t>
            </w:r>
          </w:p>
        </w:tc>
      </w:tr>
      <w:tr w14:paraId="26DB3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424A3E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负债要求</w:t>
            </w:r>
          </w:p>
        </w:tc>
        <w:tc>
          <w:tcPr>
            <w:tcW w:w="2268" w:type="dxa"/>
            <w:shd w:val="clear" w:color="auto" w:fill="FFFFFF"/>
          </w:tcPr>
          <w:p w14:paraId="5C5450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DTI比率</w:t>
            </w:r>
          </w:p>
        </w:tc>
        <w:tc>
          <w:tcPr>
            <w:tcW w:w="2268" w:type="dxa"/>
            <w:shd w:val="clear" w:color="auto" w:fill="FFFFFF"/>
          </w:tcPr>
          <w:p w14:paraId="149DC6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月负债/月收入&lt;50%</w:t>
            </w:r>
          </w:p>
        </w:tc>
        <w:tc>
          <w:tcPr>
            <w:tcW w:w="2268" w:type="dxa"/>
            <w:shd w:val="clear" w:color="auto" w:fill="FFFFFF"/>
          </w:tcPr>
          <w:p w14:paraId="2D523D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控制过度负债</w:t>
            </w:r>
          </w:p>
        </w:tc>
      </w:tr>
    </w:tbl>
    <w:p w14:paraId="69192F61"/>
    <w:p w14:paraId="2B9F802E">
      <w:pPr>
        <w:pStyle w:val="4"/>
      </w:pPr>
      <w:r>
        <w:rPr>
          <w:rFonts w:ascii="微软雅黑" w:hAnsi="微软雅黑" w:eastAsia="微软雅黑"/>
          <w:color w:val="2E75B6"/>
        </w:rPr>
        <w:t>2.2 渠道差异化准入</w:t>
      </w:r>
    </w:p>
    <w:p w14:paraId="02B3E0AE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不同渠道的客户质量和获客成本差异显著，需实施差异化准入策略</w:t>
      </w:r>
      <w:r>
        <w:rPr>
          <w:rFonts w:hint="eastAsia"/>
          <w:b w:val="0"/>
          <w:sz w:val="21"/>
          <w:lang w:val="en-US" w:eastAsia="zh-CN"/>
        </w:rPr>
        <w:t>(根据LTV进行调整)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20"/>
        <w:gridCol w:w="2880"/>
        <w:gridCol w:w="2491"/>
      </w:tblGrid>
      <w:tr w14:paraId="3140F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2E75B6"/>
          </w:tcPr>
          <w:p w14:paraId="5084D1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渠道类型</w:t>
            </w:r>
          </w:p>
        </w:tc>
        <w:tc>
          <w:tcPr>
            <w:tcW w:w="1820" w:type="dxa"/>
            <w:shd w:val="clear" w:color="auto" w:fill="2E75B6"/>
          </w:tcPr>
          <w:p w14:paraId="573931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通过率目标</w:t>
            </w:r>
          </w:p>
        </w:tc>
        <w:tc>
          <w:tcPr>
            <w:tcW w:w="2880" w:type="dxa"/>
            <w:shd w:val="clear" w:color="auto" w:fill="2E75B6"/>
          </w:tcPr>
          <w:p w14:paraId="4D878F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准入门槛调整</w:t>
            </w:r>
          </w:p>
        </w:tc>
        <w:tc>
          <w:tcPr>
            <w:tcW w:w="2491" w:type="dxa"/>
            <w:shd w:val="clear" w:color="auto" w:fill="2E75B6"/>
          </w:tcPr>
          <w:p w14:paraId="34176F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原因分析</w:t>
            </w:r>
          </w:p>
        </w:tc>
      </w:tr>
      <w:tr w14:paraId="2B89A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7FF"/>
          </w:tcPr>
          <w:p w14:paraId="669E42B2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白名单</w:t>
            </w:r>
          </w:p>
        </w:tc>
        <w:tc>
          <w:tcPr>
            <w:tcW w:w="1820" w:type="dxa"/>
            <w:shd w:val="clear" w:color="auto" w:fill="F2F7FF"/>
          </w:tcPr>
          <w:p w14:paraId="044EB6F6">
            <w:pPr>
              <w:spacing w:after="0" w:line="240" w:lineRule="auto"/>
            </w:pPr>
            <w:r>
              <w:rPr>
                <w:rFonts w:hint="eastAsia"/>
                <w:sz w:val="20"/>
                <w:lang w:val="en-US" w:eastAsia="zh-CN"/>
              </w:rPr>
              <w:t>90</w:t>
            </w:r>
            <w:r>
              <w:rPr>
                <w:rFonts w:ascii="微软雅黑" w:hAnsi="微软雅黑" w:eastAsia="微软雅黑"/>
                <w:sz w:val="20"/>
              </w:rPr>
              <w:t>%-</w:t>
            </w:r>
            <w:r>
              <w:rPr>
                <w:rFonts w:hint="eastAsia"/>
                <w:sz w:val="20"/>
                <w:lang w:val="en-US" w:eastAsia="zh-CN"/>
              </w:rPr>
              <w:t>99</w:t>
            </w:r>
            <w:r>
              <w:rPr>
                <w:rFonts w:ascii="微软雅黑" w:hAnsi="微软雅黑" w:eastAsia="微软雅黑"/>
                <w:sz w:val="20"/>
              </w:rPr>
              <w:t>%</w:t>
            </w:r>
          </w:p>
        </w:tc>
        <w:tc>
          <w:tcPr>
            <w:tcW w:w="2880" w:type="dxa"/>
            <w:shd w:val="clear" w:color="auto" w:fill="F2F7FF"/>
          </w:tcPr>
          <w:p w14:paraId="2F91EE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适度放宽准入规则</w:t>
            </w:r>
          </w:p>
        </w:tc>
        <w:tc>
          <w:tcPr>
            <w:tcW w:w="2491" w:type="dxa"/>
            <w:shd w:val="clear" w:color="auto" w:fill="F2F7FF"/>
          </w:tcPr>
          <w:p w14:paraId="5F553E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获客成本高，客户粘性强</w:t>
            </w:r>
          </w:p>
        </w:tc>
      </w:tr>
      <w:tr w14:paraId="102BE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FFFFF"/>
          </w:tcPr>
          <w:p w14:paraId="464CA05C">
            <w:pPr>
              <w:spacing w:after="0" w:line="240" w:lineRule="auto"/>
            </w:pPr>
            <w:r>
              <w:rPr>
                <w:rFonts w:hint="eastAsia"/>
                <w:sz w:val="20"/>
                <w:lang w:val="en-US" w:eastAsia="zh-CN"/>
              </w:rPr>
              <w:t>投放渠道</w:t>
            </w:r>
            <w:r>
              <w:rPr>
                <w:rFonts w:ascii="微软雅黑" w:hAnsi="微软雅黑" w:eastAsia="微软雅黑"/>
                <w:sz w:val="20"/>
              </w:rPr>
              <w:t>A</w:t>
            </w:r>
          </w:p>
        </w:tc>
        <w:tc>
          <w:tcPr>
            <w:tcW w:w="1820" w:type="dxa"/>
            <w:shd w:val="clear" w:color="auto" w:fill="FFFFFF"/>
          </w:tcPr>
          <w:p w14:paraId="513008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55%-60%</w:t>
            </w:r>
          </w:p>
        </w:tc>
        <w:tc>
          <w:tcPr>
            <w:tcW w:w="2880" w:type="dxa"/>
            <w:shd w:val="clear" w:color="auto" w:fill="FFFFFF"/>
          </w:tcPr>
          <w:p w14:paraId="4BBCE6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标准准入规则</w:t>
            </w:r>
          </w:p>
        </w:tc>
        <w:tc>
          <w:tcPr>
            <w:tcW w:w="2491" w:type="dxa"/>
            <w:shd w:val="clear" w:color="auto" w:fill="FFFFFF"/>
          </w:tcPr>
          <w:p w14:paraId="4028CA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客群质量稳定</w:t>
            </w:r>
          </w:p>
        </w:tc>
      </w:tr>
      <w:tr w14:paraId="30077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7FF"/>
          </w:tcPr>
          <w:p w14:paraId="0F5D97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助贷渠道B</w:t>
            </w:r>
          </w:p>
        </w:tc>
        <w:tc>
          <w:tcPr>
            <w:tcW w:w="1820" w:type="dxa"/>
            <w:shd w:val="clear" w:color="auto" w:fill="F2F7FF"/>
          </w:tcPr>
          <w:p w14:paraId="18FBD5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45%-55%</w:t>
            </w:r>
          </w:p>
        </w:tc>
        <w:tc>
          <w:tcPr>
            <w:tcW w:w="2880" w:type="dxa"/>
            <w:shd w:val="clear" w:color="auto" w:fill="F2F7FF"/>
          </w:tcPr>
          <w:p w14:paraId="3ACC37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收紧准入规则+提高首付比</w:t>
            </w:r>
          </w:p>
        </w:tc>
        <w:tc>
          <w:tcPr>
            <w:tcW w:w="2491" w:type="dxa"/>
            <w:shd w:val="clear" w:color="auto" w:fill="F2F7FF"/>
          </w:tcPr>
          <w:p w14:paraId="30F0A3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客群质量参差不齐</w:t>
            </w:r>
          </w:p>
        </w:tc>
      </w:tr>
      <w:tr w14:paraId="19D9C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FFFFF"/>
          </w:tcPr>
          <w:p w14:paraId="31DC75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地推渠道</w:t>
            </w:r>
          </w:p>
        </w:tc>
        <w:tc>
          <w:tcPr>
            <w:tcW w:w="1820" w:type="dxa"/>
            <w:shd w:val="clear" w:color="auto" w:fill="FFFFFF"/>
          </w:tcPr>
          <w:p w14:paraId="2F7440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40%-50%</w:t>
            </w:r>
          </w:p>
        </w:tc>
        <w:tc>
          <w:tcPr>
            <w:tcW w:w="2880" w:type="dxa"/>
            <w:shd w:val="clear" w:color="auto" w:fill="FFFFFF"/>
          </w:tcPr>
          <w:p w14:paraId="5CA860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严格准入+现场核验</w:t>
            </w:r>
          </w:p>
        </w:tc>
        <w:tc>
          <w:tcPr>
            <w:tcW w:w="2491" w:type="dxa"/>
            <w:shd w:val="clear" w:color="auto" w:fill="FFFFFF"/>
          </w:tcPr>
          <w:p w14:paraId="22192E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欺诈风险较高</w:t>
            </w:r>
          </w:p>
        </w:tc>
      </w:tr>
    </w:tbl>
    <w:p w14:paraId="773E0D4B">
      <w:pPr>
        <w:pStyle w:val="4"/>
        <w:rPr>
          <w:rFonts w:hint="eastAsia" w:ascii="微软雅黑" w:hAnsi="微软雅黑" w:eastAsia="微软雅黑"/>
          <w:color w:val="2E75B6"/>
          <w:lang w:val="en-US" w:eastAsia="zh-CN"/>
        </w:rPr>
      </w:pPr>
      <w:r>
        <w:rPr>
          <w:rFonts w:hint="eastAsia" w:ascii="微软雅黑" w:hAnsi="微软雅黑" w:eastAsia="微软雅黑"/>
          <w:color w:val="2E75B6"/>
          <w:lang w:val="en-US" w:eastAsia="zh-CN"/>
        </w:rPr>
        <w:t>2.3 用户分层</w:t>
      </w:r>
    </w:p>
    <w:p w14:paraId="3E9E6CD5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theme="minorBidi"/>
          <w:b w:val="0"/>
          <w:bCs w:val="0"/>
          <w:color w:val="2E75B6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 w:val="0"/>
          <w:color w:val="2E75B6"/>
          <w:sz w:val="21"/>
          <w:szCs w:val="22"/>
          <w:lang w:val="en-US" w:eastAsia="zh-CN" w:bidi="ar-SA"/>
        </w:rPr>
        <w:t>2.3.1 什么是贷前用户分层</w:t>
      </w:r>
    </w:p>
    <w:p w14:paraId="5A6183C0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theme="minorBidi"/>
          <w:b w:val="0"/>
          <w:bCs w:val="0"/>
          <w:color w:val="2E75B6"/>
          <w:kern w:val="0"/>
          <w:sz w:val="21"/>
          <w:szCs w:val="22"/>
          <w:lang w:val="en-US" w:eastAsia="zh-CN" w:bidi="ar-SA"/>
        </w:rPr>
      </w:pPr>
      <w:r>
        <w:t>贷前用户分层，是指在用户授信时，根据多维度风险特征将用户划分为不同风险等级群体，并对不同层级采取差异化的授信策略（如额度、利率、期限、准入门槛等），实现风险与收益的动态平衡</w:t>
      </w:r>
    </w:p>
    <w:p w14:paraId="0604D389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theme="minorBidi"/>
          <w:b w:val="0"/>
          <w:bCs w:val="0"/>
          <w:color w:val="2E75B6"/>
          <w:kern w:val="0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 w:val="0"/>
          <w:color w:val="2E75B6"/>
          <w:kern w:val="0"/>
          <w:sz w:val="21"/>
          <w:szCs w:val="22"/>
          <w:lang w:val="en-US" w:eastAsia="zh-CN" w:bidi="ar-SA"/>
        </w:rPr>
        <w:t>2.3.2 用户分层核心维度体系</w:t>
      </w:r>
    </w:p>
    <w:p w14:paraId="6ACF02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57545" cy="3057525"/>
            <wp:effectExtent l="0" t="0" r="8255" b="317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5C3DA6">
      <w:pPr>
        <w:pStyle w:val="30"/>
        <w:keepNext w:val="0"/>
        <w:keepLines w:val="0"/>
        <w:widowControl/>
        <w:suppressLineNumbers w:val="0"/>
      </w:pPr>
      <w:r>
        <w:t>基于以上授信用户的特征，构建A卡，常用的是使用逻辑回归模型构建的评分卡，该评分卡通俗易懂，解释性强(也有用XGBoost/LightGBM（精度高，需配合SHAP解释）)，最终会生成用户评分，分数越高表示用户越优质，通常区间设定在300-900分区间</w:t>
      </w:r>
    </w:p>
    <w:p w14:paraId="152D9C5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theme="minorBidi"/>
          <w:b w:val="0"/>
          <w:bCs w:val="0"/>
          <w:color w:val="2E75B6"/>
          <w:kern w:val="0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 w:val="0"/>
          <w:color w:val="2E75B6"/>
          <w:kern w:val="0"/>
          <w:sz w:val="21"/>
          <w:szCs w:val="22"/>
          <w:lang w:val="en-US" w:eastAsia="zh-CN" w:bidi="ar-SA"/>
        </w:rPr>
        <w:t>2.3.3 用户分层策略逻辑</w:t>
      </w:r>
    </w:p>
    <w:p w14:paraId="370C1537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初步分箱</w:t>
      </w:r>
    </w:p>
    <w:p w14:paraId="0E3A5C75">
      <w:pPr>
        <w:pStyle w:val="30"/>
        <w:keepNext w:val="0"/>
        <w:keepLines w:val="0"/>
        <w:widowControl/>
        <w:suppressLineNumbers w:val="0"/>
      </w:pPr>
      <w:r>
        <w:t>将分数从高到低排序，按分数段统计实际坏账率</w:t>
      </w:r>
    </w:p>
    <w:p w14:paraId="12C68565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业务导向的阈值设计：</w:t>
      </w:r>
    </w:p>
    <w:p w14:paraId="157949EC">
      <w:pPr>
        <w:pStyle w:val="30"/>
        <w:keepNext w:val="0"/>
        <w:keepLines w:val="0"/>
        <w:widowControl/>
        <w:suppressLineNumbers w:val="0"/>
        <w:ind w:left="720"/>
      </w:pPr>
      <w:r>
        <w:t>风险：假设公司能接受最高坏账率5%，则找到坏账率=5%的分数作为拒绝线</w:t>
      </w:r>
    </w:p>
    <w:p w14:paraId="23855C60">
      <w:pPr>
        <w:pStyle w:val="30"/>
        <w:keepNext w:val="0"/>
        <w:keepLines w:val="0"/>
        <w:widowControl/>
        <w:suppressLineNumbers w:val="0"/>
        <w:ind w:left="720"/>
      </w:pPr>
      <w:r>
        <w:t>通过率：目标通过率70%，则取分数从高到低累计通过率达到70%的分数作为最低通过线</w:t>
      </w:r>
    </w:p>
    <w:p w14:paraId="36C6300A">
      <w:pPr>
        <w:pStyle w:val="30"/>
        <w:keepNext w:val="0"/>
        <w:keepLines w:val="0"/>
        <w:widowControl/>
        <w:suppressLineNumbers w:val="0"/>
        <w:ind w:left="720"/>
      </w:pPr>
      <w:r>
        <w:t>收益：计算每个分数段的期望利润（利息收入 - 资金成本 - 预期坏账损失），选取利润最高的切点</w:t>
      </w:r>
    </w:p>
    <w:p w14:paraId="5B27063F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分层数量：通常分为5层，假设如下：</w:t>
      </w:r>
    </w:p>
    <w:p w14:paraId="5DB968D3">
      <w:pPr>
        <w:pStyle w:val="30"/>
        <w:keepNext w:val="0"/>
        <w:keepLines w:val="0"/>
        <w:widowControl/>
        <w:suppressLineNumbers w:val="0"/>
        <w:ind w:left="720"/>
      </w:pPr>
      <w:r>
        <w:t>A级（极低风险）：分数 &gt; 700</w:t>
      </w:r>
    </w:p>
    <w:p w14:paraId="727C70DA">
      <w:pPr>
        <w:pStyle w:val="30"/>
        <w:keepNext w:val="0"/>
        <w:keepLines w:val="0"/>
        <w:widowControl/>
        <w:suppressLineNumbers w:val="0"/>
        <w:ind w:left="720"/>
      </w:pPr>
      <w:r>
        <w:t>B级（低风险）：650-700</w:t>
      </w:r>
    </w:p>
    <w:p w14:paraId="3BF65AA6">
      <w:pPr>
        <w:pStyle w:val="30"/>
        <w:keepNext w:val="0"/>
        <w:keepLines w:val="0"/>
        <w:widowControl/>
        <w:suppressLineNumbers w:val="0"/>
        <w:ind w:left="720"/>
      </w:pPr>
      <w:r>
        <w:t>C级（中风险）：600-650</w:t>
      </w:r>
    </w:p>
    <w:p w14:paraId="4A8E4795">
      <w:pPr>
        <w:pStyle w:val="30"/>
        <w:keepNext w:val="0"/>
        <w:keepLines w:val="0"/>
        <w:widowControl/>
        <w:suppressLineNumbers w:val="0"/>
        <w:ind w:left="720"/>
      </w:pPr>
      <w:r>
        <w:t>D级（高风险）：550-600</w:t>
      </w:r>
    </w:p>
    <w:p w14:paraId="500B1A79">
      <w:pPr>
        <w:pStyle w:val="30"/>
        <w:keepNext w:val="0"/>
        <w:keepLines w:val="0"/>
        <w:widowControl/>
        <w:suppressLineNumbers w:val="0"/>
        <w:ind w:left="720"/>
      </w:pPr>
      <w:r>
        <w:t>E级（极高风险）：&lt; 550（拒绝）</w:t>
      </w:r>
    </w:p>
    <w:p w14:paraId="6ACC29BD">
      <w:pPr>
        <w:pStyle w:val="4"/>
        <w:keepNext w:val="0"/>
        <w:keepLines w:val="0"/>
        <w:widowControl/>
        <w:suppressLineNumbers w:val="0"/>
        <w:rPr>
          <w:rFonts w:hint="default" w:ascii="微软雅黑" w:hAnsi="微软雅黑" w:eastAsia="微软雅黑" w:cstheme="minorBidi"/>
          <w:b w:val="0"/>
          <w:bCs w:val="0"/>
          <w:color w:val="2E75B6"/>
          <w:kern w:val="0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 w:val="0"/>
          <w:color w:val="2E75B6"/>
          <w:kern w:val="0"/>
          <w:sz w:val="21"/>
          <w:szCs w:val="22"/>
          <w:lang w:val="en-US" w:eastAsia="zh-CN" w:bidi="ar-SA"/>
        </w:rPr>
        <w:t>2.3.4 用户分层实例</w:t>
      </w:r>
    </w:p>
    <w:p w14:paraId="77D0B52D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背景:</w:t>
      </w:r>
    </w:p>
    <w:p w14:paraId="40FD332F">
      <w:pPr>
        <w:pStyle w:val="30"/>
        <w:keepNext w:val="0"/>
        <w:keepLines w:val="0"/>
        <w:widowControl/>
        <w:suppressLineNumbers w:val="0"/>
        <w:ind w:left="720"/>
      </w:pPr>
      <w:r>
        <w:rPr>
          <w:rFonts w:hint="eastAsia"/>
          <w:lang w:val="en-US" w:eastAsia="zh-CN"/>
        </w:rPr>
        <w:t>1）</w:t>
      </w:r>
      <w:r>
        <w:t>某小额消费贷产品，额度范围1000-50000元，期限3-12个月，年化利率固定18%</w:t>
      </w:r>
    </w:p>
    <w:p w14:paraId="0043B1B0">
      <w:pPr>
        <w:pStyle w:val="30"/>
        <w:keepNext w:val="0"/>
        <w:keepLines w:val="0"/>
        <w:widowControl/>
        <w:suppressLineNumbers w:val="0"/>
        <w:ind w:left="720"/>
      </w:pPr>
      <w:r>
        <w:rPr>
          <w:rFonts w:hint="eastAsia"/>
          <w:lang w:val="en-US" w:eastAsia="zh-CN"/>
        </w:rPr>
        <w:t>2）</w:t>
      </w:r>
      <w:r>
        <w:t>原始策略（无评分分层）：所有通过信用&amp;反欺诈规则的用户统一给予月收入5倍额度，利率18%，期限12个月。历史通过率80%，整体坏账率（逾期30天以上）为6%，每笔平均放款10000元</w:t>
      </w:r>
    </w:p>
    <w:p w14:paraId="43FA6868">
      <w:pPr>
        <w:pStyle w:val="30"/>
        <w:keepNext w:val="0"/>
        <w:keepLines w:val="0"/>
        <w:widowControl/>
        <w:suppressLineNumbers w:val="0"/>
        <w:ind w:left="720"/>
      </w:pPr>
      <w:r>
        <w:rPr>
          <w:rFonts w:hint="eastAsia"/>
          <w:lang w:val="en-US" w:eastAsia="zh-CN"/>
        </w:rPr>
        <w:t>3）</w:t>
      </w:r>
      <w:r>
        <w:t>成本：资金成本6%，运营成本2%，坏账损失6%</w:t>
      </w:r>
    </w:p>
    <w:p w14:paraId="38DCD705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使用分层策略后(差异化额度&amp;定价)：</w:t>
      </w:r>
    </w:p>
    <w:p w14:paraId="544566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51830" cy="821055"/>
            <wp:effectExtent l="0" t="0" r="1270" b="444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821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BF8D01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预测的关键变化:</w:t>
      </w:r>
    </w:p>
    <w:p w14:paraId="1273EE51">
      <w:pPr>
        <w:pStyle w:val="30"/>
        <w:keepNext w:val="0"/>
        <w:keepLines w:val="0"/>
        <w:widowControl/>
        <w:suppressLineNumbers w:val="0"/>
      </w:pPr>
      <w:r>
        <w:t>1). 通过率:在原有通过基础上下降20%，主要是E级直接拒绝和C/D部分拒绝</w:t>
      </w:r>
    </w:p>
    <w:p w14:paraId="6C779967">
      <w:pPr>
        <w:pStyle w:val="30"/>
        <w:keepNext w:val="0"/>
        <w:keepLines w:val="0"/>
        <w:widowControl/>
        <w:suppressLineNumbers w:val="0"/>
      </w:pPr>
      <w:r>
        <w:t>2). 利息:从18%下降到16%，吸引优质客户，降低逆向选择，具体利率指定根据合规以及参考同行和业务具体情况进行调整</w:t>
      </w:r>
    </w:p>
    <w:p w14:paraId="4833F9C5">
      <w:pPr>
        <w:pStyle w:val="30"/>
        <w:keepNext w:val="0"/>
        <w:keepLines w:val="0"/>
        <w:widowControl/>
        <w:suppressLineNumbers w:val="0"/>
      </w:pPr>
      <w:r>
        <w:t>3). 坏账：坏账从6%下降到3.6%</w:t>
      </w:r>
    </w:p>
    <w:p w14:paraId="6F0EA96A">
      <w:pPr>
        <w:pStyle w:val="30"/>
        <w:keepNext w:val="0"/>
        <w:keepLines w:val="0"/>
        <w:widowControl/>
        <w:suppressLineNumbers w:val="0"/>
      </w:pPr>
      <w:r>
        <w:t>4).收益：GMV从1000万增长到1248万，利润率从4%增长到4.4%，利润从40万提升到54.8%万</w:t>
      </w:r>
    </w:p>
    <w:p w14:paraId="0FBBCF95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 xml:space="preserve">分层后结论: </w:t>
      </w:r>
    </w:p>
    <w:p w14:paraId="03E96D1C">
      <w:pPr>
        <w:pStyle w:val="30"/>
        <w:keepNext w:val="0"/>
        <w:keepLines w:val="0"/>
        <w:widowControl/>
        <w:suppressLineNumbers w:val="0"/>
      </w:pPr>
      <w:r>
        <w:t>1). 坏账率从6%降至3.6%，降幅40%  :  拒绝E层（预期坏账15%）+ D层部分拒绝（实际通过率60%），把高风险尾巴切掉</w:t>
      </w:r>
    </w:p>
    <w:p w14:paraId="3333FE13">
      <w:pPr>
        <w:pStyle w:val="30"/>
        <w:keepNext w:val="0"/>
        <w:keepLines w:val="0"/>
        <w:widowControl/>
        <w:suppressLineNumbers w:val="0"/>
      </w:pPr>
      <w:r>
        <w:t xml:space="preserve">2). 利润从40万提升至55万，增长37%   :给A/B/C层更高额度（虽利率略降，但规模扩大+坏账减少），D层适当提价覆盖风险 </w:t>
      </w:r>
    </w:p>
    <w:p w14:paraId="01FF92CF">
      <w:pPr>
        <w:pStyle w:val="30"/>
        <w:keepNext w:val="0"/>
        <w:keepLines w:val="0"/>
        <w:widowControl/>
        <w:suppressLineNumbers w:val="0"/>
      </w:pPr>
      <w:r>
        <w:t>3). 从一刀切到差异化额度与定价，实现收益最大化:</w:t>
      </w:r>
    </w:p>
    <w:p w14:paraId="54EC6AFE">
      <w:pPr>
        <w:pStyle w:val="30"/>
        <w:keepNext w:val="0"/>
        <w:keepLines w:val="0"/>
        <w:widowControl/>
        <w:suppressLineNumbers w:val="0"/>
        <w:ind w:left="720"/>
      </w:pPr>
      <w:r>
        <w:t xml:space="preserve">低风险（A/B层）：高额度+低利率 → 赚规模，稳利润 </w:t>
      </w:r>
    </w:p>
    <w:p w14:paraId="0FCED040">
      <w:pPr>
        <w:pStyle w:val="30"/>
        <w:keepNext w:val="0"/>
        <w:keepLines w:val="0"/>
        <w:widowControl/>
        <w:suppressLineNumbers w:val="0"/>
        <w:ind w:left="720"/>
      </w:pPr>
      <w:r>
        <w:t xml:space="preserve">中风险（C层）：中额度+中高利率 → 赚风险溢价 </w:t>
      </w:r>
    </w:p>
    <w:p w14:paraId="515DCDB1">
      <w:pPr>
        <w:pStyle w:val="30"/>
        <w:keepNext w:val="0"/>
        <w:keepLines w:val="0"/>
        <w:widowControl/>
        <w:suppressLineNumbers w:val="0"/>
        <w:ind w:left="720"/>
      </w:pPr>
      <w:r>
        <w:t xml:space="preserve">中高风险（D层）：实施“低额度、短期限、高定价、强风控”的试探性策略 </w:t>
      </w:r>
    </w:p>
    <w:p w14:paraId="63DC2A39">
      <w:pPr>
        <w:pStyle w:val="30"/>
        <w:keepNext w:val="0"/>
        <w:keepLines w:val="0"/>
        <w:widowControl/>
        <w:suppressLineNumbers w:val="0"/>
        <w:ind w:left="720"/>
      </w:pPr>
      <w:r>
        <w:t>高风险（E层）：直接拒绝 → 止损</w:t>
      </w:r>
    </w:p>
    <w:p w14:paraId="1127573E">
      <w:pPr>
        <w:pStyle w:val="30"/>
        <w:keepNext w:val="0"/>
        <w:keepLines w:val="0"/>
        <w:widowControl/>
        <w:suppressLineNumbers w:val="0"/>
      </w:pPr>
    </w:p>
    <w:p w14:paraId="33826BFF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639B960C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429C9B2A"/>
    <w:p w14:paraId="42E8301E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theme="minorBidi"/>
          <w:b w:val="0"/>
          <w:bCs w:val="0"/>
          <w:color w:val="2E75B6"/>
          <w:kern w:val="0"/>
          <w:sz w:val="21"/>
          <w:szCs w:val="22"/>
          <w:lang w:val="en-US" w:eastAsia="zh-CN" w:bidi="ar-SA"/>
        </w:rPr>
      </w:pPr>
    </w:p>
    <w:p w14:paraId="27AB1C69">
      <w:pPr>
        <w:pStyle w:val="30"/>
        <w:keepNext w:val="0"/>
        <w:keepLines w:val="0"/>
        <w:widowControl/>
        <w:suppressLineNumbers w:val="0"/>
      </w:pPr>
    </w:p>
    <w:p w14:paraId="6D1CE5A7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theme="minorBidi"/>
          <w:b w:val="0"/>
          <w:bCs w:val="0"/>
          <w:color w:val="2E75B6"/>
          <w:sz w:val="21"/>
          <w:szCs w:val="22"/>
          <w:lang w:val="en-US" w:eastAsia="zh-CN" w:bidi="ar-SA"/>
        </w:rPr>
      </w:pPr>
    </w:p>
    <w:p w14:paraId="2EE9D5DA">
      <w:pPr>
        <w:pStyle w:val="30"/>
        <w:keepNext w:val="0"/>
        <w:keepLines w:val="0"/>
        <w:widowControl/>
        <w:suppressLineNumbers w:val="0"/>
      </w:pPr>
    </w:p>
    <w:p w14:paraId="1C60C903">
      <w:pPr>
        <w:rPr>
          <w:rFonts w:hint="default" w:ascii="微软雅黑" w:hAnsi="微软雅黑" w:eastAsia="微软雅黑"/>
          <w:color w:val="2E75B6"/>
          <w:lang w:val="en-US" w:eastAsia="zh-CN"/>
        </w:rPr>
      </w:pPr>
    </w:p>
    <w:p w14:paraId="0A8976C1">
      <w:pPr>
        <w:rPr>
          <w:rFonts w:hint="eastAsia" w:ascii="微软雅黑" w:hAnsi="微软雅黑" w:eastAsia="微软雅黑"/>
          <w:color w:val="2E75B6"/>
          <w:lang w:val="en-US" w:eastAsia="zh-CN"/>
        </w:rPr>
      </w:pPr>
    </w:p>
    <w:p w14:paraId="1CD96BCE">
      <w:pPr>
        <w:rPr>
          <w:rFonts w:hint="default" w:ascii="微软雅黑" w:hAnsi="微软雅黑" w:eastAsia="微软雅黑"/>
          <w:color w:val="2E75B6"/>
          <w:lang w:val="en-US" w:eastAsia="zh-CN"/>
        </w:rPr>
      </w:pPr>
    </w:p>
    <w:p w14:paraId="0C868B68">
      <w:pPr>
        <w:pStyle w:val="3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/>
          <w:color w:val="1F3864"/>
          <w:lang w:val="en-US" w:eastAsia="zh-CN"/>
        </w:rPr>
        <w:t>二</w:t>
      </w:r>
      <w:r>
        <w:rPr>
          <w:rFonts w:ascii="微软雅黑" w:hAnsi="微软雅黑" w:eastAsia="微软雅黑"/>
          <w:color w:val="1F3864"/>
        </w:rPr>
        <w:t>、</w:t>
      </w:r>
      <w:r>
        <w:rPr>
          <w:rFonts w:hint="eastAsia" w:ascii="微软雅黑" w:hAnsi="微软雅黑" w:eastAsia="微软雅黑"/>
          <w:color w:val="1F3864"/>
          <w:lang w:val="en-US" w:eastAsia="zh-CN"/>
        </w:rPr>
        <w:t>项目冷启动</w:t>
      </w:r>
    </w:p>
    <w:p w14:paraId="6DE56448">
      <w:pPr>
        <w:pStyle w:val="4"/>
        <w:rPr>
          <w:rFonts w:ascii="微软雅黑" w:hAnsi="微软雅黑" w:eastAsia="微软雅黑"/>
          <w:color w:val="2E75B6"/>
        </w:rPr>
      </w:pPr>
      <w:r>
        <w:rPr>
          <w:rFonts w:hint="eastAsia" w:ascii="微软雅黑" w:hAnsi="微软雅黑" w:eastAsia="微软雅黑"/>
          <w:color w:val="2E75B6"/>
          <w:lang w:val="en-US" w:eastAsia="zh-CN"/>
        </w:rPr>
        <w:t xml:space="preserve">2.1 </w:t>
      </w:r>
      <w:r>
        <w:rPr>
          <w:rFonts w:ascii="微软雅黑" w:hAnsi="微软雅黑" w:eastAsia="微软雅黑"/>
          <w:color w:val="2E75B6"/>
        </w:rPr>
        <w:t>冷启动的定义</w:t>
      </w:r>
    </w:p>
    <w:p w14:paraId="51B6B6E4">
      <w:pPr>
        <w:ind w:firstLine="440" w:firstLineChars="200"/>
        <w:rPr>
          <w:rFonts w:hint="eastAsia" w:ascii="Arial" w:hAnsi="Arial" w:eastAsia="宋体" w:cs="Arial"/>
          <w:sz w:val="22"/>
          <w:szCs w:val="22"/>
          <w:lang w:val="en-US" w:eastAsia="zh-CN"/>
        </w:rPr>
      </w:pPr>
      <w:r>
        <w:rPr>
          <w:rFonts w:hint="eastAsia" w:ascii="Arial" w:hAnsi="Arial" w:eastAsia="宋体" w:cs="Arial"/>
          <w:sz w:val="22"/>
          <w:szCs w:val="22"/>
          <w:lang w:val="en-US" w:eastAsia="zh-CN"/>
        </w:rPr>
        <w:t>风控策略冷</w:t>
      </w:r>
      <w:r>
        <w:rPr>
          <w:rFonts w:ascii="Arial" w:hAnsi="Arial" w:eastAsia="Arial" w:cs="Arial"/>
          <w:sz w:val="22"/>
          <w:szCs w:val="22"/>
        </w:rPr>
        <w:t>启动是指新产品上线初期或进入新细分市场时，由于缺乏充足的历史数据积累，传统风控</w:t>
      </w:r>
      <w:r>
        <w:rPr>
          <w:rFonts w:hint="eastAsia" w:ascii="Arial" w:hAnsi="Arial" w:eastAsia="宋体" w:cs="Arial"/>
          <w:sz w:val="22"/>
          <w:szCs w:val="22"/>
          <w:lang w:val="en-US" w:eastAsia="zh-CN"/>
        </w:rPr>
        <w:t>规则和</w:t>
      </w:r>
      <w:r>
        <w:rPr>
          <w:rFonts w:ascii="Arial" w:hAnsi="Arial" w:eastAsia="Arial" w:cs="Arial"/>
          <w:sz w:val="22"/>
          <w:szCs w:val="22"/>
        </w:rPr>
        <w:t>模型无法直接应用的</w:t>
      </w:r>
      <w:r>
        <w:rPr>
          <w:rFonts w:hint="eastAsia" w:ascii="Arial" w:hAnsi="Arial" w:eastAsia="宋体" w:cs="Arial"/>
          <w:sz w:val="22"/>
          <w:szCs w:val="22"/>
          <w:lang w:val="en-US" w:eastAsia="zh-CN"/>
        </w:rPr>
        <w:t>初始阶段。</w:t>
      </w:r>
    </w:p>
    <w:p w14:paraId="758E810D">
      <w:pPr>
        <w:pStyle w:val="4"/>
        <w:rPr>
          <w:rFonts w:hint="eastAsia" w:ascii="微软雅黑" w:hAnsi="微软雅黑" w:eastAsia="微软雅黑"/>
          <w:color w:val="2E75B6"/>
          <w:lang w:val="en-US" w:eastAsia="zh-CN"/>
        </w:rPr>
      </w:pPr>
      <w:r>
        <w:rPr>
          <w:rFonts w:hint="eastAsia" w:ascii="微软雅黑" w:hAnsi="微软雅黑" w:eastAsia="微软雅黑"/>
          <w:color w:val="2E75B6"/>
          <w:lang w:val="en-US" w:eastAsia="zh-CN"/>
        </w:rPr>
        <w:t xml:space="preserve">2.2 </w:t>
      </w:r>
      <w:r>
        <w:rPr>
          <w:rFonts w:ascii="微软雅黑" w:hAnsi="微软雅黑" w:eastAsia="微软雅黑"/>
          <w:color w:val="2E75B6"/>
        </w:rPr>
        <w:t>冷启动的</w:t>
      </w:r>
      <w:r>
        <w:rPr>
          <w:rFonts w:hint="eastAsia" w:ascii="微软雅黑" w:hAnsi="微软雅黑" w:eastAsia="微软雅黑"/>
          <w:color w:val="2E75B6"/>
          <w:lang w:val="en-US" w:eastAsia="zh-CN"/>
        </w:rPr>
        <w:t>阶段划分</w:t>
      </w:r>
    </w:p>
    <w:tbl>
      <w:tblPr>
        <w:tblStyle w:val="33"/>
        <w:tblW w:w="764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121"/>
        <w:gridCol w:w="1510"/>
        <w:gridCol w:w="3050"/>
      </w:tblGrid>
      <w:tr w14:paraId="7A41C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9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F4E79"/>
            <w:vAlign w:val="bottom"/>
          </w:tcPr>
          <w:p w14:paraId="3F164C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Arial" w:hAnsi="Arial" w:eastAsia="宋体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阶段</w:t>
            </w:r>
          </w:p>
        </w:tc>
        <w:tc>
          <w:tcPr>
            <w:tcW w:w="2121" w:type="dxa"/>
            <w:tcBorders>
              <w:top w:val="single" w:color="CCCCCC" w:sz="8" w:space="0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1F4E79"/>
            <w:vAlign w:val="bottom"/>
          </w:tcPr>
          <w:p w14:paraId="5D5CB5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时间范围</w:t>
            </w:r>
          </w:p>
        </w:tc>
        <w:tc>
          <w:tcPr>
            <w:tcW w:w="1510" w:type="dxa"/>
            <w:tcBorders>
              <w:top w:val="single" w:color="CCCCCC" w:sz="8" w:space="0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1F4E79"/>
            <w:vAlign w:val="bottom"/>
          </w:tcPr>
          <w:p w14:paraId="6DA725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数据特征</w:t>
            </w:r>
          </w:p>
        </w:tc>
        <w:tc>
          <w:tcPr>
            <w:tcW w:w="3050" w:type="dxa"/>
            <w:tcBorders>
              <w:top w:val="single" w:color="CCCCCC" w:sz="8" w:space="0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1F4E79"/>
            <w:vAlign w:val="bottom"/>
          </w:tcPr>
          <w:p w14:paraId="13C326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核心策略目标</w:t>
            </w:r>
          </w:p>
        </w:tc>
      </w:tr>
      <w:tr w14:paraId="21234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60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top"/>
          </w:tcPr>
          <w:p w14:paraId="4E26B3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极冷期</w:t>
            </w:r>
          </w:p>
        </w:tc>
        <w:tc>
          <w:tcPr>
            <w:tcW w:w="2121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top"/>
          </w:tcPr>
          <w:p w14:paraId="737FAFC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第1-3个月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top"/>
          </w:tcPr>
          <w:p w14:paraId="76BA34C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数据极少</w:t>
            </w:r>
          </w:p>
        </w:tc>
        <w:tc>
          <w:tcPr>
            <w:tcW w:w="3050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top"/>
          </w:tcPr>
          <w:p w14:paraId="3FEFDEB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严格准入，防黑产</w:t>
            </w:r>
          </w:p>
        </w:tc>
      </w:tr>
      <w:tr w14:paraId="3E5D3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960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142E75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预热期</w:t>
            </w:r>
          </w:p>
        </w:tc>
        <w:tc>
          <w:tcPr>
            <w:tcW w:w="2121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2FA4E55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第4-6个月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7BAC38E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数据积累</w:t>
            </w:r>
          </w:p>
        </w:tc>
        <w:tc>
          <w:tcPr>
            <w:tcW w:w="3050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top"/>
          </w:tcPr>
          <w:p w14:paraId="61BD12A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动态调整，小步快跑</w:t>
            </w:r>
          </w:p>
        </w:tc>
      </w:tr>
      <w:tr w14:paraId="5C303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960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top"/>
          </w:tcPr>
          <w:p w14:paraId="207842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成长期</w:t>
            </w:r>
          </w:p>
        </w:tc>
        <w:tc>
          <w:tcPr>
            <w:tcW w:w="2121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top"/>
          </w:tcPr>
          <w:p w14:paraId="42247DB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第7-12个月</w:t>
            </w:r>
          </w:p>
        </w:tc>
        <w:tc>
          <w:tcPr>
            <w:tcW w:w="1510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top"/>
          </w:tcPr>
          <w:p w14:paraId="0B15EEA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数据较充分</w:t>
            </w:r>
          </w:p>
        </w:tc>
        <w:tc>
          <w:tcPr>
            <w:tcW w:w="3050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top"/>
          </w:tcPr>
          <w:p w14:paraId="42B1504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模型切换，精细化运营</w:t>
            </w:r>
          </w:p>
        </w:tc>
      </w:tr>
    </w:tbl>
    <w:p w14:paraId="69B12EF1">
      <w:pPr>
        <w:rPr>
          <w:rFonts w:hint="default"/>
          <w:lang w:val="en-US" w:eastAsia="zh-CN"/>
        </w:rPr>
      </w:pPr>
    </w:p>
    <w:p w14:paraId="6612B389">
      <w:pPr>
        <w:pStyle w:val="4"/>
        <w:rPr>
          <w:rFonts w:hint="eastAsia" w:ascii="微软雅黑" w:hAnsi="微软雅黑" w:eastAsia="微软雅黑"/>
          <w:color w:val="2E75B6"/>
          <w:lang w:val="en-US" w:eastAsia="zh-CN"/>
        </w:rPr>
      </w:pPr>
      <w:r>
        <w:rPr>
          <w:rFonts w:hint="eastAsia" w:ascii="微软雅黑" w:hAnsi="微软雅黑" w:eastAsia="微软雅黑"/>
          <w:color w:val="2E75B6"/>
          <w:lang w:val="en-US" w:eastAsia="zh-CN"/>
        </w:rPr>
        <w:t xml:space="preserve">2.3 </w:t>
      </w:r>
      <w:r>
        <w:rPr>
          <w:rFonts w:ascii="微软雅黑" w:hAnsi="微软雅黑" w:eastAsia="微软雅黑"/>
          <w:color w:val="2E75B6"/>
        </w:rPr>
        <w:t>冷启动</w:t>
      </w:r>
      <w:r>
        <w:rPr>
          <w:rFonts w:hint="eastAsia" w:ascii="微软雅黑" w:hAnsi="微软雅黑" w:eastAsia="微软雅黑"/>
          <w:color w:val="2E75B6"/>
          <w:lang w:val="en-US" w:eastAsia="zh-CN"/>
        </w:rPr>
        <w:t>风控核心目标</w:t>
      </w:r>
    </w:p>
    <w:p w14:paraId="1000E2BE">
      <w:pPr>
        <w:rPr>
          <w:rFonts w:hint="eastAsia"/>
          <w:color w:val="2E75B6"/>
          <w:lang w:val="en-US" w:eastAsia="zh-CN"/>
        </w:rPr>
      </w:pPr>
      <w:r>
        <w:rPr>
          <w:rFonts w:hint="eastAsia"/>
          <w:color w:val="2E75B6"/>
          <w:lang w:val="en-US" w:eastAsia="zh-CN"/>
        </w:rPr>
        <w:t>2.3.1 确定产品人群目标</w:t>
      </w:r>
    </w:p>
    <w:p w14:paraId="06EF1C00">
      <w:pPr>
        <w:ind w:firstLine="440" w:firstLineChars="200"/>
        <w:rPr>
          <w:rFonts w:hint="default" w:ascii="Arial" w:hAnsi="Arial" w:eastAsia="宋体" w:cs="Arial"/>
          <w:sz w:val="22"/>
          <w:szCs w:val="22"/>
          <w:lang w:val="en-US" w:eastAsia="zh-CN"/>
        </w:rPr>
      </w:pPr>
      <w:r>
        <w:rPr>
          <w:rFonts w:hint="eastAsia" w:ascii="Arial" w:hAnsi="Arial" w:eastAsia="宋体" w:cs="Arial"/>
          <w:sz w:val="22"/>
          <w:szCs w:val="22"/>
          <w:lang w:val="en-US" w:eastAsia="zh-CN"/>
        </w:rPr>
        <w:t>不同的产品人群不一样，对应的策略使用数据的方式也不一样，如信用卡主要面向优质人群，消费金融聚焦白领和稳定收入的人群，二XJD则主要服务次级/非优质信用客群</w:t>
      </w:r>
    </w:p>
    <w:p w14:paraId="59F11F77">
      <w:pPr>
        <w:rPr>
          <w:rFonts w:hint="eastAsia"/>
          <w:color w:val="2E75B6"/>
          <w:lang w:val="en-US" w:eastAsia="zh-CN"/>
        </w:rPr>
      </w:pPr>
      <w:r>
        <w:rPr>
          <w:rFonts w:hint="eastAsia"/>
          <w:color w:val="2E75B6"/>
          <w:lang w:val="en-US" w:eastAsia="zh-CN"/>
        </w:rPr>
        <w:t>2.3.2 主要风控指标</w:t>
      </w:r>
    </w:p>
    <w:p w14:paraId="235503ED">
      <w:pPr>
        <w:rPr>
          <w:rFonts w:hint="eastAsia" w:ascii="Arial" w:hAnsi="Arial" w:eastAsia="宋体" w:cs="Arial"/>
          <w:sz w:val="22"/>
          <w:szCs w:val="22"/>
          <w:lang w:val="en-US" w:eastAsia="zh-CN"/>
        </w:rPr>
      </w:pPr>
      <w:r>
        <w:rPr>
          <w:rFonts w:hint="eastAsia"/>
          <w:color w:val="2E75B6"/>
          <w:lang w:val="en-US" w:eastAsia="zh-CN"/>
        </w:rPr>
        <w:t xml:space="preserve">      </w:t>
      </w:r>
      <w:r>
        <w:rPr>
          <w:rFonts w:hint="eastAsia" w:ascii="Arial" w:hAnsi="Arial" w:eastAsia="宋体" w:cs="Arial"/>
          <w:sz w:val="22"/>
          <w:szCs w:val="22"/>
          <w:lang w:val="en-US" w:eastAsia="zh-CN"/>
        </w:rPr>
        <w:t xml:space="preserve"> 参考市场上同类型产品的授信额度/定价/通过率/坏账等指标</w:t>
      </w:r>
    </w:p>
    <w:p w14:paraId="59478E6C">
      <w:pPr>
        <w:rPr>
          <w:rFonts w:hint="eastAsia"/>
          <w:color w:val="2E75B6"/>
          <w:lang w:val="en-US" w:eastAsia="zh-CN"/>
        </w:rPr>
      </w:pPr>
      <w:r>
        <w:rPr>
          <w:rFonts w:hint="eastAsia"/>
          <w:color w:val="2E75B6"/>
          <w:lang w:val="en-US" w:eastAsia="zh-CN"/>
        </w:rPr>
        <w:t>2.3.3 策略常用到的特征(若前期有预算，可以控制节奏进行测量空跑，收集数据)</w:t>
      </w:r>
    </w:p>
    <w:p w14:paraId="4169E1B8">
      <w:pPr>
        <w:rPr>
          <w:rFonts w:hint="eastAsia" w:ascii="Arial" w:hAnsi="Arial" w:eastAsia="宋体" w:cs="Arial"/>
          <w:sz w:val="22"/>
          <w:szCs w:val="22"/>
          <w:lang w:val="en-US" w:eastAsia="zh-CN"/>
        </w:rPr>
      </w:pPr>
      <w:r>
        <w:rPr>
          <w:rFonts w:hint="eastAsia" w:ascii="Arial" w:hAnsi="Arial" w:eastAsia="宋体" w:cs="Arial"/>
          <w:sz w:val="22"/>
          <w:szCs w:val="22"/>
          <w:lang w:val="en-US" w:eastAsia="zh-CN"/>
        </w:rPr>
        <w:t>1). 用户基本数据：如年龄/身份校验/活体检测等</w:t>
      </w:r>
    </w:p>
    <w:p w14:paraId="64DB3A1B">
      <w:pPr>
        <w:rPr>
          <w:rFonts w:hint="eastAsia" w:ascii="Arial" w:hAnsi="Arial" w:eastAsia="宋体" w:cs="Arial"/>
          <w:sz w:val="22"/>
          <w:szCs w:val="22"/>
          <w:lang w:val="en-US" w:eastAsia="zh-CN"/>
        </w:rPr>
      </w:pPr>
      <w:r>
        <w:rPr>
          <w:rFonts w:hint="eastAsia" w:ascii="Arial" w:hAnsi="Arial" w:eastAsia="宋体" w:cs="Arial"/>
          <w:sz w:val="22"/>
          <w:szCs w:val="22"/>
          <w:lang w:val="en-US" w:eastAsia="zh-CN"/>
        </w:rPr>
        <w:t>2). 三方数据：征信报告/多头/当前逾期等</w:t>
      </w:r>
    </w:p>
    <w:p w14:paraId="7E680E5B">
      <w:pPr>
        <w:rPr>
          <w:rFonts w:hint="eastAsia" w:ascii="Arial" w:hAnsi="Arial" w:eastAsia="宋体" w:cs="Arial"/>
          <w:sz w:val="22"/>
          <w:szCs w:val="22"/>
          <w:lang w:val="en-US" w:eastAsia="zh-CN"/>
        </w:rPr>
      </w:pPr>
      <w:r>
        <w:rPr>
          <w:rFonts w:hint="eastAsia" w:ascii="Arial" w:hAnsi="Arial" w:eastAsia="宋体" w:cs="Arial"/>
          <w:sz w:val="22"/>
          <w:szCs w:val="22"/>
          <w:lang w:val="en-US" w:eastAsia="zh-CN"/>
        </w:rPr>
        <w:t>3). 行为数据:applist/sms/运营商等</w:t>
      </w:r>
    </w:p>
    <w:p w14:paraId="0914C82E">
      <w:pPr>
        <w:rPr>
          <w:rFonts w:hint="eastAsia" w:ascii="Arial" w:hAnsi="Arial" w:eastAsia="宋体" w:cs="Arial"/>
          <w:sz w:val="22"/>
          <w:szCs w:val="22"/>
          <w:lang w:val="en-US" w:eastAsia="zh-CN"/>
        </w:rPr>
      </w:pPr>
      <w:r>
        <w:rPr>
          <w:rFonts w:hint="eastAsia" w:ascii="Arial" w:hAnsi="Arial" w:eastAsia="宋体" w:cs="Arial"/>
          <w:sz w:val="22"/>
          <w:szCs w:val="22"/>
          <w:lang w:val="en-US" w:eastAsia="zh-CN"/>
        </w:rPr>
        <w:t>4). 还款能力：收入证明/公积金等</w:t>
      </w:r>
    </w:p>
    <w:p w14:paraId="7E11621F">
      <w:pPr>
        <w:pStyle w:val="4"/>
        <w:rPr>
          <w:rFonts w:hint="eastAsia" w:ascii="微软雅黑" w:hAnsi="微软雅黑" w:eastAsia="微软雅黑"/>
          <w:color w:val="2E75B6"/>
          <w:lang w:val="en-US" w:eastAsia="zh-CN"/>
        </w:rPr>
      </w:pPr>
      <w:r>
        <w:rPr>
          <w:rFonts w:hint="eastAsia" w:ascii="微软雅黑" w:hAnsi="微软雅黑" w:eastAsia="微软雅黑"/>
          <w:color w:val="2E75B6"/>
          <w:lang w:val="en-US" w:eastAsia="zh-CN"/>
        </w:rPr>
        <w:t>2.4 设计某海外信贷产品</w:t>
      </w:r>
    </w:p>
    <w:p w14:paraId="25BDF76B">
      <w:pPr>
        <w:rPr>
          <w:rFonts w:hint="default" w:ascii="Arial" w:hAnsi="Arial" w:eastAsia="宋体" w:cs="Arial"/>
          <w:sz w:val="22"/>
          <w:szCs w:val="22"/>
          <w:lang w:val="en-US" w:eastAsia="zh-CN"/>
        </w:rPr>
      </w:pPr>
      <w:r>
        <w:rPr>
          <w:rFonts w:hint="eastAsia" w:ascii="Arial" w:hAnsi="Arial" w:eastAsia="宋体" w:cs="Arial"/>
          <w:sz w:val="22"/>
          <w:szCs w:val="22"/>
          <w:lang w:val="en-US" w:eastAsia="zh-CN"/>
        </w:rPr>
        <w:t>详情见:</w:t>
      </w:r>
      <w:r>
        <w:rPr>
          <w:rFonts w:hint="eastAsia" w:ascii="Arial" w:hAnsi="Arial" w:eastAsia="宋体" w:cs="Arial"/>
          <w:color w:val="FF0000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eastAsia="宋体" w:cs="Arial"/>
          <w:color w:val="FF0000"/>
          <w:sz w:val="22"/>
          <w:szCs w:val="22"/>
          <w:lang w:val="en-US" w:eastAsia="zh-CN"/>
        </w:rPr>
        <w:t>“</w:t>
      </w:r>
      <w:r>
        <w:rPr>
          <w:rFonts w:hint="eastAsia" w:ascii="Arial" w:hAnsi="Arial" w:eastAsia="宋体" w:cs="Arial"/>
          <w:color w:val="FF0000"/>
          <w:sz w:val="22"/>
          <w:szCs w:val="22"/>
          <w:lang w:val="en-US" w:eastAsia="zh-CN"/>
        </w:rPr>
        <w:t>02_贷前准入与信用评估V2</w:t>
      </w:r>
      <w:r>
        <w:rPr>
          <w:rFonts w:hint="default" w:ascii="Arial" w:hAnsi="Arial" w:eastAsia="宋体" w:cs="Arial"/>
          <w:color w:val="FF0000"/>
          <w:sz w:val="22"/>
          <w:szCs w:val="22"/>
          <w:lang w:val="en-US" w:eastAsia="zh-CN"/>
        </w:rPr>
        <w:t>”</w:t>
      </w:r>
      <w:r>
        <w:rPr>
          <w:rFonts w:hint="eastAsia" w:ascii="Arial" w:hAnsi="Arial" w:eastAsia="宋体" w:cs="Arial"/>
          <w:color w:val="FF0000"/>
          <w:sz w:val="22"/>
          <w:szCs w:val="22"/>
          <w:lang w:val="en-US" w:eastAsia="zh-CN"/>
        </w:rPr>
        <w:t xml:space="preserve"> excel中的</w:t>
      </w:r>
      <w:r>
        <w:rPr>
          <w:rFonts w:hint="default" w:ascii="Arial" w:hAnsi="Arial" w:eastAsia="宋体" w:cs="Arial"/>
          <w:color w:val="FF0000"/>
          <w:sz w:val="22"/>
          <w:szCs w:val="22"/>
          <w:lang w:val="en-US" w:eastAsia="zh-CN"/>
        </w:rPr>
        <w:t>”</w:t>
      </w:r>
      <w:r>
        <w:rPr>
          <w:rFonts w:hint="eastAsia" w:ascii="Arial" w:hAnsi="Arial" w:eastAsia="宋体" w:cs="Arial"/>
          <w:color w:val="FF0000"/>
          <w:sz w:val="22"/>
          <w:szCs w:val="22"/>
          <w:lang w:val="en-US" w:eastAsia="zh-CN"/>
        </w:rPr>
        <w:t>2.冷启动“ sheet名称</w:t>
      </w:r>
    </w:p>
    <w:p w14:paraId="67247DC2">
      <w:pPr>
        <w:rPr>
          <w:rFonts w:hint="default"/>
          <w:color w:val="2E75B6"/>
          <w:lang w:val="en-US" w:eastAsia="zh-CN"/>
        </w:rPr>
      </w:pPr>
    </w:p>
    <w:p w14:paraId="56D83DA1">
      <w:pPr>
        <w:rPr>
          <w:rFonts w:hint="default"/>
          <w:lang w:val="en-US" w:eastAsia="zh-CN"/>
        </w:rPr>
      </w:pPr>
    </w:p>
    <w:p w14:paraId="334E1082">
      <w:pPr>
        <w:ind w:firstLine="440" w:firstLineChars="200"/>
        <w:rPr>
          <w:rFonts w:hint="default" w:ascii="Arial" w:hAnsi="Arial" w:eastAsia="宋体" w:cs="Arial"/>
          <w:sz w:val="22"/>
          <w:szCs w:val="22"/>
          <w:lang w:val="en-US" w:eastAsia="zh-CN"/>
        </w:rPr>
      </w:pPr>
    </w:p>
    <w:p w14:paraId="0FB64204">
      <w:pPr>
        <w:pStyle w:val="3"/>
        <w:numPr>
          <w:ilvl w:val="0"/>
          <w:numId w:val="8"/>
        </w:numPr>
        <w:rPr>
          <w:rFonts w:hint="eastAsia" w:ascii="微软雅黑" w:hAnsi="微软雅黑" w:eastAsia="微软雅黑"/>
          <w:color w:val="1F3864"/>
          <w:lang w:val="en-US" w:eastAsia="zh-CN"/>
        </w:rPr>
      </w:pPr>
      <w:r>
        <w:rPr>
          <w:rFonts w:hint="eastAsia" w:ascii="微软雅黑" w:hAnsi="微软雅黑" w:eastAsia="微软雅黑"/>
          <w:color w:val="1F3864"/>
          <w:lang w:val="en-US" w:eastAsia="zh-CN"/>
        </w:rPr>
        <w:t>策略优化Swap in&amp;out</w:t>
      </w:r>
    </w:p>
    <w:p w14:paraId="6B1B28F8">
      <w:pPr>
        <w:pStyle w:val="4"/>
        <w:rPr>
          <w:rFonts w:hint="default"/>
          <w:lang w:val="en-US" w:eastAsia="zh-CN"/>
        </w:rPr>
      </w:pPr>
      <w:r>
        <w:rPr>
          <w:rFonts w:ascii="微软雅黑" w:hAnsi="微软雅黑" w:eastAsia="微软雅黑"/>
          <w:color w:val="2E75B6"/>
        </w:rPr>
        <w:t>3.</w:t>
      </w:r>
      <w:r>
        <w:rPr>
          <w:rFonts w:hint="eastAsia" w:ascii="微软雅黑" w:hAnsi="微软雅黑" w:eastAsia="微软雅黑"/>
          <w:color w:val="2E75B6"/>
          <w:lang w:val="en-US" w:eastAsia="zh-CN"/>
        </w:rPr>
        <w:t>1</w:t>
      </w:r>
      <w:r>
        <w:rPr>
          <w:rFonts w:ascii="微软雅黑" w:hAnsi="微软雅黑" w:eastAsia="微软雅黑"/>
          <w:color w:val="2E75B6"/>
        </w:rPr>
        <w:t xml:space="preserve"> </w:t>
      </w:r>
      <w:r>
        <w:rPr>
          <w:rFonts w:hint="eastAsia" w:ascii="微软雅黑" w:hAnsi="微软雅黑" w:eastAsia="微软雅黑"/>
          <w:color w:val="2E75B6"/>
          <w:lang w:val="en-US" w:eastAsia="zh-CN"/>
        </w:rPr>
        <w:t>什么是换入换出？</w:t>
      </w:r>
    </w:p>
    <w:p w14:paraId="34C79CCA">
      <w:pPr>
        <w:spacing w:after="180" w:line="360" w:lineRule="auto"/>
      </w:pPr>
      <w:r>
        <w:rPr>
          <w:sz w:val="24"/>
          <w:szCs w:val="24"/>
        </w:rPr>
        <w:t>在对信贷策略进行优化时，我们通常会把所有用户分成四类——也就是下表中的四个格子：</w:t>
      </w:r>
    </w:p>
    <w:p w14:paraId="15B0F5A7">
      <w:pPr>
        <w:spacing w:after="120"/>
      </w:pPr>
    </w:p>
    <w:tbl>
      <w:tblPr>
        <w:tblStyle w:val="3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3385"/>
        <w:gridCol w:w="3385"/>
      </w:tblGrid>
      <w:tr w14:paraId="7F34A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2D3C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用户分类</w:t>
            </w:r>
          </w:p>
        </w:tc>
        <w:tc>
          <w:tcPr>
            <w:tcW w:w="33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679D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新策略：通过</w:t>
            </w:r>
          </w:p>
        </w:tc>
        <w:tc>
          <w:tcPr>
            <w:tcW w:w="33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BD4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新策略：拒绝</w:t>
            </w:r>
          </w:p>
        </w:tc>
      </w:tr>
      <w:tr w14:paraId="438FA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0DA5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旧策略：通过</w:t>
            </w:r>
          </w:p>
        </w:tc>
        <w:tc>
          <w:tcPr>
            <w:tcW w:w="33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1FB60">
            <w:pPr>
              <w:jc w:val="center"/>
            </w:pPr>
            <w:r>
              <w:rPr>
                <w:sz w:val="22"/>
                <w:szCs w:val="22"/>
              </w:rPr>
              <w:t>All In（都通过，不变）</w:t>
            </w:r>
          </w:p>
        </w:tc>
        <w:tc>
          <w:tcPr>
            <w:tcW w:w="33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D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2833E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Swap Out（换出）</w:t>
            </w:r>
          </w:p>
        </w:tc>
      </w:tr>
      <w:tr w14:paraId="522B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1AFA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旧策略：拒绝</w:t>
            </w:r>
          </w:p>
        </w:tc>
        <w:tc>
          <w:tcPr>
            <w:tcW w:w="33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8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C800E"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>Swap In（换入）</w:t>
            </w:r>
          </w:p>
        </w:tc>
        <w:tc>
          <w:tcPr>
            <w:tcW w:w="33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F41A9">
            <w:pPr>
              <w:jc w:val="center"/>
            </w:pPr>
            <w:r>
              <w:rPr>
                <w:sz w:val="22"/>
                <w:szCs w:val="22"/>
              </w:rPr>
              <w:t>All Out（都拒绝，不变）</w:t>
            </w:r>
          </w:p>
        </w:tc>
      </w:tr>
    </w:tbl>
    <w:p w14:paraId="42DFE37A">
      <w:pPr>
        <w:spacing w:before="80" w:after="240"/>
        <w:jc w:val="center"/>
      </w:pPr>
      <w:r>
        <w:rPr>
          <w:i/>
          <w:iCs/>
          <w:color w:val="888888"/>
          <w:sz w:val="20"/>
          <w:szCs w:val="20"/>
        </w:rPr>
        <w:t>表1-1：新旧策略下的用户四象限分类</w:t>
      </w:r>
    </w:p>
    <w:p w14:paraId="51FB7B7A">
      <w:pPr>
        <w:spacing w:after="180" w:line="360" w:lineRule="auto"/>
      </w:pPr>
      <w:r>
        <w:rPr>
          <w:sz w:val="24"/>
          <w:szCs w:val="24"/>
        </w:rPr>
        <w:t>All In 和 All Out 的用户，新旧策略结果一致，不是我们重点关注的对象。我们真正关注的，是那些被“换掉”的用户：</w:t>
      </w:r>
    </w:p>
    <w:p w14:paraId="2D2568DD">
      <w:pPr>
        <w:spacing w:before="100" w:after="100"/>
      </w:pPr>
      <w:r>
        <w:rPr>
          <w:b/>
          <w:bCs/>
          <w:color w:val="27AE60"/>
          <w:sz w:val="24"/>
          <w:szCs w:val="24"/>
        </w:rPr>
        <w:t>Swap In（换入）：</w:t>
      </w:r>
      <w:r>
        <w:rPr>
          <w:sz w:val="24"/>
          <w:szCs w:val="24"/>
        </w:rPr>
        <w:t xml:space="preserve"> 旧策略拒绝、新策略通过——原来不让进来，现在放进来的用户。</w:t>
      </w:r>
    </w:p>
    <w:p w14:paraId="5DBF849D">
      <w:pPr>
        <w:spacing w:after="200"/>
      </w:pPr>
      <w:r>
        <w:rPr>
          <w:b/>
          <w:bCs/>
          <w:color w:val="C0392B"/>
          <w:sz w:val="24"/>
          <w:szCs w:val="24"/>
        </w:rPr>
        <w:t>Swap Out（换出）：</w:t>
      </w:r>
      <w:r>
        <w:rPr>
          <w:sz w:val="24"/>
          <w:szCs w:val="24"/>
        </w:rPr>
        <w:t xml:space="preserve"> 旧策略通过、新策略拒绝——原来放进来了，现在踢出去的用户。</w:t>
      </w:r>
    </w:p>
    <w:p w14:paraId="7E9A647D">
      <w:pPr>
        <w:shd w:val="clear" w:fill="EAF4FB"/>
        <w:spacing w:before="120" w:after="200"/>
        <w:ind w:left="400"/>
      </w:pPr>
      <w:r>
        <w:rPr>
          <w:i/>
          <w:iCs/>
          <w:color w:val="2E75B6"/>
          <w:sz w:val="22"/>
          <w:szCs w:val="22"/>
        </w:rPr>
        <w:t>💡 换入换出的本质，是通过“置换”一部分用户，让整体用户群体在风险或通过率上达到新的平衡。</w:t>
      </w:r>
    </w:p>
    <w:p w14:paraId="6A1829A6">
      <w:pPr>
        <w:spacing w:after="300"/>
      </w:pPr>
    </w:p>
    <w:p w14:paraId="12908AEB">
      <w:pPr>
        <w:pStyle w:val="4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color w:val="2E75B6"/>
        </w:rPr>
        <w:t>3.</w:t>
      </w:r>
      <w:r>
        <w:rPr>
          <w:rFonts w:hint="eastAsia" w:ascii="微软雅黑" w:hAnsi="微软雅黑" w:eastAsia="微软雅黑"/>
          <w:color w:val="2E75B6"/>
          <w:lang w:val="en-US" w:eastAsia="zh-CN"/>
        </w:rPr>
        <w:t>2</w:t>
      </w:r>
      <w:r>
        <w:rPr>
          <w:rFonts w:ascii="微软雅黑" w:hAnsi="微软雅黑" w:eastAsia="微软雅黑"/>
          <w:color w:val="2E75B6"/>
        </w:rPr>
        <w:t xml:space="preserve"> </w:t>
      </w:r>
      <w:r>
        <w:rPr>
          <w:rFonts w:hint="eastAsia" w:ascii="微软雅黑" w:hAnsi="微软雅黑" w:eastAsia="微软雅黑"/>
          <w:color w:val="2E75B6"/>
          <w:lang w:val="en-US" w:eastAsia="zh-CN"/>
        </w:rPr>
        <w:t>两个典型场景应用</w:t>
      </w:r>
    </w:p>
    <w:p w14:paraId="6ADFD64E">
      <w:pPr>
        <w:rPr>
          <w:rFonts w:hint="eastAsia"/>
          <w:lang w:val="en-US" w:eastAsia="zh-CN"/>
        </w:rPr>
      </w:pPr>
    </w:p>
    <w:p w14:paraId="38615D4F">
      <w:pPr>
        <w:pStyle w:val="4"/>
      </w:pPr>
      <w:r>
        <w:t>场景一：通过率不变，风险下降</w:t>
      </w:r>
    </w:p>
    <w:p w14:paraId="50F4F891">
      <w:pPr>
        <w:spacing w:after="180" w:line="360" w:lineRule="auto"/>
      </w:pPr>
      <w:r>
        <w:rPr>
          <w:sz w:val="24"/>
          <w:szCs w:val="24"/>
        </w:rPr>
        <w:t>【目标】：发现</w:t>
      </w:r>
      <w:r>
        <w:rPr>
          <w:rFonts w:hint="eastAsia" w:eastAsia="宋体"/>
          <w:sz w:val="24"/>
          <w:szCs w:val="24"/>
          <w:lang w:eastAsia="zh-CN"/>
        </w:rPr>
        <w:t>坏账</w:t>
      </w:r>
      <w:r>
        <w:rPr>
          <w:sz w:val="24"/>
          <w:szCs w:val="24"/>
        </w:rPr>
        <w:t>率上升，但业务上不允许降低通过率（放款量不能减），怎么办？</w:t>
      </w:r>
    </w:p>
    <w:p w14:paraId="2DB11A4E">
      <w:pPr>
        <w:spacing w:after="180" w:line="360" w:lineRule="auto"/>
      </w:pPr>
      <w:r>
        <w:rPr>
          <w:sz w:val="24"/>
          <w:szCs w:val="24"/>
        </w:rPr>
        <w:t>【方法】：用新模型把原来通过的“高风险用户”（换出），替换成更优质的“低风险用户”（换入）。总通过人数不变，但整体用户质量提升，</w:t>
      </w:r>
      <w:r>
        <w:rPr>
          <w:rFonts w:hint="eastAsia" w:eastAsia="宋体"/>
          <w:sz w:val="24"/>
          <w:szCs w:val="24"/>
          <w:lang w:eastAsia="zh-CN"/>
        </w:rPr>
        <w:t>坏账</w:t>
      </w:r>
      <w:r>
        <w:rPr>
          <w:sz w:val="24"/>
          <w:szCs w:val="24"/>
        </w:rPr>
        <w:t>自然下降。</w:t>
      </w:r>
    </w:p>
    <w:p w14:paraId="335B77FA">
      <w:pPr>
        <w:spacing w:after="120"/>
      </w:pPr>
    </w:p>
    <w:p w14:paraId="22C110C4">
      <w:pPr>
        <w:spacing w:before="160"/>
        <w:jc w:val="center"/>
      </w:pPr>
      <w:r>
        <w:drawing>
          <wp:inline distT="0" distB="0" distL="0" distR="0">
            <wp:extent cx="4762500" cy="16668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AF75">
      <w:pPr>
        <w:spacing w:before="80" w:after="240"/>
        <w:jc w:val="center"/>
      </w:pPr>
      <w:r>
        <w:rPr>
          <w:i/>
          <w:iCs/>
          <w:color w:val="888888"/>
          <w:sz w:val="20"/>
          <w:szCs w:val="20"/>
        </w:rPr>
        <w:t>表2-1：通过率不变、风险下降的效果示例</w:t>
      </w:r>
    </w:p>
    <w:p w14:paraId="7FBC7BA9">
      <w:pPr>
        <w:spacing w:after="180" w:line="360" w:lineRule="auto"/>
      </w:pPr>
      <w:r>
        <w:rPr>
          <w:sz w:val="24"/>
          <w:szCs w:val="24"/>
        </w:rPr>
        <w:t>如上表所示，新旧模型通过率都是30%，但换入换出操作后：</w:t>
      </w:r>
    </w:p>
    <w:p w14:paraId="671AC418">
      <w:pPr>
        <w:pStyle w:val="144"/>
        <w:numPr>
          <w:ilvl w:val="0"/>
          <w:numId w:val="9"/>
        </w:numPr>
        <w:spacing w:after="120"/>
      </w:pPr>
      <w:r>
        <w:rPr>
          <w:sz w:val="24"/>
          <w:szCs w:val="24"/>
        </w:rPr>
        <w:t>预期损失（EL）从 1.6% → 1.4%（</w:t>
      </w:r>
      <w:r>
        <w:rPr>
          <w:rFonts w:hint="eastAsia" w:eastAsia="宋体"/>
          <w:sz w:val="24"/>
          <w:szCs w:val="24"/>
          <w:lang w:eastAsia="zh-CN"/>
        </w:rPr>
        <w:t>坏账</w:t>
      </w:r>
      <w:r>
        <w:rPr>
          <w:sz w:val="24"/>
          <w:szCs w:val="24"/>
        </w:rPr>
        <w:t>降低）</w:t>
      </w:r>
    </w:p>
    <w:p w14:paraId="4A4D0AC4">
      <w:pPr>
        <w:pStyle w:val="144"/>
        <w:numPr>
          <w:ilvl w:val="0"/>
          <w:numId w:val="9"/>
        </w:numPr>
        <w:spacing w:after="120"/>
      </w:pPr>
      <w:r>
        <w:rPr>
          <w:sz w:val="24"/>
          <w:szCs w:val="24"/>
        </w:rPr>
        <w:t>人均授信额度从 2150 → 2250（用户平均质量更好）</w:t>
      </w:r>
    </w:p>
    <w:p w14:paraId="55422BAD">
      <w:pPr>
        <w:spacing w:after="120"/>
      </w:pPr>
    </w:p>
    <w:p w14:paraId="31C019D5">
      <w:pPr>
        <w:shd w:val="clear" w:fill="EAF4FB"/>
        <w:spacing w:before="120" w:after="200"/>
        <w:ind w:left="400"/>
      </w:pPr>
      <w:r>
        <w:rPr>
          <w:i/>
          <w:iCs/>
          <w:color w:val="2E75B6"/>
          <w:sz w:val="22"/>
          <w:szCs w:val="22"/>
        </w:rPr>
        <w:t>💡 对成熟期业务，仅靠换入换出降风险效果有限；配合“差异化授信额度”策略，效果会更加明显。</w:t>
      </w:r>
    </w:p>
    <w:p w14:paraId="3060CDE7">
      <w:pPr>
        <w:spacing w:after="240"/>
      </w:pPr>
    </w:p>
    <w:p w14:paraId="322A96A9">
      <w:pPr>
        <w:pStyle w:val="4"/>
      </w:pPr>
      <w:r>
        <w:t>场景二：风险不变，通过率上升</w:t>
      </w:r>
    </w:p>
    <w:p w14:paraId="75196745">
      <w:pPr>
        <w:spacing w:after="180" w:line="360" w:lineRule="auto"/>
      </w:pPr>
      <w:r>
        <w:rPr>
          <w:sz w:val="24"/>
          <w:szCs w:val="24"/>
        </w:rPr>
        <w:t>【目标】：业务需要扩大放款量，但</w:t>
      </w:r>
      <w:r>
        <w:rPr>
          <w:rFonts w:hint="eastAsia" w:eastAsia="宋体"/>
          <w:sz w:val="24"/>
          <w:szCs w:val="24"/>
          <w:lang w:eastAsia="zh-CN"/>
        </w:rPr>
        <w:t>坏账</w:t>
      </w:r>
      <w:r>
        <w:rPr>
          <w:sz w:val="24"/>
          <w:szCs w:val="24"/>
        </w:rPr>
        <w:t>率不能涨，怎么办？</w:t>
      </w:r>
    </w:p>
    <w:p w14:paraId="001C7619">
      <w:pPr>
        <w:spacing w:after="180" w:line="360" w:lineRule="auto"/>
      </w:pPr>
      <w:r>
        <w:rPr>
          <w:sz w:val="24"/>
          <w:szCs w:val="24"/>
        </w:rPr>
        <w:t>【方法】：用新模型找出更多“潜在的好用户”（换入），同时将原有风险较高的用户（换出），整体通过率提高，</w:t>
      </w:r>
      <w:r>
        <w:rPr>
          <w:rFonts w:hint="eastAsia" w:eastAsia="宋体"/>
          <w:sz w:val="24"/>
          <w:szCs w:val="24"/>
          <w:lang w:eastAsia="zh-CN"/>
        </w:rPr>
        <w:t>坏账</w:t>
      </w:r>
      <w:r>
        <w:rPr>
          <w:sz w:val="24"/>
          <w:szCs w:val="24"/>
        </w:rPr>
        <w:t>率保持稳定。</w:t>
      </w:r>
    </w:p>
    <w:p w14:paraId="1521AF36">
      <w:pPr>
        <w:spacing w:after="120"/>
      </w:pPr>
    </w:p>
    <w:p w14:paraId="565CBAA8">
      <w:pPr>
        <w:spacing w:before="160"/>
        <w:jc w:val="center"/>
      </w:pPr>
      <w:r>
        <w:drawing>
          <wp:inline distT="0" distB="0" distL="0" distR="0">
            <wp:extent cx="4762500" cy="16668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3634">
      <w:pPr>
        <w:spacing w:before="80" w:after="240"/>
        <w:jc w:val="center"/>
      </w:pPr>
      <w:r>
        <w:rPr>
          <w:i/>
          <w:iCs/>
          <w:color w:val="888888"/>
          <w:sz w:val="20"/>
          <w:szCs w:val="20"/>
        </w:rPr>
        <w:t>表2-2：风险不变、通过率上升的效果示例</w:t>
      </w:r>
    </w:p>
    <w:p w14:paraId="26F49640">
      <w:pPr>
        <w:spacing w:after="180" w:line="360" w:lineRule="auto"/>
      </w:pPr>
      <w:r>
        <w:rPr>
          <w:sz w:val="24"/>
          <w:szCs w:val="24"/>
        </w:rPr>
        <w:t>如上表所示，新旧模型的预期损失（EL）均为1.6%，但换入换出操作后：</w:t>
      </w:r>
    </w:p>
    <w:p w14:paraId="0C364D87">
      <w:pPr>
        <w:pStyle w:val="144"/>
        <w:numPr>
          <w:ilvl w:val="0"/>
          <w:numId w:val="9"/>
        </w:numPr>
        <w:spacing w:after="120"/>
      </w:pPr>
      <w:r>
        <w:rPr>
          <w:sz w:val="24"/>
          <w:szCs w:val="24"/>
        </w:rPr>
        <w:t>通过率从 30% → 33%（更多用户获批放款）</w:t>
      </w:r>
    </w:p>
    <w:p w14:paraId="2E59A668">
      <w:pPr>
        <w:pStyle w:val="144"/>
        <w:numPr>
          <w:ilvl w:val="0"/>
          <w:numId w:val="9"/>
        </w:numPr>
        <w:spacing w:after="120"/>
      </w:pPr>
      <w:r>
        <w:rPr>
          <w:sz w:val="24"/>
          <w:szCs w:val="24"/>
        </w:rPr>
        <w:t>人均授信额度从 2150 → 2400（换入用户质量更好，可给更高额度）</w:t>
      </w:r>
    </w:p>
    <w:p w14:paraId="00950AA4">
      <w:pPr>
        <w:spacing w:after="120"/>
      </w:pPr>
    </w:p>
    <w:p w14:paraId="585194EC">
      <w:pPr>
        <w:shd w:val="clear" w:fill="EAF4FB"/>
        <w:spacing w:before="120" w:after="200"/>
        <w:ind w:left="400"/>
      </w:pPr>
      <w:r>
        <w:rPr>
          <w:i/>
          <w:iCs/>
          <w:color w:val="2E75B6"/>
          <w:sz w:val="22"/>
          <w:szCs w:val="22"/>
        </w:rPr>
        <w:t>💡 如果换入用户额度高于换出用户，整体平均授信额度也会自然上升，带来更多业务收入。</w:t>
      </w:r>
    </w:p>
    <w:p w14:paraId="4BC60ED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B85A366">
      <w:pPr>
        <w:pStyle w:val="3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/>
          <w:color w:val="1F3864"/>
          <w:lang w:val="en-US" w:eastAsia="zh-CN"/>
        </w:rPr>
        <w:t>四</w:t>
      </w:r>
      <w:r>
        <w:rPr>
          <w:rFonts w:ascii="微软雅黑" w:hAnsi="微软雅黑" w:eastAsia="微软雅黑"/>
          <w:color w:val="1F3864"/>
        </w:rPr>
        <w:t>、</w:t>
      </w:r>
      <w:r>
        <w:rPr>
          <w:rFonts w:hint="eastAsia" w:ascii="微软雅黑" w:hAnsi="微软雅黑" w:eastAsia="微软雅黑"/>
          <w:color w:val="1F3864"/>
          <w:lang w:val="en-US" w:eastAsia="zh-CN"/>
        </w:rPr>
        <w:t>风控策略之A/B测试</w:t>
      </w:r>
    </w:p>
    <w:p w14:paraId="4D2B6344">
      <w:pPr>
        <w:pStyle w:val="4"/>
      </w:pPr>
      <w:r>
        <w:rPr>
          <w:rFonts w:hint="eastAsia" w:ascii="微软雅黑" w:hAnsi="微软雅黑" w:eastAsia="微软雅黑"/>
          <w:color w:val="2E75B6"/>
          <w:lang w:val="en-US" w:eastAsia="zh-CN"/>
        </w:rPr>
        <w:t>4</w:t>
      </w:r>
      <w:r>
        <w:rPr>
          <w:rFonts w:ascii="微软雅黑" w:hAnsi="微软雅黑" w:eastAsia="微软雅黑"/>
          <w:color w:val="2E75B6"/>
        </w:rPr>
        <w:t xml:space="preserve">.1 </w:t>
      </w:r>
      <w:r>
        <w:rPr>
          <w:rFonts w:ascii="黑体" w:hAnsi="黑体" w:eastAsia="黑体"/>
          <w:b/>
          <w:sz w:val="28"/>
        </w:rPr>
        <w:t>什么是A/B测试</w:t>
      </w:r>
    </w:p>
    <w:p w14:paraId="33555F71">
      <w:pPr>
        <w:ind w:firstLine="480" w:firstLineChars="20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A/B测试，又称对照测试或分流测试，是一种科学的数据驱动决策方法。在风控策略调整中，A/B测试通过将用户随机分为两个或多个组（A组为对照组</w:t>
      </w:r>
      <w:r>
        <w:rPr>
          <w:rFonts w:hint="eastAsia"/>
          <w:b w:val="0"/>
          <w:sz w:val="24"/>
          <w:lang w:val="en-US" w:eastAsia="zh-CN"/>
        </w:rPr>
        <w:t>--入参为原始特征</w:t>
      </w:r>
      <w:r>
        <w:rPr>
          <w:rFonts w:ascii="宋体" w:hAnsi="宋体" w:eastAsia="宋体"/>
          <w:b w:val="0"/>
          <w:sz w:val="24"/>
        </w:rPr>
        <w:t>，B组为实验组</w:t>
      </w:r>
      <w:r>
        <w:rPr>
          <w:rFonts w:hint="eastAsia"/>
          <w:b w:val="0"/>
          <w:sz w:val="24"/>
          <w:lang w:val="en-US" w:eastAsia="zh-CN"/>
        </w:rPr>
        <w:t>--入参为某个特征调整</w:t>
      </w:r>
      <w:r>
        <w:rPr>
          <w:rFonts w:ascii="宋体" w:hAnsi="宋体" w:eastAsia="宋体"/>
          <w:b w:val="0"/>
          <w:sz w:val="24"/>
        </w:rPr>
        <w:t>），分别应用不同的策略或规则，通过对比各组的关键指标表现，来客观评估新策略的有效性和风险影响。</w:t>
      </w:r>
    </w:p>
    <w:p w14:paraId="7BC54DF5">
      <w:pPr>
        <w:pStyle w:val="4"/>
      </w:pPr>
      <w:r>
        <w:rPr>
          <w:rFonts w:hint="eastAsia" w:ascii="微软雅黑" w:hAnsi="微软雅黑" w:eastAsia="微软雅黑"/>
          <w:color w:val="2E75B6"/>
          <w:lang w:val="en-US" w:eastAsia="zh-CN"/>
        </w:rPr>
        <w:t>4</w:t>
      </w:r>
      <w:r>
        <w:rPr>
          <w:rFonts w:ascii="微软雅黑" w:hAnsi="微软雅黑" w:eastAsia="微软雅黑"/>
          <w:color w:val="2E75B6"/>
        </w:rPr>
        <w:t>.</w:t>
      </w:r>
      <w:r>
        <w:rPr>
          <w:rFonts w:hint="eastAsia" w:ascii="微软雅黑" w:hAnsi="微软雅黑" w:eastAsia="微软雅黑"/>
          <w:color w:val="2E75B6"/>
          <w:lang w:val="en-US" w:eastAsia="zh-CN"/>
        </w:rPr>
        <w:t xml:space="preserve">2 </w:t>
      </w:r>
      <w:r>
        <w:rPr>
          <w:rFonts w:ascii="黑体" w:hAnsi="黑体" w:eastAsia="黑体"/>
          <w:b/>
          <w:sz w:val="28"/>
        </w:rPr>
        <w:t>为什么风控策略需要A/B测试</w:t>
      </w:r>
    </w:p>
    <w:p w14:paraId="5961BED9">
      <w:pPr>
        <w:pStyle w:val="14"/>
      </w:pPr>
      <w:r>
        <w:rPr>
          <w:rFonts w:ascii="宋体" w:hAnsi="宋体" w:eastAsia="宋体"/>
          <w:b w:val="0"/>
          <w:sz w:val="24"/>
        </w:rPr>
        <w:t>避免主观判断：</w:t>
      </w:r>
      <w:r>
        <w:rPr>
          <w:rFonts w:hint="eastAsia"/>
          <w:b w:val="0"/>
          <w:sz w:val="24"/>
          <w:lang w:val="en-US" w:eastAsia="zh-CN"/>
        </w:rPr>
        <w:t>依据数据作为基准</w:t>
      </w:r>
      <w:r>
        <w:rPr>
          <w:rFonts w:ascii="宋体" w:hAnsi="宋体" w:eastAsia="宋体"/>
          <w:b w:val="0"/>
          <w:sz w:val="24"/>
        </w:rPr>
        <w:t>，消除决策中的经验主义</w:t>
      </w:r>
    </w:p>
    <w:p w14:paraId="4C49F1B0">
      <w:pPr>
        <w:pStyle w:val="14"/>
      </w:pPr>
      <w:r>
        <w:rPr>
          <w:rFonts w:ascii="宋体" w:hAnsi="宋体" w:eastAsia="宋体"/>
          <w:b w:val="0"/>
          <w:sz w:val="24"/>
        </w:rPr>
        <w:t>降低试错成本：在全量上线前验证策略效果，避免大规模损失</w:t>
      </w:r>
    </w:p>
    <w:p w14:paraId="0688A880">
      <w:pPr>
        <w:pStyle w:val="14"/>
      </w:pPr>
      <w:r>
        <w:rPr>
          <w:rFonts w:ascii="宋体" w:hAnsi="宋体" w:eastAsia="宋体"/>
          <w:b w:val="0"/>
          <w:sz w:val="24"/>
        </w:rPr>
        <w:t>量化风险收益：计算策略调整带来的风险变化和收益影响</w:t>
      </w:r>
    </w:p>
    <w:p w14:paraId="2874D2C1">
      <w:pPr>
        <w:pStyle w:val="14"/>
      </w:pPr>
      <w:r>
        <w:rPr>
          <w:rFonts w:ascii="宋体" w:hAnsi="宋体" w:eastAsia="宋体"/>
          <w:b w:val="0"/>
          <w:sz w:val="24"/>
        </w:rPr>
        <w:t>支持持续优化：建立"假设-测试-验证-迭代"的</w:t>
      </w:r>
      <w:r>
        <w:rPr>
          <w:rFonts w:hint="eastAsia"/>
          <w:b w:val="0"/>
          <w:sz w:val="24"/>
          <w:lang w:val="en-US" w:eastAsia="zh-CN"/>
        </w:rPr>
        <w:t>策略迭代</w:t>
      </w:r>
      <w:r>
        <w:rPr>
          <w:rFonts w:ascii="宋体" w:hAnsi="宋体" w:eastAsia="宋体"/>
          <w:b w:val="0"/>
          <w:sz w:val="24"/>
        </w:rPr>
        <w:t>闭环</w:t>
      </w:r>
    </w:p>
    <w:p w14:paraId="2AF351E7">
      <w:pPr>
        <w:pStyle w:val="14"/>
      </w:pPr>
      <w:r>
        <w:rPr>
          <w:rFonts w:ascii="宋体" w:hAnsi="宋体" w:eastAsia="宋体"/>
          <w:b w:val="0"/>
          <w:sz w:val="24"/>
        </w:rPr>
        <w:t>增强决策信心：基于统计显著性的结果，让决策更加稳健可靠</w:t>
      </w:r>
    </w:p>
    <w:p w14:paraId="5EF24B93">
      <w:pPr>
        <w:pStyle w:val="14"/>
      </w:pPr>
      <w:r>
        <w:rPr>
          <w:rFonts w:ascii="宋体" w:hAnsi="宋体" w:eastAsia="宋体"/>
          <w:b w:val="0"/>
          <w:sz w:val="24"/>
        </w:rPr>
        <w:t>应对监管要求：监管机构越来越强调风控决策的科学性和可解释性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以及决策判断的依据。</w:t>
      </w:r>
    </w:p>
    <w:p w14:paraId="32A62AC7">
      <w:pPr>
        <w:pStyle w:val="4"/>
        <w:rPr>
          <w:rFonts w:hint="eastAsia" w:ascii="黑体" w:hAnsi="黑体" w:eastAsia="黑体"/>
          <w:b/>
          <w:sz w:val="28"/>
          <w:lang w:val="en-US" w:eastAsia="zh-CN"/>
        </w:rPr>
      </w:pPr>
      <w:r>
        <w:rPr>
          <w:rFonts w:hint="eastAsia" w:ascii="微软雅黑" w:hAnsi="微软雅黑" w:eastAsia="微软雅黑"/>
          <w:color w:val="2E75B6"/>
          <w:lang w:val="en-US" w:eastAsia="zh-CN"/>
        </w:rPr>
        <w:t>4</w:t>
      </w:r>
      <w:r>
        <w:rPr>
          <w:rFonts w:ascii="微软雅黑" w:hAnsi="微软雅黑" w:eastAsia="微软雅黑"/>
          <w:color w:val="2E75B6"/>
        </w:rPr>
        <w:t>.</w:t>
      </w:r>
      <w:r>
        <w:rPr>
          <w:rFonts w:hint="eastAsia" w:ascii="微软雅黑" w:hAnsi="微软雅黑" w:eastAsia="微软雅黑"/>
          <w:color w:val="2E75B6"/>
          <w:lang w:val="en-US" w:eastAsia="zh-CN"/>
        </w:rPr>
        <w:t xml:space="preserve">3 </w:t>
      </w:r>
      <w:r>
        <w:rPr>
          <w:rFonts w:ascii="黑体" w:hAnsi="黑体" w:eastAsia="黑体"/>
          <w:b/>
          <w:sz w:val="28"/>
        </w:rPr>
        <w:t>差异化定价A/B测试（优化收益）</w:t>
      </w:r>
      <w:r>
        <w:rPr>
          <w:rFonts w:hint="eastAsia" w:ascii="黑体" w:hAnsi="黑体" w:eastAsia="黑体"/>
          <w:b/>
          <w:sz w:val="28"/>
          <w:lang w:val="en-US" w:eastAsia="zh-CN"/>
        </w:rPr>
        <w:t>案例</w:t>
      </w:r>
    </w:p>
    <w:p w14:paraId="61DD6CB5">
      <w:pPr>
        <w:pStyle w:val="5"/>
      </w:pPr>
      <w:r>
        <w:rPr>
          <w:rFonts w:hint="eastAsia" w:ascii="黑体" w:hAnsi="黑体" w:eastAsia="黑体"/>
          <w:b/>
          <w:sz w:val="26"/>
          <w:lang w:val="en-US" w:eastAsia="zh-CN"/>
        </w:rPr>
        <w:t>4</w:t>
      </w:r>
      <w:r>
        <w:rPr>
          <w:rFonts w:ascii="黑体" w:hAnsi="黑体" w:eastAsia="黑体"/>
          <w:b/>
          <w:sz w:val="26"/>
        </w:rPr>
        <w:t>.3.1 测试背景</w:t>
      </w:r>
    </w:p>
    <w:p w14:paraId="38734CDC">
      <w:r>
        <w:rPr>
          <w:rFonts w:ascii="宋体" w:hAnsi="宋体" w:eastAsia="宋体"/>
          <w:b w:val="0"/>
          <w:sz w:val="24"/>
        </w:rPr>
        <w:t>当前采用统一利率18%，未根据客户风险等级差异化定价。优质客户流失严重（竞品利率可低至12%），同时低风险客户的收益贡献不足。业务部门提出假设：基于信用评分建立差异化定价模型，优质客户低利率留客，高风险客户高利率覆盖风险，可提升整体收益率。</w:t>
      </w:r>
    </w:p>
    <w:p w14:paraId="206EA19F"/>
    <w:p w14:paraId="67902866">
      <w:pPr>
        <w:pStyle w:val="5"/>
      </w:pPr>
      <w:r>
        <w:rPr>
          <w:rFonts w:hint="eastAsia" w:ascii="黑体" w:hAnsi="黑体" w:eastAsia="黑体"/>
          <w:b/>
          <w:sz w:val="26"/>
          <w:lang w:val="en-US" w:eastAsia="zh-CN"/>
        </w:rPr>
        <w:t>4</w:t>
      </w:r>
      <w:r>
        <w:rPr>
          <w:rFonts w:ascii="黑体" w:hAnsi="黑体" w:eastAsia="黑体"/>
          <w:b/>
          <w:sz w:val="26"/>
        </w:rPr>
        <w:t>.3.2 测试方案</w:t>
      </w:r>
    </w:p>
    <w:p w14:paraId="357C7AC0">
      <w:r>
        <w:rPr>
          <w:b/>
        </w:rPr>
        <w:t>【实验设计】</w:t>
      </w:r>
    </w:p>
    <w:p w14:paraId="66E0A54C">
      <w:r>
        <w:rPr>
          <w:rFonts w:ascii="宋体" w:hAnsi="宋体" w:eastAsia="宋体"/>
          <w:b w:val="0"/>
          <w:sz w:val="24"/>
        </w:rPr>
        <w:t>采用A/B对照测试，对照组采用统一利率18%，实验组采用差异化定价模型，对比两组的收益率。</w:t>
      </w:r>
    </w:p>
    <w:p w14:paraId="025003F2">
      <w:pPr>
        <w:pStyle w:val="5"/>
      </w:pPr>
      <w:r>
        <w:rPr>
          <w:rFonts w:hint="eastAsia" w:ascii="黑体" w:hAnsi="黑体" w:eastAsia="黑体"/>
          <w:b/>
          <w:sz w:val="26"/>
          <w:lang w:val="en-US" w:eastAsia="zh-CN"/>
        </w:rPr>
        <w:t>4</w:t>
      </w:r>
      <w:r>
        <w:rPr>
          <w:rFonts w:ascii="黑体" w:hAnsi="黑体" w:eastAsia="黑体"/>
          <w:b/>
          <w:sz w:val="26"/>
        </w:rPr>
        <w:t>.3.</w:t>
      </w:r>
      <w:r>
        <w:rPr>
          <w:rFonts w:hint="eastAsia" w:ascii="黑体" w:hAnsi="黑体" w:eastAsia="黑体"/>
          <w:b/>
          <w:sz w:val="26"/>
          <w:lang w:val="en-US" w:eastAsia="zh-CN"/>
        </w:rPr>
        <w:t>3</w:t>
      </w:r>
      <w:r>
        <w:rPr>
          <w:rFonts w:ascii="黑体" w:hAnsi="黑体" w:eastAsia="黑体"/>
          <w:b/>
          <w:sz w:val="26"/>
        </w:rPr>
        <w:t xml:space="preserve"> 差异化定价矩阵（实验组）</w:t>
      </w:r>
    </w:p>
    <w:tbl>
      <w:tblPr>
        <w:tblStyle w:val="50"/>
        <w:tblW w:w="8940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460"/>
      </w:tblGrid>
      <w:tr w14:paraId="22E5B7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160" w:type="dxa"/>
            <w:shd w:val="clear" w:color="auto" w:fill="4F81BD"/>
          </w:tcPr>
          <w:p w14:paraId="04F7395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信用评分分段</w:t>
            </w:r>
          </w:p>
        </w:tc>
        <w:tc>
          <w:tcPr>
            <w:tcW w:w="2160" w:type="dxa"/>
            <w:shd w:val="clear" w:color="auto" w:fill="4F81BD"/>
          </w:tcPr>
          <w:p w14:paraId="6976A2E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风险等级</w:t>
            </w:r>
          </w:p>
        </w:tc>
        <w:tc>
          <w:tcPr>
            <w:tcW w:w="2160" w:type="dxa"/>
            <w:shd w:val="clear" w:color="auto" w:fill="4F81BD"/>
          </w:tcPr>
          <w:p w14:paraId="5ACA02B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年化利率</w:t>
            </w:r>
          </w:p>
        </w:tc>
        <w:tc>
          <w:tcPr>
            <w:tcW w:w="2460" w:type="dxa"/>
            <w:shd w:val="clear" w:color="auto" w:fill="4F81BD"/>
          </w:tcPr>
          <w:p w14:paraId="7B62AF6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预期占比</w:t>
            </w:r>
          </w:p>
        </w:tc>
      </w:tr>
      <w:tr w14:paraId="155323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6951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≥750</w:t>
            </w:r>
          </w:p>
        </w:tc>
        <w:tc>
          <w:tcPr>
            <w:tcW w:w="2160" w:type="dxa"/>
          </w:tcPr>
          <w:p w14:paraId="16992B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极低风险</w:t>
            </w:r>
          </w:p>
        </w:tc>
        <w:tc>
          <w:tcPr>
            <w:tcW w:w="2160" w:type="dxa"/>
          </w:tcPr>
          <w:p w14:paraId="045A14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12%</w:t>
            </w:r>
          </w:p>
        </w:tc>
        <w:tc>
          <w:tcPr>
            <w:tcW w:w="2460" w:type="dxa"/>
          </w:tcPr>
          <w:p w14:paraId="6B3F73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15%</w:t>
            </w:r>
          </w:p>
        </w:tc>
      </w:tr>
      <w:tr w14:paraId="791AD3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6D5D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720-749</w:t>
            </w:r>
          </w:p>
        </w:tc>
        <w:tc>
          <w:tcPr>
            <w:tcW w:w="2160" w:type="dxa"/>
          </w:tcPr>
          <w:p w14:paraId="1CAB0E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低风险</w:t>
            </w:r>
          </w:p>
        </w:tc>
        <w:tc>
          <w:tcPr>
            <w:tcW w:w="2160" w:type="dxa"/>
          </w:tcPr>
          <w:p w14:paraId="2542FE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14%</w:t>
            </w:r>
          </w:p>
        </w:tc>
        <w:tc>
          <w:tcPr>
            <w:tcW w:w="2460" w:type="dxa"/>
          </w:tcPr>
          <w:p w14:paraId="1C9C0B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25%</w:t>
            </w:r>
          </w:p>
        </w:tc>
      </w:tr>
      <w:tr w14:paraId="33D8DA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0598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680-719</w:t>
            </w:r>
          </w:p>
        </w:tc>
        <w:tc>
          <w:tcPr>
            <w:tcW w:w="2160" w:type="dxa"/>
          </w:tcPr>
          <w:p w14:paraId="483B23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中等风险</w:t>
            </w:r>
          </w:p>
        </w:tc>
        <w:tc>
          <w:tcPr>
            <w:tcW w:w="2160" w:type="dxa"/>
          </w:tcPr>
          <w:p w14:paraId="00BF2A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18%</w:t>
            </w:r>
          </w:p>
        </w:tc>
        <w:tc>
          <w:tcPr>
            <w:tcW w:w="2460" w:type="dxa"/>
          </w:tcPr>
          <w:p w14:paraId="7E3E0D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35%</w:t>
            </w:r>
          </w:p>
        </w:tc>
      </w:tr>
      <w:tr w14:paraId="61729F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5649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640-679</w:t>
            </w:r>
          </w:p>
        </w:tc>
        <w:tc>
          <w:tcPr>
            <w:tcW w:w="2160" w:type="dxa"/>
          </w:tcPr>
          <w:p w14:paraId="20D883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中高风险</w:t>
            </w:r>
          </w:p>
        </w:tc>
        <w:tc>
          <w:tcPr>
            <w:tcW w:w="2160" w:type="dxa"/>
          </w:tcPr>
          <w:p w14:paraId="3B5D7B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24%</w:t>
            </w:r>
          </w:p>
        </w:tc>
        <w:tc>
          <w:tcPr>
            <w:tcW w:w="2460" w:type="dxa"/>
          </w:tcPr>
          <w:p w14:paraId="172F7B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20%</w:t>
            </w:r>
          </w:p>
        </w:tc>
      </w:tr>
      <w:tr w14:paraId="024841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7704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600-639</w:t>
            </w:r>
          </w:p>
        </w:tc>
        <w:tc>
          <w:tcPr>
            <w:tcW w:w="2160" w:type="dxa"/>
          </w:tcPr>
          <w:p w14:paraId="22A49D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高风险</w:t>
            </w:r>
          </w:p>
        </w:tc>
        <w:tc>
          <w:tcPr>
            <w:tcW w:w="2160" w:type="dxa"/>
          </w:tcPr>
          <w:p w14:paraId="6D4537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30%</w:t>
            </w:r>
          </w:p>
        </w:tc>
        <w:tc>
          <w:tcPr>
            <w:tcW w:w="2460" w:type="dxa"/>
          </w:tcPr>
          <w:p w14:paraId="2A8254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5%</w:t>
            </w:r>
          </w:p>
        </w:tc>
      </w:tr>
    </w:tbl>
    <w:p w14:paraId="10C6A16D"/>
    <w:tbl>
      <w:tblPr>
        <w:tblStyle w:val="50"/>
        <w:tblW w:w="8952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3541"/>
        <w:gridCol w:w="3192"/>
      </w:tblGrid>
      <w:tr w14:paraId="512704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shd w:val="clear" w:color="auto" w:fill="4F81BD"/>
          </w:tcPr>
          <w:p w14:paraId="4D1D92B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要素</w:t>
            </w:r>
          </w:p>
        </w:tc>
        <w:tc>
          <w:tcPr>
            <w:tcW w:w="3541" w:type="dxa"/>
            <w:shd w:val="clear" w:color="auto" w:fill="4F81BD"/>
          </w:tcPr>
          <w:p w14:paraId="22746DF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对照组（A组）</w:t>
            </w:r>
          </w:p>
        </w:tc>
        <w:tc>
          <w:tcPr>
            <w:tcW w:w="3192" w:type="dxa"/>
            <w:shd w:val="clear" w:color="auto" w:fill="4F81BD"/>
          </w:tcPr>
          <w:p w14:paraId="0A5EE88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实验组（B组）</w:t>
            </w:r>
          </w:p>
        </w:tc>
      </w:tr>
      <w:tr w14:paraId="195C05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</w:tcPr>
          <w:p w14:paraId="692FA6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策略方案</w:t>
            </w:r>
          </w:p>
        </w:tc>
        <w:tc>
          <w:tcPr>
            <w:tcW w:w="3541" w:type="dxa"/>
          </w:tcPr>
          <w:p w14:paraId="621A63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统一利率18%</w:t>
            </w:r>
          </w:p>
        </w:tc>
        <w:tc>
          <w:tcPr>
            <w:tcW w:w="3192" w:type="dxa"/>
          </w:tcPr>
          <w:p w14:paraId="5F4512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差异化定价（12%-30%）</w:t>
            </w:r>
          </w:p>
        </w:tc>
      </w:tr>
      <w:tr w14:paraId="2F675A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</w:tcPr>
          <w:p w14:paraId="7B12A4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分流比例</w:t>
            </w:r>
          </w:p>
        </w:tc>
        <w:tc>
          <w:tcPr>
            <w:tcW w:w="3541" w:type="dxa"/>
          </w:tcPr>
          <w:p w14:paraId="0A4952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50%用户</w:t>
            </w:r>
          </w:p>
        </w:tc>
        <w:tc>
          <w:tcPr>
            <w:tcW w:w="3192" w:type="dxa"/>
          </w:tcPr>
          <w:p w14:paraId="135DDD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50%用户</w:t>
            </w:r>
          </w:p>
        </w:tc>
      </w:tr>
      <w:tr w14:paraId="3185FC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</w:tcPr>
          <w:p w14:paraId="65CCBB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样本量</w:t>
            </w:r>
          </w:p>
        </w:tc>
        <w:tc>
          <w:tcPr>
            <w:tcW w:w="3541" w:type="dxa"/>
          </w:tcPr>
          <w:p w14:paraId="034C8A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预计5,000人/月</w:t>
            </w:r>
          </w:p>
        </w:tc>
        <w:tc>
          <w:tcPr>
            <w:tcW w:w="3192" w:type="dxa"/>
          </w:tcPr>
          <w:p w14:paraId="1BC4A2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预计5,000人/月</w:t>
            </w:r>
          </w:p>
        </w:tc>
      </w:tr>
      <w:tr w14:paraId="4242F7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</w:tcPr>
          <w:p w14:paraId="73746C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测试周期</w:t>
            </w:r>
          </w:p>
        </w:tc>
        <w:tc>
          <w:tcPr>
            <w:tcW w:w="3541" w:type="dxa"/>
          </w:tcPr>
          <w:p w14:paraId="05E2D91D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20"/>
                <w:lang w:val="en-US" w:eastAsia="zh-CN"/>
              </w:rPr>
              <w:t>1-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eastAsia="宋体"/>
                <w:b w:val="0"/>
                <w:sz w:val="20"/>
                <w:lang w:val="en-US" w:eastAsia="zh-CN"/>
              </w:rPr>
              <w:t>月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(1个月通过首笔账单预测，4个月整个表现其基本稳定--平均3期左右)</w:t>
            </w:r>
          </w:p>
        </w:tc>
        <w:tc>
          <w:tcPr>
            <w:tcW w:w="3192" w:type="dxa"/>
          </w:tcPr>
          <w:p w14:paraId="57E7D1F7">
            <w:pPr>
              <w:spacing w:after="0" w:line="240" w:lineRule="auto"/>
              <w:jc w:val="center"/>
            </w:pPr>
            <w:r>
              <w:rPr>
                <w:rFonts w:hint="eastAsia" w:ascii="宋体" w:hAnsi="宋体" w:eastAsia="宋体"/>
                <w:b w:val="0"/>
                <w:sz w:val="20"/>
                <w:lang w:val="en-US" w:eastAsia="zh-CN"/>
              </w:rPr>
              <w:t>1-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eastAsia="宋体"/>
                <w:b w:val="0"/>
                <w:sz w:val="20"/>
                <w:lang w:val="en-US" w:eastAsia="zh-CN"/>
              </w:rPr>
              <w:t>月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(1个月通过首笔账单预测，4个月整个表现其基本稳定--平均3期左右)</w:t>
            </w:r>
          </w:p>
        </w:tc>
      </w:tr>
      <w:tr w14:paraId="4DDA5E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</w:tcPr>
          <w:p w14:paraId="7E9225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主指标</w:t>
            </w:r>
          </w:p>
        </w:tc>
        <w:tc>
          <w:tcPr>
            <w:tcW w:w="3541" w:type="dxa"/>
          </w:tcPr>
          <w:p w14:paraId="148CBF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收益率</w:t>
            </w:r>
          </w:p>
        </w:tc>
        <w:tc>
          <w:tcPr>
            <w:tcW w:w="3192" w:type="dxa"/>
          </w:tcPr>
          <w:p w14:paraId="5317D8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收益率</w:t>
            </w:r>
          </w:p>
        </w:tc>
      </w:tr>
      <w:tr w14:paraId="36CB03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</w:tcPr>
          <w:p w14:paraId="0C109D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辅助指标</w:t>
            </w:r>
          </w:p>
        </w:tc>
        <w:tc>
          <w:tcPr>
            <w:tcW w:w="3541" w:type="dxa"/>
          </w:tcPr>
          <w:p w14:paraId="63B70C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各分段占比、客户满意度、ARPU</w:t>
            </w:r>
          </w:p>
        </w:tc>
        <w:tc>
          <w:tcPr>
            <w:tcW w:w="3192" w:type="dxa"/>
          </w:tcPr>
          <w:p w14:paraId="62EB82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各分段占比、ARPU、客户满意度</w:t>
            </w:r>
          </w:p>
        </w:tc>
      </w:tr>
    </w:tbl>
    <w:p w14:paraId="6074EFA3"/>
    <w:p w14:paraId="4E517E87">
      <w:pPr>
        <w:pStyle w:val="5"/>
      </w:pPr>
      <w:r>
        <w:rPr>
          <w:rFonts w:hint="eastAsia" w:ascii="黑体" w:hAnsi="黑体" w:eastAsia="黑体"/>
          <w:b/>
          <w:sz w:val="26"/>
          <w:lang w:val="en-US" w:eastAsia="zh-CN"/>
        </w:rPr>
        <w:t>4</w:t>
      </w:r>
      <w:r>
        <w:rPr>
          <w:rFonts w:ascii="黑体" w:hAnsi="黑体" w:eastAsia="黑体"/>
          <w:b/>
          <w:sz w:val="26"/>
        </w:rPr>
        <w:t>.3.4 样本量计算</w:t>
      </w:r>
    </w:p>
    <w:p w14:paraId="790B672D">
      <w:pPr>
        <w:pStyle w:val="16"/>
      </w:pPr>
      <w:r>
        <w:rPr>
          <w:rFonts w:ascii="宋体" w:hAnsi="宋体" w:eastAsia="宋体"/>
          <w:b w:val="0"/>
          <w:sz w:val="24"/>
        </w:rPr>
        <w:t>当前收益率（对照组基线）：15%</w:t>
      </w:r>
    </w:p>
    <w:p w14:paraId="6F14BD84">
      <w:pPr>
        <w:pStyle w:val="16"/>
      </w:pPr>
      <w:r>
        <w:rPr>
          <w:rFonts w:ascii="宋体" w:hAnsi="宋体" w:eastAsia="宋体"/>
          <w:b w:val="0"/>
          <w:sz w:val="24"/>
        </w:rPr>
        <w:t>期望收益率（实验组目标）：16.5%（提升1.5个百分点）</w:t>
      </w:r>
    </w:p>
    <w:p w14:paraId="61A3F98E">
      <w:pPr>
        <w:pStyle w:val="16"/>
      </w:pPr>
      <w:r>
        <w:rPr>
          <w:rFonts w:ascii="宋体" w:hAnsi="宋体" w:eastAsia="宋体"/>
          <w:b w:val="0"/>
          <w:sz w:val="24"/>
        </w:rPr>
        <w:t>效果大小：1.5%（绝对值）</w:t>
      </w:r>
    </w:p>
    <w:p w14:paraId="3AF223B1">
      <w:pPr>
        <w:pStyle w:val="5"/>
      </w:pPr>
      <w:r>
        <w:rPr>
          <w:rFonts w:hint="eastAsia" w:ascii="黑体" w:hAnsi="黑体" w:eastAsia="黑体"/>
          <w:b/>
          <w:sz w:val="26"/>
          <w:lang w:val="en-US" w:eastAsia="zh-CN"/>
        </w:rPr>
        <w:t>4</w:t>
      </w:r>
      <w:r>
        <w:rPr>
          <w:rFonts w:ascii="黑体" w:hAnsi="黑体" w:eastAsia="黑体"/>
          <w:b/>
          <w:sz w:val="26"/>
        </w:rPr>
        <w:t>.3.5 成功标准</w:t>
      </w:r>
    </w:p>
    <w:p w14:paraId="0D010302">
      <w:pPr>
        <w:pStyle w:val="16"/>
        <w:numPr>
          <w:ilvl w:val="0"/>
          <w:numId w:val="0"/>
        </w:numPr>
        <w:tabs>
          <w:tab w:val="clear" w:pos="360"/>
        </w:tabs>
        <w:ind w:leftChars="0"/>
        <w:rPr>
          <w:rFonts w:ascii="宋体" w:hAnsi="宋体" w:eastAsia="宋体"/>
          <w:b w:val="0"/>
          <w:sz w:val="24"/>
          <w:lang w:val="en-US" w:eastAsia="en-US"/>
        </w:rPr>
      </w:pPr>
      <w:r>
        <w:rPr>
          <w:rFonts w:ascii="宋体" w:hAnsi="宋体" w:eastAsia="宋体"/>
          <w:b w:val="0"/>
          <w:sz w:val="24"/>
          <w:lang w:val="en-US" w:eastAsia="en-US"/>
        </w:rPr>
        <w:t>1. 收益率显著提升：B组收益率比A组至少高1个百分点</w:t>
      </w:r>
    </w:p>
    <w:p w14:paraId="60AB1852">
      <w:pPr>
        <w:pStyle w:val="16"/>
        <w:numPr>
          <w:ilvl w:val="0"/>
          <w:numId w:val="0"/>
        </w:numPr>
        <w:tabs>
          <w:tab w:val="clear" w:pos="360"/>
        </w:tabs>
        <w:ind w:leftChars="0"/>
        <w:rPr>
          <w:rFonts w:ascii="宋体" w:hAnsi="宋体" w:eastAsia="宋体"/>
          <w:b w:val="0"/>
          <w:sz w:val="24"/>
          <w:lang w:val="en-US" w:eastAsia="en-US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</w:t>
      </w:r>
      <w:r>
        <w:rPr>
          <w:rFonts w:ascii="宋体" w:hAnsi="宋体" w:eastAsia="宋体"/>
          <w:b w:val="0"/>
          <w:sz w:val="24"/>
          <w:lang w:val="en-US" w:eastAsia="en-US"/>
        </w:rPr>
        <w:t>. 通过率稳定：通过率下降不超过5个百分点</w:t>
      </w:r>
    </w:p>
    <w:p w14:paraId="6E79A344">
      <w:pPr>
        <w:pStyle w:val="16"/>
        <w:numPr>
          <w:ilvl w:val="0"/>
          <w:numId w:val="0"/>
        </w:numPr>
        <w:tabs>
          <w:tab w:val="clear" w:pos="360"/>
        </w:tabs>
        <w:ind w:leftChars="0"/>
        <w:rPr>
          <w:rFonts w:ascii="宋体" w:hAnsi="宋体" w:eastAsia="宋体"/>
          <w:b w:val="0"/>
          <w:sz w:val="24"/>
          <w:lang w:val="en-US" w:eastAsia="en-US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</w:t>
      </w:r>
      <w:r>
        <w:rPr>
          <w:rFonts w:ascii="宋体" w:hAnsi="宋体" w:eastAsia="宋体"/>
          <w:b w:val="0"/>
          <w:sz w:val="24"/>
          <w:lang w:val="en-US" w:eastAsia="en-US"/>
        </w:rPr>
        <w:t>. 客群优化：优质客户（≥7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0</w:t>
      </w:r>
      <w:r>
        <w:rPr>
          <w:rFonts w:ascii="宋体" w:hAnsi="宋体" w:eastAsia="宋体"/>
          <w:b w:val="0"/>
          <w:sz w:val="24"/>
          <w:lang w:val="en-US" w:eastAsia="en-US"/>
        </w:rPr>
        <w:t>0分）占比提升</w:t>
      </w:r>
    </w:p>
    <w:p w14:paraId="671CB15E">
      <w:pPr>
        <w:pStyle w:val="16"/>
        <w:numPr>
          <w:ilvl w:val="0"/>
          <w:numId w:val="0"/>
        </w:numPr>
        <w:tabs>
          <w:tab w:val="clear" w:pos="360"/>
        </w:tabs>
        <w:ind w:leftChars="0"/>
        <w:rPr>
          <w:rFonts w:ascii="宋体" w:hAnsi="宋体" w:eastAsia="宋体"/>
          <w:b w:val="0"/>
          <w:sz w:val="24"/>
          <w:lang w:val="en-US" w:eastAsia="en-US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</w:t>
      </w:r>
      <w:r>
        <w:rPr>
          <w:rFonts w:ascii="宋体" w:hAnsi="宋体" w:eastAsia="宋体"/>
          <w:b w:val="0"/>
          <w:sz w:val="24"/>
          <w:lang w:val="en-US" w:eastAsia="en-US"/>
        </w:rPr>
        <w:t>. 留存改善：优质客户复贷率提升</w:t>
      </w:r>
    </w:p>
    <w:p w14:paraId="03216C0A"/>
    <w:p w14:paraId="6AEA641E">
      <w:pPr>
        <w:pStyle w:val="5"/>
      </w:pPr>
      <w:r>
        <w:rPr>
          <w:rFonts w:hint="eastAsia" w:ascii="黑体" w:hAnsi="黑体" w:eastAsia="黑体"/>
          <w:b/>
          <w:sz w:val="26"/>
          <w:lang w:val="en-US" w:eastAsia="zh-CN"/>
        </w:rPr>
        <w:t>4</w:t>
      </w:r>
      <w:r>
        <w:rPr>
          <w:rFonts w:ascii="黑体" w:hAnsi="黑体" w:eastAsia="黑体"/>
          <w:b/>
          <w:sz w:val="26"/>
        </w:rPr>
        <w:t>.3.6 风险控制</w:t>
      </w:r>
    </w:p>
    <w:p w14:paraId="2423F7BC">
      <w:pPr>
        <w:pStyle w:val="16"/>
      </w:pPr>
      <w:r>
        <w:rPr>
          <w:rFonts w:ascii="宋体" w:hAnsi="宋体" w:eastAsia="宋体"/>
          <w:b w:val="0"/>
          <w:sz w:val="24"/>
        </w:rPr>
        <w:t>熔断机制：如果B组整体逾期率超过A组20%或超过2.5%，立即停止测试</w:t>
      </w:r>
    </w:p>
    <w:p w14:paraId="49507A71">
      <w:pPr>
        <w:pStyle w:val="16"/>
      </w:pPr>
      <w:r>
        <w:rPr>
          <w:rFonts w:ascii="宋体" w:hAnsi="宋体" w:eastAsia="宋体"/>
          <w:b w:val="0"/>
          <w:sz w:val="24"/>
        </w:rPr>
        <w:t>分层监控：密切监控各分段逾期率，特别是高分段是否出现异常</w:t>
      </w:r>
    </w:p>
    <w:p w14:paraId="5A93D531">
      <w:pPr>
        <w:pStyle w:val="16"/>
      </w:pPr>
      <w:r>
        <w:rPr>
          <w:rFonts w:ascii="宋体" w:hAnsi="宋体" w:eastAsia="宋体"/>
          <w:b w:val="0"/>
          <w:sz w:val="24"/>
        </w:rPr>
        <w:t>限额控制：高风险分段（600-639分）额度上限5万元，占比控制在10%以内</w:t>
      </w:r>
    </w:p>
    <w:p w14:paraId="186F5ED1">
      <w:pPr>
        <w:pStyle w:val="16"/>
      </w:pPr>
      <w:r>
        <w:rPr>
          <w:rFonts w:ascii="宋体" w:hAnsi="宋体" w:eastAsia="宋体"/>
          <w:b w:val="0"/>
          <w:sz w:val="24"/>
        </w:rPr>
        <w:t>客户反馈：收集客户对定价的反馈，关注流失客户的原因</w:t>
      </w:r>
    </w:p>
    <w:p w14:paraId="1E075ADC">
      <w:pPr>
        <w:pStyle w:val="16"/>
      </w:pPr>
      <w:r>
        <w:rPr>
          <w:rFonts w:ascii="宋体" w:hAnsi="宋体" w:eastAsia="宋体"/>
          <w:b w:val="0"/>
          <w:sz w:val="24"/>
        </w:rPr>
        <w:t>市场对标：定期对比竞品定价，保持竞争力</w:t>
      </w:r>
    </w:p>
    <w:p w14:paraId="34FF17E1"/>
    <w:p w14:paraId="79423B52">
      <w:pPr>
        <w:pStyle w:val="5"/>
      </w:pPr>
      <w:r>
        <w:rPr>
          <w:rFonts w:hint="eastAsia" w:ascii="黑体" w:hAnsi="黑体" w:eastAsia="黑体"/>
          <w:b/>
          <w:sz w:val="26"/>
          <w:lang w:val="en-US" w:eastAsia="zh-CN"/>
        </w:rPr>
        <w:t>4</w:t>
      </w:r>
      <w:r>
        <w:rPr>
          <w:rFonts w:ascii="黑体" w:hAnsi="黑体" w:eastAsia="黑体"/>
          <w:b/>
          <w:sz w:val="26"/>
        </w:rPr>
        <w:t>.3.7 预期结果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277B7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4F81BD"/>
          </w:tcPr>
          <w:p w14:paraId="1949096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指标</w:t>
            </w:r>
          </w:p>
        </w:tc>
        <w:tc>
          <w:tcPr>
            <w:tcW w:w="2160" w:type="dxa"/>
            <w:shd w:val="clear" w:color="auto" w:fill="4F81BD"/>
          </w:tcPr>
          <w:p w14:paraId="44988B1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对照组（A组）</w:t>
            </w:r>
          </w:p>
        </w:tc>
        <w:tc>
          <w:tcPr>
            <w:tcW w:w="2160" w:type="dxa"/>
            <w:shd w:val="clear" w:color="auto" w:fill="4F81BD"/>
          </w:tcPr>
          <w:p w14:paraId="0F2B020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实验组（B组）预期</w:t>
            </w:r>
          </w:p>
        </w:tc>
        <w:tc>
          <w:tcPr>
            <w:tcW w:w="2160" w:type="dxa"/>
            <w:shd w:val="clear" w:color="auto" w:fill="4F81BD"/>
          </w:tcPr>
          <w:p w14:paraId="33A0E4C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变化</w:t>
            </w:r>
          </w:p>
        </w:tc>
      </w:tr>
      <w:tr w14:paraId="29FAEA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0CD1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整体收益率</w:t>
            </w:r>
          </w:p>
        </w:tc>
        <w:tc>
          <w:tcPr>
            <w:tcW w:w="2160" w:type="dxa"/>
          </w:tcPr>
          <w:p w14:paraId="20A47F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15.0%</w:t>
            </w:r>
          </w:p>
        </w:tc>
        <w:tc>
          <w:tcPr>
            <w:tcW w:w="2160" w:type="dxa"/>
          </w:tcPr>
          <w:p w14:paraId="3EF09B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16.5%</w:t>
            </w:r>
          </w:p>
        </w:tc>
        <w:tc>
          <w:tcPr>
            <w:tcW w:w="2160" w:type="dxa"/>
          </w:tcPr>
          <w:p w14:paraId="0249C6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+1.5个百分点</w:t>
            </w:r>
          </w:p>
        </w:tc>
      </w:tr>
      <w:tr w14:paraId="0B5345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A59D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通过率</w:t>
            </w:r>
          </w:p>
        </w:tc>
        <w:tc>
          <w:tcPr>
            <w:tcW w:w="2160" w:type="dxa"/>
          </w:tcPr>
          <w:p w14:paraId="63CC7A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65%</w:t>
            </w:r>
          </w:p>
        </w:tc>
        <w:tc>
          <w:tcPr>
            <w:tcW w:w="2160" w:type="dxa"/>
          </w:tcPr>
          <w:p w14:paraId="4083EF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62%</w:t>
            </w:r>
          </w:p>
        </w:tc>
        <w:tc>
          <w:tcPr>
            <w:tcW w:w="2160" w:type="dxa"/>
          </w:tcPr>
          <w:p w14:paraId="655FC6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-3个百分点</w:t>
            </w:r>
          </w:p>
        </w:tc>
      </w:tr>
      <w:tr w14:paraId="2962BF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DA20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M3+逾期率</w:t>
            </w:r>
          </w:p>
        </w:tc>
        <w:tc>
          <w:tcPr>
            <w:tcW w:w="2160" w:type="dxa"/>
          </w:tcPr>
          <w:p w14:paraId="5C1E13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2.1%</w:t>
            </w:r>
          </w:p>
        </w:tc>
        <w:tc>
          <w:tcPr>
            <w:tcW w:w="2160" w:type="dxa"/>
          </w:tcPr>
          <w:p w14:paraId="693D7A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2.1%</w:t>
            </w:r>
          </w:p>
        </w:tc>
        <w:tc>
          <w:tcPr>
            <w:tcW w:w="2160" w:type="dxa"/>
          </w:tcPr>
          <w:p w14:paraId="049910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持平</w:t>
            </w:r>
          </w:p>
        </w:tc>
      </w:tr>
      <w:tr w14:paraId="105EC4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265F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优质客户占比</w:t>
            </w:r>
          </w:p>
        </w:tc>
        <w:tc>
          <w:tcPr>
            <w:tcW w:w="2160" w:type="dxa"/>
          </w:tcPr>
          <w:p w14:paraId="4B5267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30%</w:t>
            </w:r>
          </w:p>
        </w:tc>
        <w:tc>
          <w:tcPr>
            <w:tcW w:w="2160" w:type="dxa"/>
          </w:tcPr>
          <w:p w14:paraId="2071A7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35%</w:t>
            </w:r>
          </w:p>
        </w:tc>
        <w:tc>
          <w:tcPr>
            <w:tcW w:w="2160" w:type="dxa"/>
          </w:tcPr>
          <w:p w14:paraId="56E94F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+5个百分点</w:t>
            </w:r>
          </w:p>
        </w:tc>
      </w:tr>
      <w:tr w14:paraId="57A534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5B45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优质客户复贷率</w:t>
            </w:r>
          </w:p>
        </w:tc>
        <w:tc>
          <w:tcPr>
            <w:tcW w:w="2160" w:type="dxa"/>
          </w:tcPr>
          <w:p w14:paraId="1E7474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25%</w:t>
            </w:r>
          </w:p>
        </w:tc>
        <w:tc>
          <w:tcPr>
            <w:tcW w:w="2160" w:type="dxa"/>
          </w:tcPr>
          <w:p w14:paraId="6FC1D4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35%</w:t>
            </w:r>
          </w:p>
        </w:tc>
        <w:tc>
          <w:tcPr>
            <w:tcW w:w="2160" w:type="dxa"/>
          </w:tcPr>
          <w:p w14:paraId="4D363A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+10个百分点</w:t>
            </w:r>
          </w:p>
        </w:tc>
      </w:tr>
      <w:tr w14:paraId="152A6B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4E0E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平均ARPU</w:t>
            </w:r>
          </w:p>
        </w:tc>
        <w:tc>
          <w:tcPr>
            <w:tcW w:w="2160" w:type="dxa"/>
          </w:tcPr>
          <w:p w14:paraId="3D4061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3000元</w:t>
            </w:r>
          </w:p>
        </w:tc>
        <w:tc>
          <w:tcPr>
            <w:tcW w:w="2160" w:type="dxa"/>
          </w:tcPr>
          <w:p w14:paraId="056C82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3300元</w:t>
            </w:r>
          </w:p>
        </w:tc>
        <w:tc>
          <w:tcPr>
            <w:tcW w:w="2160" w:type="dxa"/>
          </w:tcPr>
          <w:p w14:paraId="3C2338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+10%</w:t>
            </w:r>
          </w:p>
        </w:tc>
      </w:tr>
    </w:tbl>
    <w:p w14:paraId="038ED3B2">
      <w:pPr>
        <w:rPr>
          <w:rFonts w:ascii="微软雅黑" w:hAnsi="微软雅黑" w:eastAsia="微软雅黑"/>
          <w:color w:val="2E75B6"/>
        </w:rPr>
      </w:pPr>
    </w:p>
    <w:p w14:paraId="1A895D1C">
      <w:pPr>
        <w:pStyle w:val="3"/>
      </w:pPr>
      <w:r>
        <w:rPr>
          <w:rFonts w:hint="eastAsia" w:ascii="微软雅黑" w:hAnsi="微软雅黑" w:eastAsia="微软雅黑"/>
          <w:color w:val="1F3864"/>
          <w:lang w:val="en-US" w:eastAsia="zh-CN"/>
        </w:rPr>
        <w:t>五</w:t>
      </w:r>
      <w:r>
        <w:rPr>
          <w:rFonts w:ascii="微软雅黑" w:hAnsi="微软雅黑" w:eastAsia="微软雅黑"/>
          <w:color w:val="1F3864"/>
        </w:rPr>
        <w:t>、信用评分体系</w:t>
      </w:r>
    </w:p>
    <w:p w14:paraId="0F7EB763">
      <w:pPr>
        <w:pStyle w:val="4"/>
      </w:pPr>
      <w:r>
        <w:rPr>
          <w:rFonts w:hint="eastAsia" w:ascii="微软雅黑" w:hAnsi="微软雅黑" w:eastAsia="微软雅黑"/>
          <w:color w:val="2E75B6"/>
          <w:lang w:val="en-US" w:eastAsia="zh-CN"/>
        </w:rPr>
        <w:t>5</w:t>
      </w:r>
      <w:r>
        <w:rPr>
          <w:rFonts w:ascii="微软雅黑" w:hAnsi="微软雅黑" w:eastAsia="微软雅黑"/>
          <w:color w:val="2E75B6"/>
        </w:rPr>
        <w:t>.1 申请评分卡(A卡)建模</w:t>
      </w:r>
    </w:p>
    <w:p w14:paraId="470DEF5E">
      <w:pPr>
        <w:rPr>
          <w:rFonts w:ascii="微软雅黑" w:hAnsi="微软雅黑" w:eastAsia="微软雅黑"/>
          <w:color w:val="2E75B6"/>
        </w:rPr>
      </w:pPr>
    </w:p>
    <w:p w14:paraId="276E6C6B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申请评分卡是贷前风控的核心工具，通过对申请人的多维信息进行量化评分，预测其未来发生违约的概率。建模流程如下：</w:t>
      </w:r>
    </w:p>
    <w:p w14:paraId="55A0C707">
      <w:pPr>
        <w:pStyle w:val="5"/>
      </w:pPr>
      <w:r>
        <w:rPr>
          <w:rFonts w:ascii="微软雅黑" w:hAnsi="微软雅黑" w:eastAsia="微软雅黑"/>
          <w:color w:val="4070A0"/>
        </w:rPr>
        <w:t>步骤1：样本准备</w:t>
      </w:r>
    </w:p>
    <w:p w14:paraId="5C76879A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取近12个月放款样本，定义好坏客户</w:t>
      </w:r>
      <w:r>
        <w:rPr>
          <w:rFonts w:hint="eastAsia"/>
          <w:b w:val="0"/>
          <w:sz w:val="21"/>
          <w:lang w:val="en-US" w:eastAsia="zh-CN"/>
        </w:rPr>
        <w:t>(根据roll rate和Vintage确定Y值)</w:t>
      </w:r>
      <w:r>
        <w:rPr>
          <w:rFonts w:ascii="微软雅黑" w:hAnsi="微软雅黑" w:eastAsia="微软雅黑"/>
          <w:b w:val="0"/>
          <w:sz w:val="21"/>
        </w:rPr>
        <w:t>：</w:t>
      </w:r>
    </w:p>
    <w:p w14:paraId="7B732EB4">
      <w:pPr>
        <w:pStyle w:val="16"/>
      </w:pPr>
      <w:r>
        <w:rPr>
          <w:rFonts w:ascii="微软雅黑" w:hAnsi="微软雅黑" w:eastAsia="微软雅黑"/>
          <w:sz w:val="21"/>
        </w:rPr>
        <w:t>好客户：放款后12个月内从未出现</w:t>
      </w:r>
      <w:r>
        <w:rPr>
          <w:rFonts w:hint="eastAsia"/>
          <w:sz w:val="21"/>
          <w:lang w:val="en-US" w:eastAsia="zh-CN"/>
        </w:rPr>
        <w:t>90</w:t>
      </w:r>
      <w:r>
        <w:rPr>
          <w:rFonts w:ascii="微软雅黑" w:hAnsi="微软雅黑" w:eastAsia="微软雅黑"/>
          <w:sz w:val="21"/>
        </w:rPr>
        <w:t>+逾期</w:t>
      </w:r>
    </w:p>
    <w:p w14:paraId="428611C6">
      <w:pPr>
        <w:pStyle w:val="16"/>
      </w:pPr>
      <w:r>
        <w:rPr>
          <w:rFonts w:ascii="微软雅黑" w:hAnsi="微软雅黑" w:eastAsia="微软雅黑"/>
          <w:sz w:val="21"/>
        </w:rPr>
        <w:t>坏客户：放款后12个月内出现</w:t>
      </w:r>
      <w:r>
        <w:rPr>
          <w:rFonts w:hint="eastAsia"/>
          <w:sz w:val="21"/>
          <w:lang w:val="en-US" w:eastAsia="zh-CN"/>
        </w:rPr>
        <w:t>90</w:t>
      </w:r>
      <w:r>
        <w:rPr>
          <w:rFonts w:ascii="微软雅黑" w:hAnsi="微软雅黑" w:eastAsia="微软雅黑"/>
          <w:sz w:val="21"/>
        </w:rPr>
        <w:t>+逾期</w:t>
      </w:r>
    </w:p>
    <w:p w14:paraId="3C01298E">
      <w:pPr>
        <w:pStyle w:val="16"/>
      </w:pPr>
      <w:r>
        <w:rPr>
          <w:rFonts w:ascii="微软雅黑" w:hAnsi="微软雅黑" w:eastAsia="微软雅黑"/>
          <w:sz w:val="21"/>
        </w:rPr>
        <w:t>样本排除：灰样本(中途结清)视业务情况排除或降权</w:t>
      </w:r>
    </w:p>
    <w:p w14:paraId="593FA09B">
      <w:pPr>
        <w:pStyle w:val="16"/>
      </w:pPr>
      <w:r>
        <w:rPr>
          <w:rFonts w:ascii="微软雅黑" w:hAnsi="微软雅黑" w:eastAsia="微软雅黑"/>
          <w:sz w:val="21"/>
        </w:rPr>
        <w:t>样本量：通常要求好客户&gt;5000、坏客户&gt;2000，好坏比控制在3:1至5:1</w:t>
      </w:r>
    </w:p>
    <w:p w14:paraId="68ADE23E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将样本按7:3分为训练集和测试集，确保时间窗无穿越。</w:t>
      </w:r>
    </w:p>
    <w:p w14:paraId="7E4014BA">
      <w:pPr>
        <w:pStyle w:val="5"/>
      </w:pPr>
      <w:r>
        <w:rPr>
          <w:rFonts w:ascii="微软雅黑" w:hAnsi="微软雅黑" w:eastAsia="微软雅黑"/>
          <w:color w:val="4070A0"/>
        </w:rPr>
        <w:t>步骤2：特征工程</w:t>
      </w:r>
    </w:p>
    <w:p w14:paraId="19E5F8FA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原始特征来源及处理方法：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5AF2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39E1EF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数据来源</w:t>
            </w:r>
          </w:p>
        </w:tc>
        <w:tc>
          <w:tcPr>
            <w:tcW w:w="2268" w:type="dxa"/>
            <w:shd w:val="clear" w:color="auto" w:fill="2E75B6"/>
          </w:tcPr>
          <w:p w14:paraId="2081B3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特征类型</w:t>
            </w:r>
          </w:p>
        </w:tc>
        <w:tc>
          <w:tcPr>
            <w:tcW w:w="2268" w:type="dxa"/>
            <w:shd w:val="clear" w:color="auto" w:fill="2E75B6"/>
          </w:tcPr>
          <w:p w14:paraId="59E498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特征数量</w:t>
            </w:r>
          </w:p>
        </w:tc>
        <w:tc>
          <w:tcPr>
            <w:tcW w:w="2268" w:type="dxa"/>
            <w:shd w:val="clear" w:color="auto" w:fill="2E75B6"/>
          </w:tcPr>
          <w:p w14:paraId="5284C1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处理方法</w:t>
            </w:r>
          </w:p>
        </w:tc>
      </w:tr>
      <w:tr w14:paraId="467D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152CE3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央行征信</w:t>
            </w:r>
          </w:p>
        </w:tc>
        <w:tc>
          <w:tcPr>
            <w:tcW w:w="2268" w:type="dxa"/>
            <w:shd w:val="clear" w:color="auto" w:fill="F2F7FF"/>
          </w:tcPr>
          <w:p w14:paraId="7F4EC3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历史还款表现、负债情况、查询记录</w:t>
            </w:r>
          </w:p>
        </w:tc>
        <w:tc>
          <w:tcPr>
            <w:tcW w:w="2268" w:type="dxa"/>
            <w:shd w:val="clear" w:color="auto" w:fill="F2F7FF"/>
          </w:tcPr>
          <w:p w14:paraId="35A47D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100+个</w:t>
            </w:r>
          </w:p>
        </w:tc>
        <w:tc>
          <w:tcPr>
            <w:tcW w:w="2268" w:type="dxa"/>
            <w:shd w:val="clear" w:color="auto" w:fill="F2F7FF"/>
          </w:tcPr>
          <w:p w14:paraId="740FEB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WOE编码，IV筛选</w:t>
            </w:r>
          </w:p>
        </w:tc>
      </w:tr>
      <w:tr w14:paraId="7166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33D74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行为数据</w:t>
            </w:r>
          </w:p>
        </w:tc>
        <w:tc>
          <w:tcPr>
            <w:tcW w:w="2268" w:type="dxa"/>
            <w:shd w:val="clear" w:color="auto" w:fill="FFFFFF"/>
          </w:tcPr>
          <w:p w14:paraId="66B417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APP使用频率、授权数据完整度</w:t>
            </w:r>
          </w:p>
        </w:tc>
        <w:tc>
          <w:tcPr>
            <w:tcW w:w="2268" w:type="dxa"/>
            <w:shd w:val="clear" w:color="auto" w:fill="FFFFFF"/>
          </w:tcPr>
          <w:p w14:paraId="0C1F6F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50+个</w:t>
            </w:r>
          </w:p>
        </w:tc>
        <w:tc>
          <w:tcPr>
            <w:tcW w:w="2268" w:type="dxa"/>
            <w:shd w:val="clear" w:color="auto" w:fill="FFFFFF"/>
          </w:tcPr>
          <w:p w14:paraId="38A8C0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标准化+分箱</w:t>
            </w:r>
          </w:p>
        </w:tc>
      </w:tr>
      <w:tr w14:paraId="6F79A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333379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三方数据</w:t>
            </w:r>
          </w:p>
        </w:tc>
        <w:tc>
          <w:tcPr>
            <w:tcW w:w="2268" w:type="dxa"/>
            <w:shd w:val="clear" w:color="auto" w:fill="F2F7FF"/>
          </w:tcPr>
          <w:p w14:paraId="70A36D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运营商、社保、公积金、电商</w:t>
            </w:r>
          </w:p>
        </w:tc>
        <w:tc>
          <w:tcPr>
            <w:tcW w:w="2268" w:type="dxa"/>
            <w:shd w:val="clear" w:color="auto" w:fill="F2F7FF"/>
          </w:tcPr>
          <w:p w14:paraId="4394D1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80+个</w:t>
            </w:r>
          </w:p>
        </w:tc>
        <w:tc>
          <w:tcPr>
            <w:tcW w:w="2268" w:type="dxa"/>
            <w:shd w:val="clear" w:color="auto" w:fill="F2F7FF"/>
          </w:tcPr>
          <w:p w14:paraId="198226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缺失值处理+交叉验证</w:t>
            </w:r>
          </w:p>
        </w:tc>
      </w:tr>
      <w:tr w14:paraId="714C9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01D6C6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设备信息</w:t>
            </w:r>
          </w:p>
        </w:tc>
        <w:tc>
          <w:tcPr>
            <w:tcW w:w="2268" w:type="dxa"/>
            <w:shd w:val="clear" w:color="auto" w:fill="FFFFFF"/>
          </w:tcPr>
          <w:p w14:paraId="339697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设备型号、OS版本、安装应用列表</w:t>
            </w:r>
          </w:p>
        </w:tc>
        <w:tc>
          <w:tcPr>
            <w:tcW w:w="2268" w:type="dxa"/>
            <w:shd w:val="clear" w:color="auto" w:fill="FFFFFF"/>
          </w:tcPr>
          <w:p w14:paraId="125BDA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30+个</w:t>
            </w:r>
          </w:p>
        </w:tc>
        <w:tc>
          <w:tcPr>
            <w:tcW w:w="2268" w:type="dxa"/>
            <w:shd w:val="clear" w:color="auto" w:fill="FFFFFF"/>
          </w:tcPr>
          <w:p w14:paraId="0F75F7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二值化/类别编码</w:t>
            </w:r>
          </w:p>
        </w:tc>
      </w:tr>
      <w:tr w14:paraId="45594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6000B7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地域信息</w:t>
            </w:r>
          </w:p>
        </w:tc>
        <w:tc>
          <w:tcPr>
            <w:tcW w:w="2268" w:type="dxa"/>
            <w:shd w:val="clear" w:color="auto" w:fill="F2F7FF"/>
          </w:tcPr>
          <w:p w14:paraId="495A90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省份、城市、收入水平指数</w:t>
            </w:r>
          </w:p>
        </w:tc>
        <w:tc>
          <w:tcPr>
            <w:tcW w:w="2268" w:type="dxa"/>
            <w:shd w:val="clear" w:color="auto" w:fill="F2F7FF"/>
          </w:tcPr>
          <w:p w14:paraId="4F8BF3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20+个</w:t>
            </w:r>
          </w:p>
        </w:tc>
        <w:tc>
          <w:tcPr>
            <w:tcW w:w="2268" w:type="dxa"/>
            <w:shd w:val="clear" w:color="auto" w:fill="F2F7FF"/>
          </w:tcPr>
          <w:p w14:paraId="3F709A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目标编码</w:t>
            </w:r>
          </w:p>
        </w:tc>
      </w:tr>
    </w:tbl>
    <w:p w14:paraId="436E743F"/>
    <w:p w14:paraId="78A5EF18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特征筛选标准：IV值&gt;0.02入模，IV值&gt;0.3需关注过拟合风险，最终入模特征控制在20-35个。</w:t>
      </w:r>
    </w:p>
    <w:p w14:paraId="15E09C5E">
      <w:pPr>
        <w:pStyle w:val="5"/>
      </w:pPr>
      <w:r>
        <w:rPr>
          <w:rFonts w:ascii="微软雅黑" w:hAnsi="微软雅黑" w:eastAsia="微软雅黑"/>
          <w:color w:val="4070A0"/>
        </w:rPr>
        <w:t>步骤3：模型训练</w:t>
      </w:r>
    </w:p>
    <w:p w14:paraId="45D09FC5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使用逻辑回归(Logistic Regression)建立标准评分卡：</w:t>
      </w:r>
    </w:p>
    <w:p w14:paraId="7A10A43B">
      <w:pPr>
        <w:pStyle w:val="16"/>
      </w:pPr>
      <w:r>
        <w:rPr>
          <w:rFonts w:ascii="微软雅黑" w:hAnsi="微软雅黑" w:eastAsia="微软雅黑"/>
          <w:sz w:val="21"/>
        </w:rPr>
        <w:t>建模方法：Logistic Regression + WOE编码</w:t>
      </w:r>
    </w:p>
    <w:p w14:paraId="5B779AB5">
      <w:pPr>
        <w:pStyle w:val="16"/>
      </w:pPr>
      <w:r>
        <w:rPr>
          <w:rFonts w:ascii="微软雅黑" w:hAnsi="微软雅黑" w:eastAsia="微软雅黑"/>
          <w:sz w:val="21"/>
        </w:rPr>
        <w:t>正则化：L1正则防止过拟合</w:t>
      </w:r>
    </w:p>
    <w:p w14:paraId="3A1DAD68">
      <w:pPr>
        <w:pStyle w:val="16"/>
      </w:pPr>
      <w:r>
        <w:rPr>
          <w:rFonts w:ascii="微软雅黑" w:hAnsi="微软雅黑" w:eastAsia="微软雅黑"/>
          <w:sz w:val="21"/>
        </w:rPr>
        <w:t>交叉验证：5折交叉验证确保稳定性</w:t>
      </w:r>
    </w:p>
    <w:p w14:paraId="3874587F">
      <w:pPr>
        <w:pStyle w:val="16"/>
      </w:pPr>
      <w:r>
        <w:rPr>
          <w:rFonts w:ascii="微软雅黑" w:hAnsi="微软雅黑" w:eastAsia="微软雅黑"/>
          <w:sz w:val="21"/>
        </w:rPr>
        <w:t>性能指标：KS&gt;3</w:t>
      </w:r>
      <w:r>
        <w:rPr>
          <w:rFonts w:hint="eastAsia"/>
          <w:sz w:val="21"/>
          <w:lang w:val="en-US" w:eastAsia="zh-CN"/>
        </w:rPr>
        <w:t>0</w:t>
      </w:r>
      <w:r>
        <w:rPr>
          <w:rFonts w:ascii="微软雅黑" w:hAnsi="微软雅黑" w:eastAsia="微软雅黑"/>
          <w:sz w:val="21"/>
        </w:rPr>
        <w:t>, AUC&gt;0.7</w:t>
      </w:r>
      <w:r>
        <w:rPr>
          <w:rFonts w:hint="eastAsia"/>
          <w:sz w:val="21"/>
          <w:lang w:val="en-US" w:eastAsia="zh-CN"/>
        </w:rPr>
        <w:t>0</w:t>
      </w:r>
      <w:r>
        <w:rPr>
          <w:rFonts w:ascii="微软雅黑" w:hAnsi="微软雅黑" w:eastAsia="微软雅黑"/>
          <w:sz w:val="21"/>
        </w:rPr>
        <w:t>, Gini&gt;0.4</w:t>
      </w:r>
    </w:p>
    <w:p w14:paraId="1F5D3457">
      <w:pPr>
        <w:pStyle w:val="5"/>
      </w:pPr>
      <w:r>
        <w:rPr>
          <w:rFonts w:ascii="微软雅黑" w:hAnsi="微软雅黑" w:eastAsia="微软雅黑"/>
          <w:color w:val="4070A0"/>
        </w:rPr>
        <w:t>步骤4：分数映射与Cut-off设定</w:t>
      </w:r>
    </w:p>
    <w:p w14:paraId="4ED680F8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将模型输出的概率值映射为标准评分(通常300-850分)，并通过成本收益分析确定最优分数线：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1BF4D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75B6"/>
          </w:tcPr>
          <w:p w14:paraId="2D54BA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评分段</w:t>
            </w:r>
          </w:p>
        </w:tc>
        <w:tc>
          <w:tcPr>
            <w:tcW w:w="1814" w:type="dxa"/>
            <w:shd w:val="clear" w:color="auto" w:fill="2E75B6"/>
          </w:tcPr>
          <w:p w14:paraId="19B13F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人数占比</w:t>
            </w:r>
          </w:p>
        </w:tc>
        <w:tc>
          <w:tcPr>
            <w:tcW w:w="1814" w:type="dxa"/>
            <w:shd w:val="clear" w:color="auto" w:fill="2E75B6"/>
          </w:tcPr>
          <w:p w14:paraId="66F799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坏账率</w:t>
            </w:r>
          </w:p>
        </w:tc>
        <w:tc>
          <w:tcPr>
            <w:tcW w:w="1814" w:type="dxa"/>
            <w:shd w:val="clear" w:color="auto" w:fill="2E75B6"/>
          </w:tcPr>
          <w:p w14:paraId="059BDF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决策</w:t>
            </w:r>
          </w:p>
        </w:tc>
        <w:tc>
          <w:tcPr>
            <w:tcW w:w="1814" w:type="dxa"/>
            <w:shd w:val="clear" w:color="auto" w:fill="2E75B6"/>
          </w:tcPr>
          <w:p w14:paraId="45B162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累计通过率</w:t>
            </w:r>
          </w:p>
        </w:tc>
      </w:tr>
      <w:tr w14:paraId="497BA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F"/>
          </w:tcPr>
          <w:p w14:paraId="021F4A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750-850</w:t>
            </w:r>
          </w:p>
        </w:tc>
        <w:tc>
          <w:tcPr>
            <w:tcW w:w="1814" w:type="dxa"/>
            <w:shd w:val="clear" w:color="auto" w:fill="F2F7FF"/>
          </w:tcPr>
          <w:p w14:paraId="5E64F7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8%</w:t>
            </w:r>
          </w:p>
        </w:tc>
        <w:tc>
          <w:tcPr>
            <w:tcW w:w="1814" w:type="dxa"/>
            <w:shd w:val="clear" w:color="auto" w:fill="F2F7FF"/>
          </w:tcPr>
          <w:p w14:paraId="74D142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0.5%</w:t>
            </w:r>
          </w:p>
        </w:tc>
        <w:tc>
          <w:tcPr>
            <w:tcW w:w="1814" w:type="dxa"/>
            <w:shd w:val="clear" w:color="auto" w:fill="F2F7FF"/>
          </w:tcPr>
          <w:p w14:paraId="70901E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通过</w:t>
            </w:r>
          </w:p>
        </w:tc>
        <w:tc>
          <w:tcPr>
            <w:tcW w:w="1814" w:type="dxa"/>
            <w:shd w:val="clear" w:color="auto" w:fill="F2F7FF"/>
          </w:tcPr>
          <w:p w14:paraId="218FCA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 w14:paraId="2F43B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61B56E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650-750</w:t>
            </w:r>
          </w:p>
        </w:tc>
        <w:tc>
          <w:tcPr>
            <w:tcW w:w="1814" w:type="dxa"/>
            <w:shd w:val="clear" w:color="auto" w:fill="FFFFFF"/>
          </w:tcPr>
          <w:p w14:paraId="2D071B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22%</w:t>
            </w:r>
          </w:p>
        </w:tc>
        <w:tc>
          <w:tcPr>
            <w:tcW w:w="1814" w:type="dxa"/>
            <w:shd w:val="clear" w:color="auto" w:fill="FFFFFF"/>
          </w:tcPr>
          <w:p w14:paraId="36487A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1.2%</w:t>
            </w:r>
          </w:p>
        </w:tc>
        <w:tc>
          <w:tcPr>
            <w:tcW w:w="1814" w:type="dxa"/>
            <w:shd w:val="clear" w:color="auto" w:fill="FFFFFF"/>
          </w:tcPr>
          <w:p w14:paraId="447DE5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通过</w:t>
            </w:r>
          </w:p>
        </w:tc>
        <w:tc>
          <w:tcPr>
            <w:tcW w:w="1814" w:type="dxa"/>
            <w:shd w:val="clear" w:color="auto" w:fill="FFFFFF"/>
          </w:tcPr>
          <w:p w14:paraId="7E0BF9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92%</w:t>
            </w:r>
          </w:p>
        </w:tc>
      </w:tr>
      <w:tr w14:paraId="15570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F"/>
          </w:tcPr>
          <w:p w14:paraId="2A234C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550-650</w:t>
            </w:r>
          </w:p>
        </w:tc>
        <w:tc>
          <w:tcPr>
            <w:tcW w:w="1814" w:type="dxa"/>
            <w:shd w:val="clear" w:color="auto" w:fill="F2F7FF"/>
          </w:tcPr>
          <w:p w14:paraId="3EE86D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30%</w:t>
            </w:r>
          </w:p>
        </w:tc>
        <w:tc>
          <w:tcPr>
            <w:tcW w:w="1814" w:type="dxa"/>
            <w:shd w:val="clear" w:color="auto" w:fill="F2F7FF"/>
          </w:tcPr>
          <w:p w14:paraId="75C9F7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2.8%</w:t>
            </w:r>
          </w:p>
        </w:tc>
        <w:tc>
          <w:tcPr>
            <w:tcW w:w="1814" w:type="dxa"/>
            <w:shd w:val="clear" w:color="auto" w:fill="F2F7FF"/>
          </w:tcPr>
          <w:p w14:paraId="2D2984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通过</w:t>
            </w:r>
          </w:p>
        </w:tc>
        <w:tc>
          <w:tcPr>
            <w:tcW w:w="1814" w:type="dxa"/>
            <w:shd w:val="clear" w:color="auto" w:fill="F2F7FF"/>
          </w:tcPr>
          <w:p w14:paraId="5E876B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70%</w:t>
            </w:r>
          </w:p>
        </w:tc>
      </w:tr>
      <w:tr w14:paraId="2D39B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224A5E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450-550</w:t>
            </w:r>
          </w:p>
        </w:tc>
        <w:tc>
          <w:tcPr>
            <w:tcW w:w="1814" w:type="dxa"/>
            <w:shd w:val="clear" w:color="auto" w:fill="FFFFFF"/>
          </w:tcPr>
          <w:p w14:paraId="3D0BEB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25%</w:t>
            </w:r>
          </w:p>
        </w:tc>
        <w:tc>
          <w:tcPr>
            <w:tcW w:w="1814" w:type="dxa"/>
            <w:shd w:val="clear" w:color="auto" w:fill="FFFFFF"/>
          </w:tcPr>
          <w:p w14:paraId="6126F1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6.5%</w:t>
            </w:r>
          </w:p>
        </w:tc>
        <w:tc>
          <w:tcPr>
            <w:tcW w:w="1814" w:type="dxa"/>
            <w:shd w:val="clear" w:color="auto" w:fill="FFFFFF"/>
          </w:tcPr>
          <w:p w14:paraId="516804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拒绝</w:t>
            </w:r>
          </w:p>
        </w:tc>
        <w:tc>
          <w:tcPr>
            <w:tcW w:w="1814" w:type="dxa"/>
            <w:shd w:val="clear" w:color="auto" w:fill="FFFFFF"/>
          </w:tcPr>
          <w:p w14:paraId="2288EC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40%</w:t>
            </w:r>
          </w:p>
        </w:tc>
      </w:tr>
      <w:tr w14:paraId="418BB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F"/>
          </w:tcPr>
          <w:p w14:paraId="6E072F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350-450</w:t>
            </w:r>
          </w:p>
        </w:tc>
        <w:tc>
          <w:tcPr>
            <w:tcW w:w="1814" w:type="dxa"/>
            <w:shd w:val="clear" w:color="auto" w:fill="F2F7FF"/>
          </w:tcPr>
          <w:p w14:paraId="05EE92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w="1814" w:type="dxa"/>
            <w:shd w:val="clear" w:color="auto" w:fill="F2F7FF"/>
          </w:tcPr>
          <w:p w14:paraId="1C3C72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12.0%</w:t>
            </w:r>
          </w:p>
        </w:tc>
        <w:tc>
          <w:tcPr>
            <w:tcW w:w="1814" w:type="dxa"/>
            <w:shd w:val="clear" w:color="auto" w:fill="F2F7FF"/>
          </w:tcPr>
          <w:p w14:paraId="771D8B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拒绝</w:t>
            </w:r>
          </w:p>
        </w:tc>
        <w:tc>
          <w:tcPr>
            <w:tcW w:w="1814" w:type="dxa"/>
            <w:shd w:val="clear" w:color="auto" w:fill="F2F7FF"/>
          </w:tcPr>
          <w:p w14:paraId="6E2AC0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</w:tr>
      <w:tr w14:paraId="7E8F6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60073B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&lt;350</w:t>
            </w:r>
          </w:p>
        </w:tc>
        <w:tc>
          <w:tcPr>
            <w:tcW w:w="1814" w:type="dxa"/>
            <w:shd w:val="clear" w:color="auto" w:fill="FFFFFF"/>
          </w:tcPr>
          <w:p w14:paraId="5B094F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5%</w:t>
            </w:r>
          </w:p>
        </w:tc>
        <w:tc>
          <w:tcPr>
            <w:tcW w:w="1814" w:type="dxa"/>
            <w:shd w:val="clear" w:color="auto" w:fill="FFFFFF"/>
          </w:tcPr>
          <w:p w14:paraId="188CA4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20.0%</w:t>
            </w:r>
          </w:p>
        </w:tc>
        <w:tc>
          <w:tcPr>
            <w:tcW w:w="1814" w:type="dxa"/>
            <w:shd w:val="clear" w:color="auto" w:fill="FFFFFF"/>
          </w:tcPr>
          <w:p w14:paraId="3DA8F6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拒绝</w:t>
            </w:r>
          </w:p>
        </w:tc>
        <w:tc>
          <w:tcPr>
            <w:tcW w:w="1814" w:type="dxa"/>
            <w:shd w:val="clear" w:color="auto" w:fill="FFFFFF"/>
          </w:tcPr>
          <w:p w14:paraId="1B1F8B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5%</w:t>
            </w:r>
          </w:p>
        </w:tc>
      </w:tr>
    </w:tbl>
    <w:p w14:paraId="0A6A7BE4"/>
    <w:p w14:paraId="0F8F4D90">
      <w:pPr>
        <w:pStyle w:val="4"/>
      </w:pPr>
      <w:r>
        <w:rPr>
          <w:rFonts w:hint="eastAsia" w:ascii="微软雅黑" w:hAnsi="微软雅黑" w:eastAsia="微软雅黑"/>
          <w:color w:val="2E75B6"/>
          <w:lang w:val="en-US" w:eastAsia="zh-CN"/>
        </w:rPr>
        <w:t>5</w:t>
      </w:r>
      <w:r>
        <w:rPr>
          <w:rFonts w:ascii="微软雅黑" w:hAnsi="微软雅黑" w:eastAsia="微软雅黑"/>
          <w:color w:val="2E75B6"/>
        </w:rPr>
        <w:t>.2 外部数据整合</w:t>
      </w:r>
    </w:p>
    <w:p w14:paraId="48557893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外部数据是征信的重要补充，能显著提升模型区分度：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1BD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69D505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数据提供商</w:t>
            </w:r>
          </w:p>
        </w:tc>
        <w:tc>
          <w:tcPr>
            <w:tcW w:w="2268" w:type="dxa"/>
            <w:shd w:val="clear" w:color="auto" w:fill="2E75B6"/>
          </w:tcPr>
          <w:p w14:paraId="7BF64A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数据内容</w:t>
            </w:r>
          </w:p>
        </w:tc>
        <w:tc>
          <w:tcPr>
            <w:tcW w:w="2268" w:type="dxa"/>
            <w:shd w:val="clear" w:color="auto" w:fill="2E75B6"/>
          </w:tcPr>
          <w:p w14:paraId="0E4402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接入方式</w:t>
            </w:r>
          </w:p>
        </w:tc>
        <w:tc>
          <w:tcPr>
            <w:tcW w:w="2268" w:type="dxa"/>
            <w:shd w:val="clear" w:color="auto" w:fill="2E75B6"/>
          </w:tcPr>
          <w:p w14:paraId="57C5C6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22E6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7003AF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央行征信中心</w:t>
            </w:r>
          </w:p>
        </w:tc>
        <w:tc>
          <w:tcPr>
            <w:tcW w:w="2268" w:type="dxa"/>
            <w:shd w:val="clear" w:color="auto" w:fill="F2F7FF"/>
          </w:tcPr>
          <w:p w14:paraId="7F285E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个人信用报告</w:t>
            </w:r>
          </w:p>
        </w:tc>
        <w:tc>
          <w:tcPr>
            <w:tcW w:w="2268" w:type="dxa"/>
            <w:shd w:val="clear" w:color="auto" w:fill="F2F7FF"/>
          </w:tcPr>
          <w:p w14:paraId="3FEC82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专线接入</w:t>
            </w:r>
          </w:p>
        </w:tc>
        <w:tc>
          <w:tcPr>
            <w:tcW w:w="2268" w:type="dxa"/>
            <w:shd w:val="clear" w:color="auto" w:fill="F2F7FF"/>
          </w:tcPr>
          <w:p w14:paraId="5C58D5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基础信用评估</w:t>
            </w:r>
          </w:p>
        </w:tc>
      </w:tr>
      <w:tr w14:paraId="21952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0FCAB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百行征信</w:t>
            </w:r>
          </w:p>
        </w:tc>
        <w:tc>
          <w:tcPr>
            <w:tcW w:w="2268" w:type="dxa"/>
            <w:shd w:val="clear" w:color="auto" w:fill="FFFFFF"/>
          </w:tcPr>
          <w:p w14:paraId="18EDA2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多头借贷记录</w:t>
            </w:r>
          </w:p>
        </w:tc>
        <w:tc>
          <w:tcPr>
            <w:tcW w:w="2268" w:type="dxa"/>
            <w:shd w:val="clear" w:color="auto" w:fill="FFFFFF"/>
          </w:tcPr>
          <w:p w14:paraId="715400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API接口</w:t>
            </w:r>
          </w:p>
        </w:tc>
        <w:tc>
          <w:tcPr>
            <w:tcW w:w="2268" w:type="dxa"/>
            <w:shd w:val="clear" w:color="auto" w:fill="FFFFFF"/>
          </w:tcPr>
          <w:p w14:paraId="2C3C33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识别多头风险</w:t>
            </w:r>
          </w:p>
        </w:tc>
      </w:tr>
      <w:tr w14:paraId="0CDC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0CA4A9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运营商</w:t>
            </w:r>
          </w:p>
        </w:tc>
        <w:tc>
          <w:tcPr>
            <w:tcW w:w="2268" w:type="dxa"/>
            <w:shd w:val="clear" w:color="auto" w:fill="F2F7FF"/>
          </w:tcPr>
          <w:p w14:paraId="390A96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通话记录、在网时长</w:t>
            </w:r>
          </w:p>
        </w:tc>
        <w:tc>
          <w:tcPr>
            <w:tcW w:w="2268" w:type="dxa"/>
            <w:shd w:val="clear" w:color="auto" w:fill="F2F7FF"/>
          </w:tcPr>
          <w:p w14:paraId="169282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授权后API</w:t>
            </w:r>
          </w:p>
        </w:tc>
        <w:tc>
          <w:tcPr>
            <w:tcW w:w="2268" w:type="dxa"/>
            <w:shd w:val="clear" w:color="auto" w:fill="F2F7FF"/>
          </w:tcPr>
          <w:p w14:paraId="1C51E5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身份验证+稳定性</w:t>
            </w:r>
          </w:p>
        </w:tc>
      </w:tr>
      <w:tr w14:paraId="0551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ECEE2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银联</w:t>
            </w:r>
          </w:p>
        </w:tc>
        <w:tc>
          <w:tcPr>
            <w:tcW w:w="2268" w:type="dxa"/>
            <w:shd w:val="clear" w:color="auto" w:fill="FFFFFF"/>
          </w:tcPr>
          <w:p w14:paraId="6C62BE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银行卡消费记录</w:t>
            </w:r>
          </w:p>
        </w:tc>
        <w:tc>
          <w:tcPr>
            <w:tcW w:w="2268" w:type="dxa"/>
            <w:shd w:val="clear" w:color="auto" w:fill="FFFFFF"/>
          </w:tcPr>
          <w:p w14:paraId="64770D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批量报送</w:t>
            </w:r>
          </w:p>
        </w:tc>
        <w:tc>
          <w:tcPr>
            <w:tcW w:w="2268" w:type="dxa"/>
            <w:shd w:val="clear" w:color="auto" w:fill="FFFFFF"/>
          </w:tcPr>
          <w:p w14:paraId="00C3D8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消费行为画像</w:t>
            </w:r>
          </w:p>
        </w:tc>
      </w:tr>
      <w:tr w14:paraId="793C6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64FA41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公积金/社保</w:t>
            </w:r>
          </w:p>
        </w:tc>
        <w:tc>
          <w:tcPr>
            <w:tcW w:w="2268" w:type="dxa"/>
            <w:shd w:val="clear" w:color="auto" w:fill="F2F7FF"/>
          </w:tcPr>
          <w:p w14:paraId="3DFD7C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缴纳记录、基数</w:t>
            </w:r>
          </w:p>
        </w:tc>
        <w:tc>
          <w:tcPr>
            <w:tcW w:w="2268" w:type="dxa"/>
            <w:shd w:val="clear" w:color="auto" w:fill="F2F7FF"/>
          </w:tcPr>
          <w:p w14:paraId="748305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政务接口</w:t>
            </w:r>
          </w:p>
        </w:tc>
        <w:tc>
          <w:tcPr>
            <w:tcW w:w="2268" w:type="dxa"/>
            <w:shd w:val="clear" w:color="auto" w:fill="F2F7FF"/>
          </w:tcPr>
          <w:p w14:paraId="1DABCF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收入验证</w:t>
            </w:r>
          </w:p>
        </w:tc>
      </w:tr>
    </w:tbl>
    <w:p w14:paraId="3647EA43"/>
    <w:p w14:paraId="7C381978">
      <w:pPr>
        <w:pStyle w:val="3"/>
      </w:pPr>
      <w:r>
        <w:rPr>
          <w:rFonts w:hint="eastAsia" w:ascii="微软雅黑" w:hAnsi="微软雅黑" w:eastAsia="微软雅黑"/>
          <w:color w:val="1F3864"/>
          <w:lang w:val="en-US" w:eastAsia="zh-CN"/>
        </w:rPr>
        <w:t>六</w:t>
      </w:r>
      <w:r>
        <w:rPr>
          <w:rFonts w:ascii="微软雅黑" w:hAnsi="微软雅黑" w:eastAsia="微软雅黑"/>
          <w:color w:val="1F3864"/>
        </w:rPr>
        <w:t>、模型监控与迭代</w:t>
      </w:r>
    </w:p>
    <w:p w14:paraId="564E6262">
      <w:pPr>
        <w:pStyle w:val="4"/>
      </w:pPr>
      <w:r>
        <w:rPr>
          <w:rFonts w:hint="eastAsia" w:ascii="微软雅黑" w:hAnsi="微软雅黑" w:eastAsia="微软雅黑"/>
          <w:color w:val="2E75B6"/>
          <w:lang w:val="en-US" w:eastAsia="zh-CN"/>
        </w:rPr>
        <w:t>6</w:t>
      </w:r>
      <w:r>
        <w:rPr>
          <w:rFonts w:ascii="微软雅黑" w:hAnsi="微软雅黑" w:eastAsia="微软雅黑"/>
          <w:color w:val="2E75B6"/>
        </w:rPr>
        <w:t>.1 模型稳定性监控</w:t>
      </w:r>
    </w:p>
    <w:p w14:paraId="1C5AF46A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通过PSI(Population Stability Index)持续监控模型稳定性：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C5A2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2E75B6"/>
          </w:tcPr>
          <w:p w14:paraId="74F8A9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PSI值</w:t>
            </w:r>
          </w:p>
        </w:tc>
        <w:tc>
          <w:tcPr>
            <w:tcW w:w="3024" w:type="dxa"/>
            <w:shd w:val="clear" w:color="auto" w:fill="2E75B6"/>
          </w:tcPr>
          <w:p w14:paraId="42F749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稳定性判断</w:t>
            </w:r>
          </w:p>
        </w:tc>
        <w:tc>
          <w:tcPr>
            <w:tcW w:w="3024" w:type="dxa"/>
            <w:shd w:val="clear" w:color="auto" w:fill="2E75B6"/>
          </w:tcPr>
          <w:p w14:paraId="15EB86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处理措施</w:t>
            </w:r>
          </w:p>
        </w:tc>
      </w:tr>
      <w:tr w14:paraId="2FB43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2F7FF"/>
          </w:tcPr>
          <w:p w14:paraId="7A13D0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PSI &lt; 0.10</w:t>
            </w:r>
          </w:p>
        </w:tc>
        <w:tc>
          <w:tcPr>
            <w:tcW w:w="3024" w:type="dxa"/>
            <w:shd w:val="clear" w:color="auto" w:fill="F2F7FF"/>
          </w:tcPr>
          <w:p w14:paraId="290C19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稳定</w:t>
            </w:r>
          </w:p>
        </w:tc>
        <w:tc>
          <w:tcPr>
            <w:tcW w:w="3024" w:type="dxa"/>
            <w:shd w:val="clear" w:color="auto" w:fill="F2F7FF"/>
          </w:tcPr>
          <w:p w14:paraId="74C4E7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正常使用，月度例行监控</w:t>
            </w:r>
          </w:p>
        </w:tc>
      </w:tr>
      <w:tr w14:paraId="151F2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FFFFF"/>
          </w:tcPr>
          <w:p w14:paraId="47DA20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0.10 &lt;= PSI &lt; 0.20</w:t>
            </w:r>
          </w:p>
        </w:tc>
        <w:tc>
          <w:tcPr>
            <w:tcW w:w="3024" w:type="dxa"/>
            <w:shd w:val="clear" w:color="auto" w:fill="FFFFFF"/>
          </w:tcPr>
          <w:p w14:paraId="7C1787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轻微漂移</w:t>
            </w:r>
          </w:p>
        </w:tc>
        <w:tc>
          <w:tcPr>
            <w:tcW w:w="3024" w:type="dxa"/>
            <w:shd w:val="clear" w:color="auto" w:fill="FFFFFF"/>
          </w:tcPr>
          <w:p w14:paraId="760EE9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增加监控频率，准备模型更新</w:t>
            </w:r>
          </w:p>
        </w:tc>
      </w:tr>
      <w:tr w14:paraId="3E3E1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2F7FF"/>
          </w:tcPr>
          <w:p w14:paraId="24742E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PSI &gt;= 0.20</w:t>
            </w:r>
          </w:p>
        </w:tc>
        <w:tc>
          <w:tcPr>
            <w:tcW w:w="3024" w:type="dxa"/>
            <w:shd w:val="clear" w:color="auto" w:fill="F2F7FF"/>
          </w:tcPr>
          <w:p w14:paraId="46518F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显著漂移</w:t>
            </w:r>
          </w:p>
        </w:tc>
        <w:tc>
          <w:tcPr>
            <w:tcW w:w="3024" w:type="dxa"/>
            <w:shd w:val="clear" w:color="auto" w:fill="F2F7FF"/>
          </w:tcPr>
          <w:p w14:paraId="12D382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立即触发模型重建</w:t>
            </w:r>
          </w:p>
        </w:tc>
      </w:tr>
    </w:tbl>
    <w:p w14:paraId="261FCF4A"/>
    <w:p w14:paraId="00A19EFF">
      <w:pPr>
        <w:spacing w:before="360" w:after="160"/>
        <w:rPr>
          <w:rFonts w:ascii="微软雅黑" w:hAnsi="微软雅黑" w:eastAsia="微软雅黑" w:cstheme="majorBidi"/>
          <w:b/>
          <w:bCs/>
          <w:color w:val="2E75B6"/>
          <w:sz w:val="26"/>
          <w:szCs w:val="26"/>
          <w:lang w:val="en-US" w:eastAsia="en-US" w:bidi="ar-SA"/>
        </w:rPr>
      </w:pPr>
      <w:r>
        <w:rPr>
          <w:rFonts w:hint="eastAsia" w:ascii="微软雅黑" w:hAnsi="微软雅黑" w:eastAsia="微软雅黑" w:cstheme="majorBidi"/>
          <w:b/>
          <w:bCs/>
          <w:color w:val="2E75B6"/>
          <w:sz w:val="26"/>
          <w:szCs w:val="26"/>
          <w:lang w:val="en-US" w:eastAsia="zh-CN" w:bidi="ar-SA"/>
        </w:rPr>
        <w:t>6</w:t>
      </w:r>
      <w:r>
        <w:rPr>
          <w:rFonts w:ascii="微软雅黑" w:hAnsi="微软雅黑" w:eastAsia="微软雅黑" w:cstheme="majorBidi"/>
          <w:b/>
          <w:bCs/>
          <w:color w:val="2E75B6"/>
          <w:sz w:val="26"/>
          <w:szCs w:val="26"/>
          <w:lang w:val="en-US" w:eastAsia="en-US" w:bidi="ar-SA"/>
        </w:rPr>
        <w:t>.2 KS — 模型区分能力</w:t>
      </w:r>
    </w:p>
    <w:p w14:paraId="77DB5DE8">
      <w:pPr>
        <w:pStyle w:val="16"/>
        <w:numPr>
          <w:ilvl w:val="0"/>
          <w:numId w:val="0"/>
        </w:numPr>
        <w:ind w:leftChars="0"/>
        <w:rPr>
          <w:rFonts w:ascii="微软雅黑" w:hAnsi="微软雅黑" w:eastAsia="微软雅黑"/>
          <w:sz w:val="21"/>
        </w:rPr>
      </w:pPr>
      <w:r>
        <w:rPr>
          <w:rFonts w:hint="eastAsia"/>
          <w:sz w:val="21"/>
          <w:lang w:val="en-US" w:eastAsia="zh-CN"/>
        </w:rPr>
        <w:tab/>
      </w:r>
      <w:r>
        <w:rPr>
          <w:rFonts w:ascii="微软雅黑" w:hAnsi="微软雅黑" w:eastAsia="微软雅黑"/>
          <w:sz w:val="21"/>
        </w:rPr>
        <w:t>KS衡量模型区分好坏用户的能力。KS越大，模型的排序能力越强。</w:t>
      </w:r>
    </w:p>
    <w:p w14:paraId="3309FD76">
      <w:pPr>
        <w:pStyle w:val="16"/>
        <w:numPr>
          <w:ilvl w:val="0"/>
          <w:numId w:val="0"/>
        </w:numPr>
        <w:ind w:leftChars="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>KS=MAX(cum_bad−cum_good)</w:t>
      </w:r>
    </w:p>
    <w:p w14:paraId="1A8A9A04">
      <w:pPr>
        <w:spacing w:before="360" w:after="160"/>
        <w:rPr>
          <w:rFonts w:hint="eastAsia" w:ascii="微软雅黑" w:hAnsi="微软雅黑" w:eastAsia="微软雅黑" w:cstheme="majorBidi"/>
          <w:b/>
          <w:bCs/>
          <w:color w:val="2E75B6"/>
          <w:sz w:val="26"/>
          <w:szCs w:val="26"/>
          <w:lang w:val="en-US" w:eastAsia="zh-CN" w:bidi="ar-SA"/>
        </w:rPr>
      </w:pPr>
      <w:r>
        <w:rPr>
          <w:rFonts w:hint="eastAsia" w:ascii="微软雅黑" w:hAnsi="微软雅黑" w:eastAsia="微软雅黑" w:cstheme="majorBidi"/>
          <w:b/>
          <w:bCs/>
          <w:color w:val="2E75B6"/>
          <w:sz w:val="26"/>
          <w:szCs w:val="26"/>
          <w:lang w:val="en-US" w:eastAsia="zh-CN" w:bidi="ar-SA"/>
        </w:rPr>
        <w:t>6</w:t>
      </w:r>
      <w:r>
        <w:rPr>
          <w:rFonts w:hint="eastAsia" w:ascii="微软雅黑" w:hAnsi="微软雅黑" w:eastAsia="微软雅黑" w:cstheme="majorBidi"/>
          <w:b/>
          <w:bCs/>
          <w:color w:val="2E75B6"/>
          <w:sz w:val="26"/>
          <w:szCs w:val="26"/>
          <w:lang w:val="en-US" w:eastAsia="en-US" w:bidi="ar-SA"/>
        </w:rPr>
        <w:t>.</w:t>
      </w:r>
      <w:r>
        <w:rPr>
          <w:rFonts w:hint="eastAsia" w:ascii="微软雅黑" w:hAnsi="微软雅黑" w:eastAsia="微软雅黑" w:cstheme="majorBidi"/>
          <w:b/>
          <w:bCs/>
          <w:color w:val="2E75B6"/>
          <w:sz w:val="26"/>
          <w:szCs w:val="26"/>
          <w:lang w:val="en-US" w:eastAsia="zh-CN" w:bidi="ar-SA"/>
        </w:rPr>
        <w:t>3 IV &amp; WOE — 特征变量预测力</w:t>
      </w:r>
    </w:p>
    <w:p w14:paraId="4CF3BD5A">
      <w:pPr>
        <w:spacing w:before="240" w:after="100"/>
      </w:pPr>
      <w:r>
        <w:rPr>
          <w:rFonts w:ascii="Arial" w:hAnsi="Arial" w:eastAsia="Arial" w:cs="Arial"/>
          <w:b/>
          <w:bCs/>
          <w:color w:val="FF6B6B"/>
          <w:sz w:val="26"/>
          <w:szCs w:val="26"/>
        </w:rPr>
        <w:t>什么是WOE？</w:t>
      </w:r>
    </w:p>
    <w:p w14:paraId="2E2300C5">
      <w:pPr>
        <w:spacing w:before="100" w:after="80"/>
      </w:pPr>
      <w:r>
        <w:rPr>
          <w:rFonts w:ascii="Segoe UI Emoji" w:hAnsi="Segoe UI Emoji" w:eastAsia="Segoe UI Emoji" w:cs="Segoe UI Emoji"/>
          <w:sz w:val="24"/>
          <w:szCs w:val="24"/>
        </w:rPr>
        <w:t xml:space="preserve"> </w:t>
      </w:r>
      <w:r>
        <w:rPr>
          <w:rFonts w:ascii="Arial" w:hAnsi="Arial" w:eastAsia="Arial" w:cs="Arial"/>
          <w:color w:val="2D3748"/>
          <w:sz w:val="22"/>
          <w:szCs w:val="22"/>
        </w:rPr>
        <w:t>WOE衡量每个分箱中好坏客户分布的差异。</w:t>
      </w:r>
    </w:p>
    <w:tbl>
      <w:tblPr>
        <w:tblStyle w:val="3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00F4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78BFA" w:sz="4" w:space="0"/>
              <w:left w:val="single" w:color="A78BFA" w:sz="4" w:space="0"/>
              <w:bottom w:val="single" w:color="A78BFA" w:sz="4" w:space="0"/>
              <w:right w:val="single" w:color="A78BFA" w:sz="4" w:space="0"/>
            </w:tcBorders>
            <w:shd w:val="clear" w:color="auto" w:fill="EDE9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3D1F9F">
            <w:pPr>
              <w:spacing w:before="60" w:after="60"/>
            </w:pPr>
            <w:r>
              <w:rPr>
                <w:rFonts w:ascii="Arial" w:hAnsi="Arial" w:eastAsia="Arial" w:cs="Arial"/>
                <w:color w:val="2D3748"/>
                <w:sz w:val="22"/>
                <w:szCs w:val="22"/>
              </w:rPr>
              <w:t>WOE = ln(好客户占比i / 坏客户占比i) = ln(%Good_i / %Bad_i)</w:t>
            </w:r>
          </w:p>
          <w:p w14:paraId="51DD8046">
            <w:pPr>
              <w:spacing w:before="60" w:after="60"/>
            </w:pPr>
            <w:r>
              <w:rPr>
                <w:rFonts w:ascii="Arial" w:hAnsi="Arial" w:eastAsia="Arial" w:cs="Arial"/>
                <w:color w:val="2D3748"/>
                <w:sz w:val="22"/>
                <w:szCs w:val="22"/>
              </w:rPr>
              <w:t>WOE &gt; 0：该箱中好客户比例更高（低风险箱）</w:t>
            </w:r>
          </w:p>
          <w:p w14:paraId="55CADB72">
            <w:pPr>
              <w:spacing w:before="60" w:after="60"/>
            </w:pPr>
            <w:r>
              <w:rPr>
                <w:rFonts w:ascii="Arial" w:hAnsi="Arial" w:eastAsia="Arial" w:cs="Arial"/>
                <w:color w:val="2D3748"/>
                <w:sz w:val="22"/>
                <w:szCs w:val="22"/>
              </w:rPr>
              <w:t>WOE &lt; 0：该箱中坏客户比例更高（高风险箱）</w:t>
            </w:r>
          </w:p>
          <w:p w14:paraId="74BB238F">
            <w:pPr>
              <w:spacing w:before="60" w:after="60"/>
            </w:pPr>
            <w:r>
              <w:rPr>
                <w:rFonts w:ascii="Arial" w:hAnsi="Arial" w:eastAsia="Arial" w:cs="Arial"/>
                <w:color w:val="2D3748"/>
                <w:sz w:val="22"/>
                <w:szCs w:val="22"/>
              </w:rPr>
              <w:t>WOE的单调性是评分卡建模的重要前提！</w:t>
            </w:r>
          </w:p>
        </w:tc>
      </w:tr>
    </w:tbl>
    <w:p w14:paraId="0C089CF3">
      <w:pPr>
        <w:spacing w:before="240" w:after="100"/>
      </w:pPr>
      <w:r>
        <w:rPr>
          <w:rFonts w:ascii="Arial" w:hAnsi="Arial" w:eastAsia="Arial" w:cs="Arial"/>
          <w:b/>
          <w:bCs/>
          <w:color w:val="FF6B6B"/>
          <w:sz w:val="26"/>
          <w:szCs w:val="26"/>
        </w:rPr>
        <w:t>什么是IV？</w:t>
      </w:r>
    </w:p>
    <w:p w14:paraId="2B89511E">
      <w:pPr>
        <w:spacing w:before="100" w:after="80"/>
      </w:pPr>
      <w:r>
        <w:rPr>
          <w:rFonts w:ascii="Segoe UI Emoji" w:hAnsi="Segoe UI Emoji" w:eastAsia="Segoe UI Emoji" w:cs="Segoe UI Emoji"/>
          <w:sz w:val="24"/>
          <w:szCs w:val="24"/>
        </w:rPr>
        <w:t xml:space="preserve"> </w:t>
      </w:r>
      <w:r>
        <w:rPr>
          <w:rFonts w:ascii="Arial" w:hAnsi="Arial" w:eastAsia="Arial" w:cs="Arial"/>
          <w:color w:val="2D3748"/>
          <w:sz w:val="22"/>
          <w:szCs w:val="22"/>
        </w:rPr>
        <w:t>IV</w:t>
      </w:r>
      <w:r>
        <w:rPr>
          <w:rFonts w:hint="eastAsia" w:eastAsia="宋体" w:cs="Arial"/>
          <w:color w:val="2D3748"/>
          <w:sz w:val="22"/>
          <w:szCs w:val="22"/>
          <w:lang w:val="en-US" w:eastAsia="zh-CN"/>
        </w:rPr>
        <w:t>是</w:t>
      </w:r>
      <w:r>
        <w:rPr>
          <w:rFonts w:ascii="Arial" w:hAnsi="Arial" w:eastAsia="Arial" w:cs="Arial"/>
          <w:color w:val="2D3748"/>
          <w:sz w:val="22"/>
          <w:szCs w:val="22"/>
        </w:rPr>
        <w:t>衡量特征变量对目标变量的整体预测能力。</w:t>
      </w:r>
    </w:p>
    <w:tbl>
      <w:tblPr>
        <w:tblStyle w:val="3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E881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FF6B6B" w:sz="4" w:space="0"/>
              <w:left w:val="single" w:color="FF6B6B" w:sz="4" w:space="0"/>
              <w:bottom w:val="single" w:color="FF6B6B" w:sz="4" w:space="0"/>
              <w:right w:val="single" w:color="FF6B6B" w:sz="4" w:space="0"/>
            </w:tcBorders>
            <w:shd w:val="clear" w:color="auto" w:fill="FFE4E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924434">
            <w:pPr>
              <w:spacing w:before="60" w:after="60"/>
            </w:pPr>
            <w:r>
              <w:rPr>
                <w:rFonts w:ascii="Arial" w:hAnsi="Arial" w:eastAsia="Arial" w:cs="Arial"/>
                <w:color w:val="2D3748"/>
                <w:sz w:val="22"/>
                <w:szCs w:val="22"/>
              </w:rPr>
              <w:t>IV = Σ[(好客户占比i - 坏客户占比i) × WOE_i]</w:t>
            </w:r>
          </w:p>
          <w:p w14:paraId="7AD62949">
            <w:pPr>
              <w:spacing w:before="60" w:after="60"/>
            </w:pPr>
            <w:r>
              <w:rPr>
                <w:rFonts w:ascii="Arial" w:hAnsi="Arial" w:eastAsia="Arial" w:cs="Arial"/>
                <w:color w:val="2D3748"/>
                <w:sz w:val="22"/>
                <w:szCs w:val="22"/>
              </w:rPr>
              <w:t>各分箱的IV part累加 = 特征总IV值</w:t>
            </w:r>
          </w:p>
        </w:tc>
      </w:tr>
    </w:tbl>
    <w:p w14:paraId="32CFCB54">
      <w:pPr>
        <w:spacing w:before="240" w:after="100"/>
      </w:pPr>
      <w:r>
        <w:rPr>
          <w:rFonts w:ascii="Arial" w:hAnsi="Arial" w:eastAsia="Arial" w:cs="Arial"/>
          <w:b/>
          <w:bCs/>
          <w:color w:val="A78BFA"/>
          <w:sz w:val="26"/>
          <w:szCs w:val="26"/>
        </w:rPr>
        <w:t>IV值判断标准：</w:t>
      </w:r>
    </w:p>
    <w:tbl>
      <w:tblPr>
        <w:tblStyle w:val="3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  <w:gridCol w:w="4000"/>
      </w:tblGrid>
      <w:tr w14:paraId="7649D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78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4C9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IV值范围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78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099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预测能力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78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6BB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建议</w:t>
            </w:r>
          </w:p>
        </w:tc>
      </w:tr>
      <w:tr w14:paraId="494E5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4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68D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D3748"/>
                <w:sz w:val="20"/>
                <w:szCs w:val="20"/>
              </w:rPr>
              <w:t>&lt; 0.02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4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024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D3748"/>
                <w:sz w:val="20"/>
                <w:szCs w:val="20"/>
              </w:rPr>
              <w:t>无预测能力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4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817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D3748"/>
                <w:sz w:val="20"/>
                <w:szCs w:val="20"/>
              </w:rPr>
              <w:t>不建议使用</w:t>
            </w:r>
          </w:p>
        </w:tc>
      </w:tr>
      <w:tr w14:paraId="2D180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081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D3748"/>
                <w:sz w:val="20"/>
                <w:szCs w:val="20"/>
              </w:rPr>
              <w:t>0.02 - 0.1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954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D3748"/>
                <w:sz w:val="20"/>
                <w:szCs w:val="20"/>
              </w:rPr>
              <w:t>弱预测能力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493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D3748"/>
                <w:sz w:val="20"/>
                <w:szCs w:val="20"/>
              </w:rPr>
              <w:t>谨慎使用</w:t>
            </w:r>
          </w:p>
        </w:tc>
      </w:tr>
      <w:tr w14:paraId="6A040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7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E20B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D3748"/>
                <w:sz w:val="20"/>
                <w:szCs w:val="20"/>
              </w:rPr>
              <w:t>0.1 - 0.3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7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EDF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D3748"/>
                <w:sz w:val="20"/>
                <w:szCs w:val="20"/>
              </w:rPr>
              <w:t>中等预测能力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7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648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D3748"/>
                <w:sz w:val="20"/>
                <w:szCs w:val="20"/>
              </w:rPr>
              <w:t>可以入模</w:t>
            </w:r>
          </w:p>
        </w:tc>
      </w:tr>
      <w:tr w14:paraId="1322D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354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D3748"/>
                <w:sz w:val="20"/>
                <w:szCs w:val="20"/>
              </w:rPr>
              <w:t>&gt; 0.3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8DD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D3748"/>
                <w:sz w:val="20"/>
                <w:szCs w:val="20"/>
              </w:rPr>
              <w:t>强预测能力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CA5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D3748"/>
                <w:sz w:val="20"/>
                <w:szCs w:val="20"/>
              </w:rPr>
              <w:t>强烈推荐</w:t>
            </w:r>
          </w:p>
        </w:tc>
      </w:tr>
    </w:tbl>
    <w:p w14:paraId="5880E8FB">
      <w:pPr>
        <w:pStyle w:val="16"/>
        <w:numPr>
          <w:ilvl w:val="0"/>
          <w:numId w:val="0"/>
        </w:numPr>
        <w:ind w:leftChars="0"/>
        <w:rPr>
          <w:rFonts w:hint="default"/>
          <w:sz w:val="21"/>
          <w:lang w:val="en-US" w:eastAsia="zh-CN"/>
        </w:rPr>
      </w:pPr>
    </w:p>
    <w:p w14:paraId="6C93DE8D">
      <w:pPr>
        <w:spacing w:after="80"/>
        <w:ind w:left="0"/>
      </w:pPr>
      <w:r>
        <w:rPr>
          <w:rFonts w:ascii="微软雅黑" w:hAnsi="微软雅黑" w:eastAsia="微软雅黑"/>
          <w:b/>
          <w:sz w:val="21"/>
        </w:rPr>
        <w:t>建议模型迭代策略：</w:t>
      </w:r>
    </w:p>
    <w:p w14:paraId="0C8F714B">
      <w:pPr>
        <w:pStyle w:val="16"/>
      </w:pPr>
      <w:r>
        <w:rPr>
          <w:rFonts w:ascii="微软雅黑" w:hAnsi="微软雅黑" w:eastAsia="微软雅黑"/>
          <w:sz w:val="21"/>
        </w:rPr>
        <w:t>月度监控：每月计算KS、AUC、PSI，形成模型健康报告</w:t>
      </w:r>
    </w:p>
    <w:p w14:paraId="39ED36E0">
      <w:pPr>
        <w:pStyle w:val="16"/>
      </w:pPr>
      <w:r>
        <w:rPr>
          <w:rFonts w:ascii="微软雅黑" w:hAnsi="微软雅黑" w:eastAsia="微软雅黑"/>
          <w:sz w:val="21"/>
        </w:rPr>
        <w:t>季度评估：每季度进行模型性能全面评估，对比同业标杆</w:t>
      </w:r>
    </w:p>
    <w:p w14:paraId="44EA53E6">
      <w:pPr>
        <w:pStyle w:val="16"/>
      </w:pPr>
      <w:r>
        <w:rPr>
          <w:rFonts w:ascii="微软雅黑" w:hAnsi="微软雅黑" w:eastAsia="微软雅黑"/>
          <w:sz w:val="21"/>
        </w:rPr>
        <w:t>年度重建：每年至少一次完整模型重建，纳入最新数据</w:t>
      </w:r>
    </w:p>
    <w:p w14:paraId="21CCB482">
      <w:pPr>
        <w:pStyle w:val="16"/>
      </w:pPr>
      <w:r>
        <w:rPr>
          <w:rFonts w:ascii="微软雅黑" w:hAnsi="微软雅黑" w:eastAsia="微软雅黑"/>
          <w:sz w:val="21"/>
        </w:rPr>
        <w:t>应急重建：PSI&gt;0.20或KS下降&gt;5个百分点时立即启动</w:t>
      </w:r>
    </w:p>
    <w:p w14:paraId="3C3EA478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ascii="微软雅黑" w:hAnsi="微软雅黑" w:eastAsia="微软雅黑"/>
          <w:sz w:val="21"/>
        </w:rPr>
      </w:pPr>
    </w:p>
    <w:p w14:paraId="000783B4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ascii="微软雅黑" w:hAnsi="微软雅黑" w:eastAsia="微软雅黑"/>
          <w:sz w:val="21"/>
        </w:rPr>
      </w:pPr>
    </w:p>
    <w:p w14:paraId="5ECEA992">
      <w:pPr>
        <w:pStyle w:val="3"/>
        <w:numPr>
          <w:ilvl w:val="0"/>
          <w:numId w:val="10"/>
        </w:numPr>
        <w:rPr>
          <w:rFonts w:ascii="微软雅黑" w:hAnsi="微软雅黑" w:eastAsia="微软雅黑"/>
          <w:color w:val="1F3864"/>
        </w:rPr>
      </w:pPr>
      <w:r>
        <w:rPr>
          <w:rFonts w:hint="eastAsia" w:ascii="微软雅黑" w:hAnsi="微软雅黑" w:eastAsia="微软雅黑"/>
          <w:color w:val="1F3864"/>
          <w:lang w:val="en-US" w:eastAsia="zh-CN"/>
        </w:rPr>
        <w:t>Lift</w:t>
      </w:r>
      <w:r>
        <w:rPr>
          <w:rFonts w:ascii="微软雅黑" w:hAnsi="微软雅黑" w:eastAsia="微软雅黑"/>
          <w:color w:val="1F3864"/>
        </w:rPr>
        <w:t>模型监控与迭代</w:t>
      </w:r>
    </w:p>
    <w:p w14:paraId="29AFBC6F">
      <w:pPr>
        <w:spacing w:before="360" w:after="160"/>
        <w:rPr>
          <w:rFonts w:hint="eastAsia" w:cstheme="majorBidi"/>
          <w:b/>
          <w:bCs/>
          <w:color w:val="2E75B6"/>
          <w:sz w:val="26"/>
          <w:szCs w:val="26"/>
          <w:lang w:val="en-US" w:eastAsia="zh-CN" w:bidi="ar-SA"/>
        </w:rPr>
      </w:pPr>
      <w:r>
        <w:rPr>
          <w:rFonts w:hint="eastAsia" w:cstheme="majorBidi"/>
          <w:b/>
          <w:bCs/>
          <w:color w:val="2E75B6"/>
          <w:sz w:val="26"/>
          <w:szCs w:val="26"/>
          <w:lang w:val="en-US" w:eastAsia="zh-CN" w:bidi="ar-SA"/>
        </w:rPr>
        <w:t>7.1</w:t>
      </w:r>
      <w:r>
        <w:rPr>
          <w:rFonts w:ascii="微软雅黑" w:hAnsi="微软雅黑" w:eastAsia="微软雅黑" w:cstheme="majorBidi"/>
          <w:b/>
          <w:bCs/>
          <w:color w:val="2E75B6"/>
          <w:sz w:val="26"/>
          <w:szCs w:val="26"/>
          <w:lang w:val="en-US" w:eastAsia="en-US" w:bidi="ar-SA"/>
        </w:rPr>
        <w:t xml:space="preserve"> </w:t>
      </w:r>
      <w:r>
        <w:rPr>
          <w:rFonts w:hint="eastAsia" w:cstheme="majorBidi"/>
          <w:b/>
          <w:bCs/>
          <w:color w:val="2E75B6"/>
          <w:sz w:val="26"/>
          <w:szCs w:val="26"/>
          <w:lang w:val="en-US" w:eastAsia="zh-CN" w:bidi="ar-SA"/>
        </w:rPr>
        <w:t>什么是Lift值</w:t>
      </w:r>
    </w:p>
    <w:p w14:paraId="692684BD">
      <w:pPr>
        <w:spacing w:before="360" w:after="160"/>
        <w:ind w:firstLine="630" w:firstLineChars="300"/>
      </w:pPr>
      <w:r>
        <w:t>Lift 衡量的是：在使用模型/策略的情况下，捕获目标用户（如欺诈者、高风险客户）的能力，相比于随机选取有多大提升</w:t>
      </w:r>
    </w:p>
    <w:p w14:paraId="4F92EB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·</w:t>
      </w:r>
      <w:r>
        <w:rPr>
          <w:rFonts w:hint="eastAsia"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 xml:space="preserve">  </w:t>
      </w: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Lift &gt; 1：比随机好，越大越好</w:t>
      </w:r>
    </w:p>
    <w:p w14:paraId="5C7745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  <w:r>
        <w:rPr>
          <w:rFonts w:hint="default"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·</w:t>
      </w:r>
      <w:r>
        <w:rPr>
          <w:rFonts w:hint="eastAsia"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 xml:space="preserve">  </w:t>
      </w: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Lift = 1：和随机一样</w:t>
      </w:r>
    </w:p>
    <w:p w14:paraId="220FE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</w:pPr>
      <w:r>
        <w:rPr>
          <w:rFonts w:hint="default"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·</w:t>
      </w:r>
      <w:r>
        <w:rPr>
          <w:rFonts w:hint="eastAsia"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 xml:space="preserve">  </w:t>
      </w:r>
      <w:r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  <w:t>Lift &lt; 1：还不如随机</w:t>
      </w:r>
    </w:p>
    <w:p w14:paraId="7299C780">
      <w:pPr>
        <w:spacing w:before="360" w:after="160"/>
        <w:rPr>
          <w:rFonts w:hint="eastAsia" w:cstheme="majorBidi"/>
          <w:b/>
          <w:bCs/>
          <w:color w:val="2E75B6"/>
          <w:sz w:val="26"/>
          <w:szCs w:val="26"/>
          <w:lang w:val="en-US" w:eastAsia="zh-CN" w:bidi="ar-SA"/>
        </w:rPr>
      </w:pPr>
      <w:r>
        <w:rPr>
          <w:rFonts w:hint="eastAsia" w:cstheme="majorBidi"/>
          <w:b/>
          <w:bCs/>
          <w:color w:val="2E75B6"/>
          <w:sz w:val="26"/>
          <w:szCs w:val="26"/>
          <w:lang w:val="en-US" w:eastAsia="zh-CN" w:bidi="ar-SA"/>
        </w:rPr>
        <w:t>7.2</w:t>
      </w:r>
      <w:r>
        <w:rPr>
          <w:rFonts w:ascii="微软雅黑" w:hAnsi="微软雅黑" w:eastAsia="微软雅黑" w:cstheme="majorBidi"/>
          <w:b/>
          <w:bCs/>
          <w:color w:val="2E75B6"/>
          <w:sz w:val="26"/>
          <w:szCs w:val="26"/>
          <w:lang w:val="en-US" w:eastAsia="en-US" w:bidi="ar-SA"/>
        </w:rPr>
        <w:t xml:space="preserve"> </w:t>
      </w:r>
      <w:r>
        <w:rPr>
          <w:rFonts w:hint="eastAsia" w:cstheme="majorBidi"/>
          <w:b/>
          <w:bCs/>
          <w:color w:val="2E75B6"/>
          <w:sz w:val="26"/>
          <w:szCs w:val="26"/>
          <w:lang w:val="en-US" w:eastAsia="zh-CN" w:bidi="ar-SA"/>
        </w:rPr>
        <w:t>Lift值的定义</w:t>
      </w:r>
    </w:p>
    <w:p w14:paraId="307B06C1">
      <w:pPr>
        <w:pStyle w:val="4"/>
      </w:pPr>
      <w:r>
        <w:rPr>
          <w:b/>
          <w:bCs/>
        </w:rPr>
        <w:t>核心公式</w:t>
      </w:r>
    </w:p>
    <w:p w14:paraId="4036BDFA">
      <w:pPr>
        <w:shd w:val="clear" w:fill="EBF3FB"/>
        <w:spacing w:before="200" w:after="200"/>
        <w:jc w:val="center"/>
      </w:pPr>
      <w:r>
        <w:rPr>
          <w:rFonts w:ascii="Courier New" w:hAnsi="Courier New" w:eastAsia="Courier New" w:cs="Courier New"/>
          <w:b/>
          <w:bCs/>
          <w:color w:val="1E5FA8"/>
          <w:sz w:val="28"/>
          <w:szCs w:val="28"/>
        </w:rPr>
        <w:t>Lift = （模型命中率） / （随机命中率）</w:t>
      </w:r>
    </w:p>
    <w:p w14:paraId="4E60C108">
      <w:pPr>
        <w:spacing w:before="120" w:after="120" w:line="360" w:lineRule="auto"/>
        <w:jc w:val="both"/>
      </w:pPr>
      <w:r>
        <w:t>其中：</w:t>
      </w:r>
    </w:p>
    <w:p w14:paraId="17A9A90C">
      <w:pPr>
        <w:pStyle w:val="144"/>
        <w:numPr>
          <w:ilvl w:val="0"/>
          <w:numId w:val="9"/>
        </w:numPr>
        <w:spacing w:before="80" w:after="80" w:line="320" w:lineRule="auto"/>
      </w:pPr>
      <w:r>
        <w:t xml:space="preserve">模型命中率 = 在模型排序 </w:t>
      </w:r>
      <w:r>
        <w:rPr>
          <w:rFonts w:hint="eastAsia"/>
          <w:lang w:val="en-US" w:eastAsia="zh-CN"/>
        </w:rPr>
        <w:t>A组</w:t>
      </w:r>
      <w:r>
        <w:t>样本中，</w:t>
      </w:r>
      <w:r>
        <w:rPr>
          <w:rFonts w:hint="eastAsia"/>
          <w:lang w:val="en-US" w:eastAsia="zh-CN"/>
        </w:rPr>
        <w:t>坏账率</w:t>
      </w:r>
    </w:p>
    <w:p w14:paraId="1CBE06EE">
      <w:pPr>
        <w:pStyle w:val="144"/>
        <w:numPr>
          <w:ilvl w:val="0"/>
          <w:numId w:val="9"/>
        </w:numPr>
        <w:spacing w:before="80" w:after="80" w:line="320" w:lineRule="auto"/>
      </w:pPr>
      <w:r>
        <w:t>随机命中率 = 全样本中</w:t>
      </w:r>
      <w:r>
        <w:rPr>
          <w:rFonts w:hint="eastAsia"/>
          <w:lang w:val="en-US" w:eastAsia="zh-CN"/>
        </w:rPr>
        <w:t>坏账率</w:t>
      </w:r>
      <w:r>
        <w:t>（Base Rate）</w:t>
      </w:r>
    </w:p>
    <w:p w14:paraId="6033D148">
      <w:pPr>
        <w:pStyle w:val="30"/>
        <w:keepNext w:val="0"/>
        <w:keepLines w:val="0"/>
        <w:widowControl/>
        <w:suppressLineNumbers w:val="0"/>
      </w:pPr>
      <w:r>
        <w:t>例如：整体坏账率为 5%，A组用户10% 的人群中坏账率为 25%，则该组的 Lift = 25% / 5% = 5。这意味着A组的识别能力是随机抽取的 5 倍</w:t>
      </w:r>
    </w:p>
    <w:p w14:paraId="0F2A16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ascii="微软雅黑" w:hAnsi="微软雅黑" w:eastAsia="微软雅黑" w:cstheme="minorBidi"/>
          <w:kern w:val="0"/>
          <w:sz w:val="24"/>
          <w:szCs w:val="22"/>
          <w:lang w:val="en-US" w:eastAsia="zh-CN" w:bidi="ar"/>
        </w:rPr>
      </w:pPr>
    </w:p>
    <w:p w14:paraId="570A99B5">
      <w:pPr>
        <w:spacing w:before="360" w:after="160"/>
        <w:rPr>
          <w:rFonts w:hint="eastAsia" w:cstheme="majorBidi"/>
          <w:b/>
          <w:bCs/>
          <w:color w:val="2E75B6"/>
          <w:sz w:val="26"/>
          <w:szCs w:val="26"/>
          <w:lang w:val="en-US" w:eastAsia="zh-CN" w:bidi="ar-SA"/>
        </w:rPr>
      </w:pPr>
      <w:r>
        <w:rPr>
          <w:rFonts w:hint="eastAsia" w:cstheme="majorBidi"/>
          <w:b/>
          <w:bCs/>
          <w:color w:val="2E75B6"/>
          <w:sz w:val="26"/>
          <w:szCs w:val="26"/>
          <w:lang w:val="en-US" w:eastAsia="zh-CN" w:bidi="ar-SA"/>
        </w:rPr>
        <w:t>7.3</w:t>
      </w:r>
      <w:r>
        <w:rPr>
          <w:rFonts w:ascii="微软雅黑" w:hAnsi="微软雅黑" w:eastAsia="微软雅黑" w:cstheme="majorBidi"/>
          <w:b/>
          <w:bCs/>
          <w:color w:val="2E75B6"/>
          <w:sz w:val="26"/>
          <w:szCs w:val="26"/>
          <w:lang w:val="en-US" w:eastAsia="en-US" w:bidi="ar-SA"/>
        </w:rPr>
        <w:t xml:space="preserve"> </w:t>
      </w:r>
      <w:r>
        <w:rPr>
          <w:rFonts w:hint="eastAsia" w:cstheme="majorBidi"/>
          <w:b/>
          <w:bCs/>
          <w:color w:val="2E75B6"/>
          <w:sz w:val="26"/>
          <w:szCs w:val="26"/>
          <w:lang w:val="en-US" w:eastAsia="zh-CN" w:bidi="ar-SA"/>
        </w:rPr>
        <w:t>Lift曲线</w:t>
      </w:r>
    </w:p>
    <w:p w14:paraId="024CD250">
      <w:pPr>
        <w:pStyle w:val="30"/>
        <w:keepNext w:val="0"/>
        <w:keepLines w:val="0"/>
        <w:widowControl/>
        <w:suppressLineNumbers w:val="0"/>
      </w:pPr>
      <w:r>
        <w:t>这里仅展示授信通过用户，模型分从低到高的lift值</w:t>
      </w:r>
    </w:p>
    <w:p w14:paraId="3FAB48C1">
      <w:pPr>
        <w:pStyle w:val="30"/>
        <w:keepNext w:val="0"/>
        <w:keepLines w:val="0"/>
        <w:widowControl/>
        <w:suppressLineNumbers w:val="0"/>
      </w:pPr>
      <w:r>
        <w:t>横坐标:模型评分，从低到高，按10分位排序</w:t>
      </w:r>
    </w:p>
    <w:p w14:paraId="4759DC9F">
      <w:pPr>
        <w:pStyle w:val="30"/>
        <w:keepNext w:val="0"/>
        <w:keepLines w:val="0"/>
        <w:widowControl/>
        <w:suppressLineNumbers w:val="0"/>
        <w:rPr>
          <w:rFonts w:hint="eastAsia" w:cstheme="majorBidi"/>
          <w:b/>
          <w:bCs/>
          <w:color w:val="2E75B6"/>
          <w:sz w:val="26"/>
          <w:szCs w:val="26"/>
          <w:lang w:val="en-US" w:eastAsia="zh-CN" w:bidi="ar-SA"/>
        </w:rPr>
      </w:pPr>
      <w:r>
        <w:t>纵坐标:lift值</w:t>
      </w:r>
    </w:p>
    <w:p w14:paraId="5FC973DE">
      <w:pPr>
        <w:spacing w:before="360" w:after="160"/>
        <w:rPr>
          <w:rFonts w:hint="default" w:cstheme="majorBidi"/>
          <w:b/>
          <w:bCs/>
          <w:color w:val="2E75B6"/>
          <w:sz w:val="26"/>
          <w:szCs w:val="26"/>
          <w:lang w:val="en-US" w:eastAsia="zh-CN" w:bidi="ar-SA"/>
        </w:rPr>
      </w:pPr>
      <w:r>
        <w:drawing>
          <wp:inline distT="0" distB="0" distL="114300" distR="114300">
            <wp:extent cx="4616450" cy="2705100"/>
            <wp:effectExtent l="0" t="0" r="635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F4FC3">
      <w:pPr>
        <w:spacing w:before="360" w:after="160"/>
        <w:rPr>
          <w:rFonts w:hint="eastAsia" w:cstheme="majorBidi"/>
          <w:b/>
          <w:bCs/>
          <w:color w:val="2E75B6"/>
          <w:sz w:val="26"/>
          <w:szCs w:val="26"/>
          <w:lang w:val="en-US" w:eastAsia="zh-CN" w:bidi="ar-SA"/>
        </w:rPr>
      </w:pPr>
      <w:r>
        <w:rPr>
          <w:rFonts w:hint="eastAsia" w:cstheme="majorBidi"/>
          <w:b/>
          <w:bCs/>
          <w:color w:val="2E75B6"/>
          <w:sz w:val="26"/>
          <w:szCs w:val="26"/>
          <w:lang w:val="en-US" w:eastAsia="zh-CN" w:bidi="ar-SA"/>
        </w:rPr>
        <w:t>7.4</w:t>
      </w:r>
      <w:r>
        <w:rPr>
          <w:rFonts w:ascii="微软雅黑" w:hAnsi="微软雅黑" w:eastAsia="微软雅黑" w:cstheme="majorBidi"/>
          <w:b/>
          <w:bCs/>
          <w:color w:val="2E75B6"/>
          <w:sz w:val="26"/>
          <w:szCs w:val="26"/>
          <w:lang w:val="en-US" w:eastAsia="en-US" w:bidi="ar-SA"/>
        </w:rPr>
        <w:t xml:space="preserve"> </w:t>
      </w:r>
      <w:r>
        <w:rPr>
          <w:rFonts w:hint="eastAsia" w:cstheme="majorBidi"/>
          <w:b/>
          <w:bCs/>
          <w:color w:val="2E75B6"/>
          <w:sz w:val="26"/>
          <w:szCs w:val="26"/>
          <w:lang w:val="en-US" w:eastAsia="zh-CN" w:bidi="ar-SA"/>
        </w:rPr>
        <w:t>Lift在策略中的应用</w:t>
      </w:r>
    </w:p>
    <w:p w14:paraId="2550AFD0">
      <w:pPr>
        <w:pStyle w:val="30"/>
        <w:keepNext w:val="0"/>
        <w:keepLines w:val="0"/>
        <w:widowControl/>
        <w:suppressLineNumbers w:val="0"/>
      </w:pPr>
      <w:r>
        <w:rPr>
          <w:b/>
          <w:bCs/>
        </w:rPr>
        <w:t>背景:</w:t>
      </w:r>
      <w:r>
        <w:t>某消费金融机构贷前Mob6@30+为3.3%，从风险角度来看，老板觉得风险太高，想看看减少不同规模，对应的风险和利润情况</w:t>
      </w:r>
    </w:p>
    <w:p w14:paraId="3BE3841E">
      <w:pPr>
        <w:pStyle w:val="30"/>
        <w:keepNext w:val="0"/>
        <w:keepLines w:val="0"/>
        <w:widowControl/>
        <w:suppressLineNumbers w:val="0"/>
      </w:pPr>
    </w:p>
    <w:p w14:paraId="6D6E4899">
      <w:pPr>
        <w:pStyle w:val="30"/>
        <w:keepNext w:val="0"/>
        <w:keepLines w:val="0"/>
        <w:widowControl/>
        <w:suppressLineNumbers w:val="0"/>
      </w:pPr>
    </w:p>
    <w:p w14:paraId="75C72F72">
      <w:pPr>
        <w:pStyle w:val="30"/>
        <w:keepNext w:val="0"/>
        <w:keepLines w:val="0"/>
        <w:widowControl/>
        <w:suppressLineNumbers w:val="0"/>
      </w:pPr>
      <w:r>
        <w:rPr>
          <w:b/>
          <w:bCs/>
        </w:rPr>
        <w:t>思路:</w:t>
      </w:r>
      <w:r>
        <w:t>按照评分从低到高进行排序，然后进行分组，计算不同组别的Lift值，只要Lift大于1的都可以拒绝，如果真的都拒绝了，可能会影响业务的正常发展，这就是风险和业务发展以及利润的平衡艺术</w:t>
      </w:r>
    </w:p>
    <w:p w14:paraId="3857E577">
      <w:pPr>
        <w:pStyle w:val="30"/>
        <w:keepNext w:val="0"/>
        <w:keepLines w:val="0"/>
        <w:widowControl/>
        <w:suppressLineNumbers w:val="0"/>
      </w:pPr>
      <w:r>
        <w:t>所以对不同组的风险，lift值，GMV占比，以及收益罗列清楚，给出从低分段到高分段不同压降对业务规模和利润，以及风险的影响</w:t>
      </w:r>
    </w:p>
    <w:p w14:paraId="7F81E2D3">
      <w:pPr>
        <w:pStyle w:val="3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FFFFFF" w:themeColor="background1"/>
          <w:highlight w:val="red"/>
          <w14:textFill>
            <w14:solidFill>
              <w14:schemeClr w14:val="bg1"/>
            </w14:solidFill>
          </w14:textFill>
        </w:rPr>
        <w:t>方案1：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拒绝E类用户，EL下降18.8%的情况下(往前推就是反应在通过率下降多少)：</w:t>
      </w:r>
    </w:p>
    <w:p w14:paraId="01674B8F">
      <w:pPr>
        <w:pStyle w:val="3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GMV下降10%,利润下降9.2%</w:t>
      </w:r>
    </w:p>
    <w:p w14:paraId="623ADA7D">
      <w:pPr>
        <w:pStyle w:val="3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FFFFFF" w:themeColor="background1"/>
          <w:highlight w:val="red"/>
          <w14:textFill>
            <w14:solidFill>
              <w14:schemeClr w14:val="bg1"/>
            </w14:solidFill>
          </w14:textFill>
        </w:rPr>
        <w:t>方案</w:t>
      </w:r>
      <w:r>
        <w:rPr>
          <w:rFonts w:hint="eastAsia"/>
          <w:b/>
          <w:bCs/>
          <w:color w:val="FFFFFF" w:themeColor="background1"/>
          <w:highlight w:val="red"/>
          <w:lang w:val="en-US" w:eastAsia="zh-CN"/>
          <w14:textFill>
            <w14:solidFill>
              <w14:schemeClr w14:val="bg1"/>
            </w14:solidFill>
          </w14:textFill>
        </w:rPr>
        <w:t>2</w:t>
      </w:r>
      <w:r>
        <w:rPr>
          <w:b/>
          <w:bCs/>
          <w:color w:val="FFFFFF" w:themeColor="background1"/>
          <w:highlight w:val="red"/>
          <w14:textFill>
            <w14:solidFill>
              <w14:schemeClr w14:val="bg1"/>
            </w14:solidFill>
          </w14:textFill>
        </w:rPr>
        <w:t>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拒绝E/D类用户，EL下降42.6%的情况下：</w:t>
      </w:r>
    </w:p>
    <w:p w14:paraId="5C409BEB">
      <w:pPr>
        <w:pStyle w:val="30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GMV下降30%,利润下降30.8%</w:t>
      </w:r>
    </w:p>
    <w:p w14:paraId="74CF669E">
      <w:pPr>
        <w:spacing w:before="360" w:after="160"/>
      </w:pPr>
      <w:r>
        <w:drawing>
          <wp:inline distT="0" distB="0" distL="114300" distR="114300">
            <wp:extent cx="5756910" cy="1438910"/>
            <wp:effectExtent l="0" t="0" r="8890" b="889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C284D">
      <w:pPr>
        <w:spacing w:before="360" w:after="16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(对应02 excel中有计算公式)</w:t>
      </w:r>
    </w:p>
    <w:p w14:paraId="4F9780F8">
      <w:pPr>
        <w:spacing w:before="360" w:after="160"/>
        <w:ind w:firstLine="630" w:firstLineChars="300"/>
        <w:rPr>
          <w:rFonts w:hint="default"/>
          <w:lang w:val="en-US" w:eastAsia="zh-CN"/>
        </w:rPr>
      </w:pPr>
    </w:p>
    <w:p w14:paraId="682034C5">
      <w:pPr>
        <w:pStyle w:val="16"/>
        <w:numPr>
          <w:ilvl w:val="0"/>
          <w:numId w:val="0"/>
        </w:numPr>
        <w:ind w:leftChars="0"/>
      </w:pPr>
    </w:p>
    <w:p w14:paraId="0ACD58ED">
      <w:pPr>
        <w:pStyle w:val="16"/>
        <w:numPr>
          <w:ilvl w:val="0"/>
          <w:numId w:val="0"/>
        </w:numPr>
        <w:ind w:leftChars="0"/>
      </w:pPr>
    </w:p>
    <w:p w14:paraId="336734F5">
      <w:pPr>
        <w:spacing w:after="80"/>
        <w:ind w:left="0"/>
      </w:pP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7">
    <w:nsid w:val="4E1535D9"/>
    <w:multiLevelType w:val="singleLevel"/>
    <w:tmpl w:val="4E1535D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3B80D1B"/>
    <w:multiLevelType w:val="singleLevel"/>
    <w:tmpl w:val="53B80D1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7D661736"/>
    <w:multiLevelType w:val="singleLevel"/>
    <w:tmpl w:val="7D661736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8"/>
  </w:num>
  <w:num w:numId="9">
    <w:abstractNumId w:val="6"/>
    <w:lvlOverride w:ilvl="0">
      <w:startOverride w:val="1"/>
    </w:lvlOverride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0597"/>
    <w:rsid w:val="00AA1D8D"/>
    <w:rsid w:val="00B43207"/>
    <w:rsid w:val="00B47730"/>
    <w:rsid w:val="00CB0664"/>
    <w:rsid w:val="00FC693F"/>
    <w:rsid w:val="01967DCC"/>
    <w:rsid w:val="04F15603"/>
    <w:rsid w:val="06111796"/>
    <w:rsid w:val="07CA6A21"/>
    <w:rsid w:val="09B5744E"/>
    <w:rsid w:val="09F1646C"/>
    <w:rsid w:val="0C56634B"/>
    <w:rsid w:val="0CCF0636"/>
    <w:rsid w:val="0D625AC5"/>
    <w:rsid w:val="10920432"/>
    <w:rsid w:val="10C03FC2"/>
    <w:rsid w:val="11627D2E"/>
    <w:rsid w:val="11FC218F"/>
    <w:rsid w:val="121229A0"/>
    <w:rsid w:val="12661379"/>
    <w:rsid w:val="127A5D49"/>
    <w:rsid w:val="134959D9"/>
    <w:rsid w:val="157E2472"/>
    <w:rsid w:val="158F0DC2"/>
    <w:rsid w:val="15A153FF"/>
    <w:rsid w:val="172E1E29"/>
    <w:rsid w:val="17835529"/>
    <w:rsid w:val="19DD12BB"/>
    <w:rsid w:val="1A341B71"/>
    <w:rsid w:val="1C5479C6"/>
    <w:rsid w:val="1D3930A6"/>
    <w:rsid w:val="1E5A26FC"/>
    <w:rsid w:val="1EB35BDF"/>
    <w:rsid w:val="20014C4D"/>
    <w:rsid w:val="206D21FC"/>
    <w:rsid w:val="24952F7F"/>
    <w:rsid w:val="25127C6F"/>
    <w:rsid w:val="26F05EEE"/>
    <w:rsid w:val="27C963CD"/>
    <w:rsid w:val="28227B42"/>
    <w:rsid w:val="2A9C6515"/>
    <w:rsid w:val="2B427495"/>
    <w:rsid w:val="2C5E6803"/>
    <w:rsid w:val="2FB43C50"/>
    <w:rsid w:val="3181001F"/>
    <w:rsid w:val="319D4E37"/>
    <w:rsid w:val="321B4360"/>
    <w:rsid w:val="3266444D"/>
    <w:rsid w:val="34867988"/>
    <w:rsid w:val="34D32BB0"/>
    <w:rsid w:val="3725056C"/>
    <w:rsid w:val="3B1D19B8"/>
    <w:rsid w:val="3F0B792A"/>
    <w:rsid w:val="40667BAC"/>
    <w:rsid w:val="40D211F8"/>
    <w:rsid w:val="40E85049"/>
    <w:rsid w:val="41556814"/>
    <w:rsid w:val="423064B3"/>
    <w:rsid w:val="43284021"/>
    <w:rsid w:val="44406369"/>
    <w:rsid w:val="45714D2C"/>
    <w:rsid w:val="462E7B54"/>
    <w:rsid w:val="468C157F"/>
    <w:rsid w:val="4D086EF0"/>
    <w:rsid w:val="4ED817CF"/>
    <w:rsid w:val="4FA669F9"/>
    <w:rsid w:val="52EF06B7"/>
    <w:rsid w:val="59326E77"/>
    <w:rsid w:val="59C70328"/>
    <w:rsid w:val="5AE472AB"/>
    <w:rsid w:val="5C6E51CE"/>
    <w:rsid w:val="5CB930EC"/>
    <w:rsid w:val="5D622736"/>
    <w:rsid w:val="5E2C601D"/>
    <w:rsid w:val="5E7229A3"/>
    <w:rsid w:val="62E84689"/>
    <w:rsid w:val="637C0581"/>
    <w:rsid w:val="63901A42"/>
    <w:rsid w:val="642A59F3"/>
    <w:rsid w:val="651C0C51"/>
    <w:rsid w:val="67C12589"/>
    <w:rsid w:val="69ED7AE8"/>
    <w:rsid w:val="6AB417B5"/>
    <w:rsid w:val="6C645930"/>
    <w:rsid w:val="6C821EA1"/>
    <w:rsid w:val="6F5A7433"/>
    <w:rsid w:val="6F887A72"/>
    <w:rsid w:val="6FDC440C"/>
    <w:rsid w:val="6FFD4572"/>
    <w:rsid w:val="71E865E8"/>
    <w:rsid w:val="73695125"/>
    <w:rsid w:val="73D81935"/>
    <w:rsid w:val="73D834C2"/>
    <w:rsid w:val="74017DF2"/>
    <w:rsid w:val="7460050F"/>
    <w:rsid w:val="76051E1C"/>
    <w:rsid w:val="7B19367B"/>
    <w:rsid w:val="7DFB1A7E"/>
    <w:rsid w:val="7E95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2232</Words>
  <Characters>2557</Characters>
  <Lines>0</Lines>
  <Paragraphs>0</Paragraphs>
  <TotalTime>24</TotalTime>
  <ScaleCrop>false</ScaleCrop>
  <LinksUpToDate>false</LinksUpToDate>
  <CharactersWithSpaces>2634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38671</dc:creator>
  <cp:lastModifiedBy>Mike</cp:lastModifiedBy>
  <dcterms:modified xsi:type="dcterms:W3CDTF">2026-04-26T13:39:58Z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eyJoZGlkIjoiODAyOGM3MWVlYmIxNTk2NWM3ODViMjJiYjUwZmJmYzUiLCJ1c2VySWQiOiI2MTM5NzkyNzEifQ==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ED5D1A08EB9547FD942CB3D69A90C90E_12</vt:lpwstr>
  </property>
</Properties>
</file>