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2E252"/>
    <w:p w14:paraId="20692FAD"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风控合规与监管</w:t>
      </w:r>
    </w:p>
    <w:p w14:paraId="616091A9">
      <w:pPr>
        <w:jc w:val="center"/>
      </w:pPr>
      <w:r>
        <w:rPr>
          <w:rFonts w:ascii="微软雅黑" w:hAnsi="微软雅黑" w:eastAsia="微软雅黑"/>
          <w:color w:val="2E75B6"/>
          <w:sz w:val="28"/>
        </w:rPr>
        <w:t>监管框架与合规实践详解</w:t>
      </w:r>
    </w:p>
    <w:p w14:paraId="1622653F"/>
    <w:p w14:paraId="146DDD73">
      <w:pPr>
        <w:jc w:val="center"/>
      </w:pPr>
      <w:r>
        <w:rPr>
          <w:rFonts w:ascii="微软雅黑" w:hAnsi="微软雅黑" w:eastAsia="微软雅黑"/>
          <w:sz w:val="22"/>
        </w:rPr>
        <w:t>2026年4月</w:t>
      </w:r>
    </w:p>
    <w:p w14:paraId="3D7645E0">
      <w:r>
        <w:br w:type="page"/>
      </w:r>
    </w:p>
    <w:p w14:paraId="5E2BF407">
      <w:pPr>
        <w:pStyle w:val="3"/>
      </w:pPr>
      <w:r>
        <w:rPr>
          <w:rFonts w:ascii="微软雅黑" w:hAnsi="微软雅黑" w:eastAsia="微软雅黑"/>
          <w:color w:val="1F3864"/>
        </w:rPr>
        <w:t>一、模块概述</w:t>
      </w:r>
    </w:p>
    <w:p w14:paraId="635621A1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风控合规是消费金融机构经营的底线</w:t>
      </w:r>
      <w:bookmarkStart w:id="0" w:name="_GoBack"/>
      <w:bookmarkEnd w:id="0"/>
      <w:r>
        <w:rPr>
          <w:rFonts w:ascii="微软雅黑" w:hAnsi="微软雅黑" w:eastAsia="微软雅黑"/>
          <w:b w:val="0"/>
          <w:sz w:val="21"/>
        </w:rPr>
        <w:t>。随着监管趋严（利率上限收紧、个人信息保护法实施、反洗钱要求升级），合规管理已成为风控体系不可或缺的组成部分。不合规经营不仅面临巨额罚款，更可能导致业务停摆。</w:t>
      </w:r>
    </w:p>
    <w:p w14:paraId="311A10A1">
      <w:pPr>
        <w:pStyle w:val="3"/>
      </w:pPr>
      <w:r>
        <w:rPr>
          <w:rFonts w:ascii="微软雅黑" w:hAnsi="微软雅黑" w:eastAsia="微软雅黑"/>
          <w:color w:val="1F3864"/>
        </w:rPr>
        <w:t>二、监管框架</w:t>
      </w:r>
    </w:p>
    <w:p w14:paraId="2AE4AC33">
      <w:pPr>
        <w:pStyle w:val="4"/>
      </w:pPr>
      <w:r>
        <w:rPr>
          <w:rFonts w:ascii="微软雅黑" w:hAnsi="微软雅黑" w:eastAsia="微软雅黑"/>
          <w:color w:val="2E75B6"/>
        </w:rPr>
        <w:t>2.1 利率合规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65E1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5C3B52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利率档位</w:t>
            </w:r>
          </w:p>
        </w:tc>
        <w:tc>
          <w:tcPr>
            <w:tcW w:w="2268" w:type="dxa"/>
            <w:shd w:val="clear" w:color="auto" w:fill="2E75B6"/>
          </w:tcPr>
          <w:p w14:paraId="128DC0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APR范围</w:t>
            </w:r>
          </w:p>
        </w:tc>
        <w:tc>
          <w:tcPr>
            <w:tcW w:w="2268" w:type="dxa"/>
            <w:shd w:val="clear" w:color="auto" w:fill="2E75B6"/>
          </w:tcPr>
          <w:p w14:paraId="344B19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法律效力</w:t>
            </w:r>
          </w:p>
        </w:tc>
        <w:tc>
          <w:tcPr>
            <w:tcW w:w="2268" w:type="dxa"/>
            <w:shd w:val="clear" w:color="auto" w:fill="2E75B6"/>
          </w:tcPr>
          <w:p w14:paraId="4ABA25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合规要求</w:t>
            </w:r>
          </w:p>
        </w:tc>
      </w:tr>
      <w:tr w14:paraId="29F66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386C09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司法保护线</w:t>
            </w:r>
          </w:p>
        </w:tc>
        <w:tc>
          <w:tcPr>
            <w:tcW w:w="2268" w:type="dxa"/>
            <w:shd w:val="clear" w:color="auto" w:fill="F2F7FF"/>
          </w:tcPr>
          <w:p w14:paraId="16F07F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&lt;=24%</w:t>
            </w:r>
          </w:p>
        </w:tc>
        <w:tc>
          <w:tcPr>
            <w:tcW w:w="2268" w:type="dxa"/>
            <w:shd w:val="clear" w:color="auto" w:fill="F2F7FF"/>
          </w:tcPr>
          <w:p w14:paraId="23A5F4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法院予以保护</w:t>
            </w:r>
          </w:p>
        </w:tc>
        <w:tc>
          <w:tcPr>
            <w:tcW w:w="2268" w:type="dxa"/>
            <w:shd w:val="clear" w:color="auto" w:fill="F2F7FF"/>
          </w:tcPr>
          <w:p w14:paraId="04DD2D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必须满足的底线</w:t>
            </w:r>
          </w:p>
        </w:tc>
      </w:tr>
      <w:tr w14:paraId="47E15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A6780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法定上限</w:t>
            </w:r>
          </w:p>
        </w:tc>
        <w:tc>
          <w:tcPr>
            <w:tcW w:w="2268" w:type="dxa"/>
            <w:shd w:val="clear" w:color="auto" w:fill="FFFFFF"/>
          </w:tcPr>
          <w:p w14:paraId="04AC2B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&lt;=36%</w:t>
            </w:r>
          </w:p>
        </w:tc>
        <w:tc>
          <w:tcPr>
            <w:tcW w:w="2268" w:type="dxa"/>
            <w:shd w:val="clear" w:color="auto" w:fill="FFFFFF"/>
          </w:tcPr>
          <w:p w14:paraId="010BFC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超过部分不受保护</w:t>
            </w:r>
          </w:p>
        </w:tc>
        <w:tc>
          <w:tcPr>
            <w:tcW w:w="2268" w:type="dxa"/>
            <w:shd w:val="clear" w:color="auto" w:fill="FFFFFF"/>
          </w:tcPr>
          <w:p w14:paraId="00AE1E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超过即属违规放贷</w:t>
            </w:r>
          </w:p>
        </w:tc>
      </w:tr>
      <w:tr w14:paraId="67B74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72D522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合规运营区间</w:t>
            </w:r>
          </w:p>
        </w:tc>
        <w:tc>
          <w:tcPr>
            <w:tcW w:w="2268" w:type="dxa"/>
            <w:shd w:val="clear" w:color="auto" w:fill="F2F7FF"/>
          </w:tcPr>
          <w:p w14:paraId="6C4A9B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&lt;=24%</w:t>
            </w:r>
          </w:p>
        </w:tc>
        <w:tc>
          <w:tcPr>
            <w:tcW w:w="2268" w:type="dxa"/>
            <w:shd w:val="clear" w:color="auto" w:fill="F2F7FF"/>
          </w:tcPr>
          <w:p w14:paraId="75E4BF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完全合规</w:t>
            </w:r>
          </w:p>
        </w:tc>
        <w:tc>
          <w:tcPr>
            <w:tcW w:w="2268" w:type="dxa"/>
            <w:shd w:val="clear" w:color="auto" w:fill="F2F7FF"/>
          </w:tcPr>
          <w:p w14:paraId="148504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建议定价上限</w:t>
            </w:r>
          </w:p>
        </w:tc>
      </w:tr>
    </w:tbl>
    <w:p w14:paraId="1343873E"/>
    <w:p w14:paraId="26479244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APR计算方法：IRR(内部收益率)法，包含利息、手续费、服务费、保险费等全部费用。部分平台将费用拆分包装的"变相高利贷"做法已被监管严格限制。</w:t>
      </w:r>
    </w:p>
    <w:p w14:paraId="692D242F">
      <w:pPr>
        <w:pStyle w:val="4"/>
      </w:pPr>
      <w:r>
        <w:rPr>
          <w:rFonts w:ascii="微软雅黑" w:hAnsi="微软雅黑" w:eastAsia="微软雅黑"/>
          <w:color w:val="2E75B6"/>
        </w:rPr>
        <w:t>2.2 个人信息保护(个保法)</w:t>
      </w:r>
    </w:p>
    <w:p w14:paraId="1D8CFAEB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《个人信息保护法》对消费金融数据使用提出了严格要求：</w:t>
      </w:r>
    </w:p>
    <w:p w14:paraId="34D393CA">
      <w:pPr>
        <w:pStyle w:val="16"/>
      </w:pPr>
      <w:r>
        <w:rPr>
          <w:rFonts w:ascii="微软雅黑" w:hAnsi="微软雅黑" w:eastAsia="微软雅黑"/>
          <w:sz w:val="21"/>
        </w:rPr>
        <w:t>最小必要原则：仅收集与业务相关的必要信息</w:t>
      </w:r>
    </w:p>
    <w:p w14:paraId="6A401D54">
      <w:pPr>
        <w:pStyle w:val="16"/>
      </w:pPr>
      <w:r>
        <w:rPr>
          <w:rFonts w:ascii="微软雅黑" w:hAnsi="微软雅黑" w:eastAsia="微软雅黑"/>
          <w:sz w:val="21"/>
        </w:rPr>
        <w:t>明确授权同意：用户数据使用需获得明确、单独的授权同意</w:t>
      </w:r>
    </w:p>
    <w:p w14:paraId="27300B4D">
      <w:pPr>
        <w:pStyle w:val="16"/>
      </w:pPr>
      <w:r>
        <w:rPr>
          <w:rFonts w:ascii="微软雅黑" w:hAnsi="微软雅黑" w:eastAsia="微软雅黑"/>
          <w:sz w:val="21"/>
        </w:rPr>
        <w:t>数据安全保护：建立数据分级分类保护机制</w:t>
      </w:r>
    </w:p>
    <w:p w14:paraId="3416D592">
      <w:pPr>
        <w:pStyle w:val="16"/>
      </w:pPr>
      <w:r>
        <w:rPr>
          <w:rFonts w:ascii="微软雅黑" w:hAnsi="微软雅黑" w:eastAsia="微软雅黑"/>
          <w:sz w:val="21"/>
        </w:rPr>
        <w:t>数据共享限制：向第三方共享数据需告知用户并获得同意</w:t>
      </w:r>
    </w:p>
    <w:p w14:paraId="0C6A05D6">
      <w:pPr>
        <w:pStyle w:val="16"/>
      </w:pPr>
      <w:r>
        <w:rPr>
          <w:rFonts w:ascii="微软雅黑" w:hAnsi="微软雅黑" w:eastAsia="微软雅黑"/>
          <w:sz w:val="21"/>
        </w:rPr>
        <w:t>用户权利保障：支持用户查询、更正、删除个人信息</w:t>
      </w:r>
    </w:p>
    <w:p w14:paraId="395237C2">
      <w:pPr>
        <w:pStyle w:val="4"/>
      </w:pPr>
      <w:r>
        <w:rPr>
          <w:rFonts w:ascii="微软雅黑" w:hAnsi="微软雅黑" w:eastAsia="微软雅黑"/>
          <w:color w:val="2E75B6"/>
        </w:rPr>
        <w:t>2.3 反洗钱(AML)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9CFA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2E75B6"/>
          </w:tcPr>
          <w:p w14:paraId="403181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AML要求</w:t>
            </w:r>
          </w:p>
        </w:tc>
        <w:tc>
          <w:tcPr>
            <w:tcW w:w="3024" w:type="dxa"/>
            <w:shd w:val="clear" w:color="auto" w:fill="2E75B6"/>
          </w:tcPr>
          <w:p w14:paraId="5C99FC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3024" w:type="dxa"/>
            <w:shd w:val="clear" w:color="auto" w:fill="2E75B6"/>
          </w:tcPr>
          <w:p w14:paraId="0C6727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操作规范</w:t>
            </w:r>
          </w:p>
        </w:tc>
      </w:tr>
      <w:tr w14:paraId="38CB7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2F7FF"/>
          </w:tcPr>
          <w:p w14:paraId="022950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客户身份识别(KYC)</w:t>
            </w:r>
          </w:p>
        </w:tc>
        <w:tc>
          <w:tcPr>
            <w:tcW w:w="3024" w:type="dxa"/>
            <w:shd w:val="clear" w:color="auto" w:fill="F2F7FF"/>
          </w:tcPr>
          <w:p w14:paraId="76B052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实名认证、身份核验、风险评估</w:t>
            </w:r>
          </w:p>
        </w:tc>
        <w:tc>
          <w:tcPr>
            <w:tcW w:w="3024" w:type="dxa"/>
            <w:shd w:val="clear" w:color="auto" w:fill="F2F7FF"/>
          </w:tcPr>
          <w:p w14:paraId="263EA9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开户/放款前完成</w:t>
            </w:r>
          </w:p>
        </w:tc>
      </w:tr>
      <w:tr w14:paraId="3B423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FFFFF"/>
          </w:tcPr>
          <w:p w14:paraId="287620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大额交易报告</w:t>
            </w:r>
          </w:p>
        </w:tc>
        <w:tc>
          <w:tcPr>
            <w:tcW w:w="3024" w:type="dxa"/>
            <w:shd w:val="clear" w:color="auto" w:fill="FFFFFF"/>
          </w:tcPr>
          <w:p w14:paraId="4B4281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单笔或累计&gt;5万元的交易</w:t>
            </w:r>
          </w:p>
        </w:tc>
        <w:tc>
          <w:tcPr>
            <w:tcW w:w="3024" w:type="dxa"/>
            <w:shd w:val="clear" w:color="auto" w:fill="FFFFFF"/>
          </w:tcPr>
          <w:p w14:paraId="114204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交易发生后5个工作日内上报</w:t>
            </w:r>
          </w:p>
        </w:tc>
      </w:tr>
      <w:tr w14:paraId="36A4D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2F7FF"/>
          </w:tcPr>
          <w:p w14:paraId="7FB3AF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可疑交易报告</w:t>
            </w:r>
          </w:p>
        </w:tc>
        <w:tc>
          <w:tcPr>
            <w:tcW w:w="3024" w:type="dxa"/>
            <w:shd w:val="clear" w:color="auto" w:fill="F2F7FF"/>
          </w:tcPr>
          <w:p w14:paraId="54D272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交易金额/频率/对手方异常</w:t>
            </w:r>
          </w:p>
        </w:tc>
        <w:tc>
          <w:tcPr>
            <w:tcW w:w="3024" w:type="dxa"/>
            <w:shd w:val="clear" w:color="auto" w:fill="F2F7FF"/>
          </w:tcPr>
          <w:p w14:paraId="1CD6C3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发现后立即上报</w:t>
            </w:r>
          </w:p>
        </w:tc>
      </w:tr>
      <w:tr w14:paraId="00ECF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FFFFF"/>
          </w:tcPr>
          <w:p w14:paraId="37236F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交易记录保存</w:t>
            </w:r>
          </w:p>
        </w:tc>
        <w:tc>
          <w:tcPr>
            <w:tcW w:w="3024" w:type="dxa"/>
            <w:shd w:val="clear" w:color="auto" w:fill="FFFFFF"/>
          </w:tcPr>
          <w:p w14:paraId="090722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客户身份资料+交易记录</w:t>
            </w:r>
          </w:p>
        </w:tc>
        <w:tc>
          <w:tcPr>
            <w:tcW w:w="3024" w:type="dxa"/>
            <w:shd w:val="clear" w:color="auto" w:fill="FFFFFF"/>
          </w:tcPr>
          <w:p w14:paraId="7DF423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保存至少5年</w:t>
            </w:r>
          </w:p>
        </w:tc>
      </w:tr>
    </w:tbl>
    <w:p w14:paraId="34AFE92F"/>
    <w:p w14:paraId="171B873F">
      <w:pPr>
        <w:pStyle w:val="3"/>
      </w:pPr>
      <w:r>
        <w:rPr>
          <w:rFonts w:ascii="微软雅黑" w:hAnsi="微软雅黑" w:eastAsia="微软雅黑"/>
          <w:color w:val="1F3864"/>
        </w:rPr>
        <w:t>三、关键合规要求</w:t>
      </w:r>
    </w:p>
    <w:p w14:paraId="00DE82F5">
      <w:pPr>
        <w:pStyle w:val="4"/>
      </w:pPr>
      <w:r>
        <w:rPr>
          <w:rFonts w:ascii="微软雅黑" w:hAnsi="微软雅黑" w:eastAsia="微软雅黑"/>
          <w:color w:val="2E75B6"/>
        </w:rPr>
        <w:t>3.1 算法模型可解释性</w:t>
      </w:r>
    </w:p>
    <w:p w14:paraId="2E9D5FC6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监管对风控模型的可解释性提出明确要求：</w:t>
      </w:r>
    </w:p>
    <w:p w14:paraId="3E73D584">
      <w:pPr>
        <w:pStyle w:val="16"/>
      </w:pPr>
      <w:r>
        <w:rPr>
          <w:rFonts w:ascii="微软雅黑" w:hAnsi="微软雅黑" w:eastAsia="微软雅黑"/>
          <w:sz w:val="21"/>
        </w:rPr>
        <w:t>拒绝客户须告知原因：不能仅以"综合评分不足"为由，需提供具体拒绝理由</w:t>
      </w:r>
    </w:p>
    <w:p w14:paraId="01436F92">
      <w:pPr>
        <w:pStyle w:val="16"/>
      </w:pPr>
      <w:r>
        <w:rPr>
          <w:rFonts w:ascii="微软雅黑" w:hAnsi="微软雅黑" w:eastAsia="微软雅黑"/>
          <w:sz w:val="21"/>
        </w:rPr>
        <w:t>模型决策逻辑可追溯：建立模型解释报告，记录入模特征和决策权重</w:t>
      </w:r>
    </w:p>
    <w:p w14:paraId="4CC8EC0E">
      <w:pPr>
        <w:pStyle w:val="16"/>
      </w:pPr>
      <w:r>
        <w:rPr>
          <w:rFonts w:ascii="微软雅黑" w:hAnsi="微软雅黑" w:eastAsia="微软雅黑"/>
          <w:sz w:val="21"/>
        </w:rPr>
        <w:t>算法公平性检查：定期检查模型是否存在对特定群体的歧视性偏差</w:t>
      </w:r>
    </w:p>
    <w:p w14:paraId="19F1DD72">
      <w:pPr>
        <w:pStyle w:val="4"/>
      </w:pPr>
      <w:r>
        <w:rPr>
          <w:rFonts w:ascii="微软雅黑" w:hAnsi="微软雅黑" w:eastAsia="微软雅黑"/>
          <w:color w:val="2E75B6"/>
        </w:rPr>
        <w:t>3.2 数据授权管理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0EB5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181191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2268" w:type="dxa"/>
            <w:shd w:val="clear" w:color="auto" w:fill="2E75B6"/>
          </w:tcPr>
          <w:p w14:paraId="23A15E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授权要求</w:t>
            </w:r>
          </w:p>
        </w:tc>
        <w:tc>
          <w:tcPr>
            <w:tcW w:w="2268" w:type="dxa"/>
            <w:shd w:val="clear" w:color="auto" w:fill="2E75B6"/>
          </w:tcPr>
          <w:p w14:paraId="748AF2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授权有效期</w:t>
            </w:r>
          </w:p>
        </w:tc>
        <w:tc>
          <w:tcPr>
            <w:tcW w:w="2268" w:type="dxa"/>
            <w:shd w:val="clear" w:color="auto" w:fill="2E75B6"/>
          </w:tcPr>
          <w:p w14:paraId="01CA07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到期处理</w:t>
            </w:r>
          </w:p>
        </w:tc>
      </w:tr>
      <w:tr w14:paraId="6BE1F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05DB3D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央行征信</w:t>
            </w:r>
          </w:p>
        </w:tc>
        <w:tc>
          <w:tcPr>
            <w:tcW w:w="2268" w:type="dxa"/>
            <w:shd w:val="clear" w:color="auto" w:fill="F2F7FF"/>
          </w:tcPr>
          <w:p w14:paraId="35C30B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书面授权</w:t>
            </w:r>
          </w:p>
        </w:tc>
        <w:tc>
          <w:tcPr>
            <w:tcW w:w="2268" w:type="dxa"/>
            <w:shd w:val="clear" w:color="auto" w:fill="F2F7FF"/>
          </w:tcPr>
          <w:p w14:paraId="012F4D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与贷款合同同期限</w:t>
            </w:r>
          </w:p>
        </w:tc>
        <w:tc>
          <w:tcPr>
            <w:tcW w:w="2268" w:type="dxa"/>
            <w:shd w:val="clear" w:color="auto" w:fill="F2F7FF"/>
          </w:tcPr>
          <w:p w14:paraId="6C99E8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到期后不得再查</w:t>
            </w:r>
          </w:p>
        </w:tc>
      </w:tr>
      <w:tr w14:paraId="13FC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0F698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运营商数据</w:t>
            </w:r>
          </w:p>
        </w:tc>
        <w:tc>
          <w:tcPr>
            <w:tcW w:w="2268" w:type="dxa"/>
            <w:shd w:val="clear" w:color="auto" w:fill="FFFFFF"/>
          </w:tcPr>
          <w:p w14:paraId="6B8D53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短信/APP授权</w:t>
            </w:r>
          </w:p>
        </w:tc>
        <w:tc>
          <w:tcPr>
            <w:tcW w:w="2268" w:type="dxa"/>
            <w:shd w:val="clear" w:color="auto" w:fill="FFFFFF"/>
          </w:tcPr>
          <w:p w14:paraId="121B2B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1年(可续期)</w:t>
            </w:r>
          </w:p>
        </w:tc>
        <w:tc>
          <w:tcPr>
            <w:tcW w:w="2268" w:type="dxa"/>
            <w:shd w:val="clear" w:color="auto" w:fill="FFFFFF"/>
          </w:tcPr>
          <w:p w14:paraId="78486A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到期停止获取</w:t>
            </w:r>
          </w:p>
        </w:tc>
      </w:tr>
      <w:tr w14:paraId="0F0AF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0B8CF7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人脸数据</w:t>
            </w:r>
          </w:p>
        </w:tc>
        <w:tc>
          <w:tcPr>
            <w:tcW w:w="2268" w:type="dxa"/>
            <w:shd w:val="clear" w:color="auto" w:fill="F2F7FF"/>
          </w:tcPr>
          <w:p w14:paraId="4C1895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独立授权+告知用途</w:t>
            </w:r>
          </w:p>
        </w:tc>
        <w:tc>
          <w:tcPr>
            <w:tcW w:w="2268" w:type="dxa"/>
            <w:shd w:val="clear" w:color="auto" w:fill="F2F7FF"/>
          </w:tcPr>
          <w:p w14:paraId="1E328C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与业务场景绑定</w:t>
            </w:r>
          </w:p>
        </w:tc>
        <w:tc>
          <w:tcPr>
            <w:tcW w:w="2268" w:type="dxa"/>
            <w:shd w:val="clear" w:color="auto" w:fill="F2F7FF"/>
          </w:tcPr>
          <w:p w14:paraId="0FD813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业务结束后删除</w:t>
            </w:r>
          </w:p>
        </w:tc>
      </w:tr>
      <w:tr w14:paraId="175F0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135BD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地理位置</w:t>
            </w:r>
          </w:p>
        </w:tc>
        <w:tc>
          <w:tcPr>
            <w:tcW w:w="2268" w:type="dxa"/>
            <w:shd w:val="clear" w:color="auto" w:fill="FFFFFF"/>
          </w:tcPr>
          <w:p w14:paraId="54FF98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明确授权</w:t>
            </w:r>
          </w:p>
        </w:tc>
        <w:tc>
          <w:tcPr>
            <w:tcW w:w="2268" w:type="dxa"/>
            <w:shd w:val="clear" w:color="auto" w:fill="FFFFFF"/>
          </w:tcPr>
          <w:p w14:paraId="6475B6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按需获取</w:t>
            </w:r>
          </w:p>
        </w:tc>
        <w:tc>
          <w:tcPr>
            <w:tcW w:w="2268" w:type="dxa"/>
            <w:shd w:val="clear" w:color="auto" w:fill="FFFFFF"/>
          </w:tcPr>
          <w:p w14:paraId="62F64D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非必要不采集</w:t>
            </w:r>
          </w:p>
        </w:tc>
      </w:tr>
    </w:tbl>
    <w:p w14:paraId="7E18BAE3"/>
    <w:p w14:paraId="38B96C15">
      <w:pPr>
        <w:pStyle w:val="3"/>
      </w:pPr>
      <w:r>
        <w:rPr>
          <w:rFonts w:ascii="微软雅黑" w:hAnsi="微软雅黑" w:eastAsia="微软雅黑"/>
          <w:color w:val="1F3864"/>
        </w:rPr>
        <w:t>四、合规管理长效机制</w:t>
      </w:r>
    </w:p>
    <w:p w14:paraId="07712C20">
      <w:pPr>
        <w:pStyle w:val="16"/>
      </w:pPr>
      <w:r>
        <w:rPr>
          <w:rFonts w:ascii="微软雅黑" w:hAnsi="微软雅黑" w:eastAsia="微软雅黑"/>
          <w:sz w:val="21"/>
        </w:rPr>
        <w:t>合规日历：每月定期自查利率、催收、数据使用等合规事项</w:t>
      </w:r>
    </w:p>
    <w:p w14:paraId="76824A21">
      <w:pPr>
        <w:pStyle w:val="16"/>
      </w:pPr>
      <w:r>
        <w:rPr>
          <w:rFonts w:ascii="微软雅黑" w:hAnsi="微软雅黑" w:eastAsia="微软雅黑"/>
          <w:sz w:val="21"/>
        </w:rPr>
        <w:t>合规培训：每季度全员合规培训，新员工入职必须通过合规考试</w:t>
      </w:r>
    </w:p>
    <w:p w14:paraId="369BB1BF">
      <w:pPr>
        <w:pStyle w:val="16"/>
      </w:pPr>
      <w:r>
        <w:rPr>
          <w:rFonts w:ascii="微软雅黑" w:hAnsi="微软雅黑" w:eastAsia="微软雅黑"/>
          <w:sz w:val="21"/>
        </w:rPr>
        <w:t>监管动态跟踪：专人负责监管政策解读，新规发布后48小时内完成影响评估</w:t>
      </w:r>
    </w:p>
    <w:p w14:paraId="5459ECEA">
      <w:pPr>
        <w:pStyle w:val="16"/>
      </w:pPr>
      <w:r>
        <w:rPr>
          <w:rFonts w:ascii="微软雅黑" w:hAnsi="微软雅黑" w:eastAsia="微软雅黑"/>
          <w:sz w:val="21"/>
        </w:rPr>
        <w:t>合规红线清单：整理业务中的合规红线清单，触线即报</w:t>
      </w:r>
    </w:p>
    <w:p w14:paraId="45251111">
      <w:pPr>
        <w:pStyle w:val="16"/>
      </w:pPr>
      <w:r>
        <w:rPr>
          <w:rFonts w:ascii="微软雅黑" w:hAnsi="微软雅黑" w:eastAsia="微软雅黑"/>
          <w:sz w:val="21"/>
        </w:rPr>
        <w:t>合规审计：每年至少一次内部合规审计，每两年一次外部合规审计</w:t>
      </w:r>
    </w:p>
    <w:p w14:paraId="3A6647FB">
      <w:pPr>
        <w:pStyle w:val="3"/>
      </w:pPr>
      <w:r>
        <w:rPr>
          <w:rFonts w:ascii="微软雅黑" w:hAnsi="微软雅黑" w:eastAsia="微软雅黑"/>
          <w:color w:val="1F3864"/>
        </w:rPr>
        <w:t>五、实战案例</w:t>
      </w:r>
    </w:p>
    <w:p w14:paraId="09A93B87">
      <w:pPr>
        <w:spacing w:after="80"/>
        <w:ind w:left="0"/>
      </w:pPr>
      <w:r>
        <w:rPr>
          <w:rFonts w:ascii="微软雅黑" w:hAnsi="微软雅黑" w:eastAsia="微软雅黑"/>
          <w:b/>
          <w:sz w:val="21"/>
        </w:rPr>
        <w:t>【案例背景】某持牌消费金融公司收到银保监局现场检查通知，重点检查利率合规、反洗钱、算法可解释性及数据安全。</w:t>
      </w:r>
    </w:p>
    <w:p w14:paraId="144A1011">
      <w:pPr>
        <w:spacing w:after="80"/>
        <w:ind w:left="283"/>
      </w:pPr>
      <w:r>
        <w:rPr>
          <w:rFonts w:ascii="微软雅黑" w:hAnsi="微软雅黑" w:eastAsia="微软雅黑"/>
          <w:b w:val="0"/>
          <w:sz w:val="21"/>
        </w:rPr>
        <w:t>【整改措施】7天内完成超限产品下架；15天内完善AML监控规则并补报历史报告；20天内重新梳理数据授权协议，启动用户二次授权；25天内建立模型解释报告系统，完善拒绝理由通知机制。</w:t>
      </w:r>
    </w:p>
    <w:p w14:paraId="7455320A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【效果】顺利通过现场检查，零重大违规，整改项100%按时完成。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851B71"/>
    <w:rsid w:val="5793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1116</Words>
  <Characters>1171</Characters>
  <DocSecurity>0</DocSecurity>
  <Lines>0</Lines>
  <Paragraphs>0</Paragraphs>
  <ScaleCrop>false</ScaleCrop>
  <LinksUpToDate>false</LinksUpToDate>
  <CharactersWithSpaces>1176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2026-04-04T14:08:21Z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eyJoZGlkIjoiODAyOGM3MWVlYmIxNTk2NWM3ODViMjJiYjUwZmJmYzUiLCJ1c2VySWQiOiI2MTM5NzkyNzEifQ==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6FE94477A1314A099CED3FEA5B4BD3B1_12</vt:lpwstr>
  </property>
</Properties>
</file>