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A4C97"/>
    <w:p w14:paraId="6A29C88B"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总结与建议</w:t>
      </w:r>
    </w:p>
    <w:p w14:paraId="60C74143">
      <w:pPr>
        <w:jc w:val="center"/>
      </w:pPr>
      <w:r>
        <w:rPr>
          <w:rFonts w:ascii="微软雅黑" w:hAnsi="微软雅黑" w:eastAsia="微软雅黑"/>
          <w:color w:val="2E75B6"/>
          <w:sz w:val="28"/>
        </w:rPr>
        <w:t>数字化转型路径与十大核心建议</w:t>
      </w:r>
    </w:p>
    <w:p w14:paraId="1890BC13"/>
    <w:p w14:paraId="2CD0EA92">
      <w:pPr>
        <w:jc w:val="center"/>
      </w:pPr>
      <w:r>
        <w:rPr>
          <w:rFonts w:ascii="微软雅黑" w:hAnsi="微软雅黑" w:eastAsia="微软雅黑"/>
          <w:sz w:val="22"/>
        </w:rPr>
        <w:t>2026年4月</w:t>
      </w:r>
    </w:p>
    <w:p w14:paraId="2C71E9D4">
      <w:r>
        <w:br w:type="page"/>
      </w:r>
    </w:p>
    <w:p w14:paraId="15D48F53">
      <w:pPr>
        <w:pStyle w:val="3"/>
      </w:pPr>
      <w:r>
        <w:rPr>
          <w:rFonts w:ascii="微软雅黑" w:hAnsi="微软雅黑" w:eastAsia="微软雅黑"/>
          <w:color w:val="1F3864"/>
        </w:rPr>
        <w:t>一、模块概述</w:t>
      </w:r>
    </w:p>
    <w:p w14:paraId="6FFE81EE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消费金融风控体系建设是一项系统工程，需要从战略层面统筹规划，分阶段有序推进。本模块汇总全链路风控体系的核心建议，提出数字化转型路径规划，帮助机构从经验驱动转向数据驱动，从人工决策转向智能决策。</w:t>
      </w:r>
    </w:p>
    <w:p w14:paraId="62468F19">
      <w:pPr>
        <w:pStyle w:val="3"/>
      </w:pPr>
      <w:r>
        <w:rPr>
          <w:rFonts w:ascii="微软雅黑" w:hAnsi="微软雅黑" w:eastAsia="微软雅黑"/>
          <w:color w:val="1F3864"/>
        </w:rPr>
        <w:t>二、数字化转型规划</w:t>
      </w:r>
    </w:p>
    <w:p w14:paraId="36DC88CC">
      <w:pPr>
        <w:pStyle w:val="4"/>
      </w:pPr>
      <w:r>
        <w:rPr>
          <w:rFonts w:ascii="微软雅黑" w:hAnsi="微软雅黑" w:eastAsia="微软雅黑"/>
          <w:color w:val="2E75B6"/>
        </w:rPr>
        <w:t>第一阶段：基础夯实(第1年)</w:t>
      </w:r>
    </w:p>
    <w:p w14:paraId="09E41909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核心目标：建立数据基础设施，实现风控数据化和标准化。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EA4E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099C3E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建设项目</w:t>
            </w:r>
          </w:p>
        </w:tc>
        <w:tc>
          <w:tcPr>
            <w:tcW w:w="2268" w:type="dxa"/>
            <w:shd w:val="clear" w:color="auto" w:fill="2E75B6"/>
          </w:tcPr>
          <w:p w14:paraId="66DEEE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2268" w:type="dxa"/>
            <w:shd w:val="clear" w:color="auto" w:fill="2E75B6"/>
          </w:tcPr>
          <w:p w14:paraId="5B262B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预期成果</w:t>
            </w:r>
          </w:p>
        </w:tc>
        <w:tc>
          <w:tcPr>
            <w:tcW w:w="2268" w:type="dxa"/>
            <w:shd w:val="clear" w:color="auto" w:fill="2E75B6"/>
          </w:tcPr>
          <w:p w14:paraId="7F40C6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预算(万元)</w:t>
            </w:r>
          </w:p>
        </w:tc>
      </w:tr>
      <w:tr w14:paraId="5A644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1DBC69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数据中台</w:t>
            </w:r>
          </w:p>
        </w:tc>
        <w:tc>
          <w:tcPr>
            <w:tcW w:w="2268" w:type="dxa"/>
            <w:shd w:val="clear" w:color="auto" w:fill="F2F7FF"/>
          </w:tcPr>
          <w:p w14:paraId="00B370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统一数据仓库+ETL管线+数据质量治理</w:t>
            </w:r>
          </w:p>
        </w:tc>
        <w:tc>
          <w:tcPr>
            <w:tcW w:w="2268" w:type="dxa"/>
            <w:shd w:val="clear" w:color="auto" w:fill="F2F7FF"/>
          </w:tcPr>
          <w:p w14:paraId="2C846E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数据准确率&gt;99%</w:t>
            </w:r>
          </w:p>
        </w:tc>
        <w:tc>
          <w:tcPr>
            <w:tcW w:w="2268" w:type="dxa"/>
            <w:shd w:val="clear" w:color="auto" w:fill="F2F7FF"/>
          </w:tcPr>
          <w:p w14:paraId="148068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</w:tr>
      <w:tr w14:paraId="3A959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08E6D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评分卡模型</w:t>
            </w:r>
          </w:p>
        </w:tc>
        <w:tc>
          <w:tcPr>
            <w:tcW w:w="2268" w:type="dxa"/>
            <w:shd w:val="clear" w:color="auto" w:fill="FFFFFF"/>
          </w:tcPr>
          <w:p w14:paraId="45833E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A卡/B卡/C卡开发上线</w:t>
            </w:r>
          </w:p>
        </w:tc>
        <w:tc>
          <w:tcPr>
            <w:tcW w:w="2268" w:type="dxa"/>
            <w:shd w:val="clear" w:color="auto" w:fill="FFFFFF"/>
          </w:tcPr>
          <w:p w14:paraId="1CE0F0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KS&gt;35,AUC&gt;0.72</w:t>
            </w:r>
          </w:p>
        </w:tc>
        <w:tc>
          <w:tcPr>
            <w:tcW w:w="2268" w:type="dxa"/>
            <w:shd w:val="clear" w:color="auto" w:fill="FFFFFF"/>
          </w:tcPr>
          <w:p w14:paraId="7C9A9D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300</w:t>
            </w:r>
          </w:p>
        </w:tc>
      </w:tr>
      <w:tr w14:paraId="7A94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260D07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基础监控看板</w:t>
            </w:r>
          </w:p>
        </w:tc>
        <w:tc>
          <w:tcPr>
            <w:tcW w:w="2268" w:type="dxa"/>
            <w:shd w:val="clear" w:color="auto" w:fill="F2F7FF"/>
          </w:tcPr>
          <w:p w14:paraId="0DF8E2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逾期率/滚动率/Vintage日报周报</w:t>
            </w:r>
          </w:p>
        </w:tc>
        <w:tc>
          <w:tcPr>
            <w:tcW w:w="2268" w:type="dxa"/>
            <w:shd w:val="clear" w:color="auto" w:fill="F2F7FF"/>
          </w:tcPr>
          <w:p w14:paraId="179C37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自动化报表覆盖率&gt;80%</w:t>
            </w:r>
          </w:p>
        </w:tc>
        <w:tc>
          <w:tcPr>
            <w:tcW w:w="2268" w:type="dxa"/>
            <w:shd w:val="clear" w:color="auto" w:fill="F2F7FF"/>
          </w:tcPr>
          <w:p w14:paraId="6B5129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</w:tr>
      <w:tr w14:paraId="3DD2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7C851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人员培训</w:t>
            </w:r>
          </w:p>
        </w:tc>
        <w:tc>
          <w:tcPr>
            <w:tcW w:w="2268" w:type="dxa"/>
            <w:shd w:val="clear" w:color="auto" w:fill="FFFFFF"/>
          </w:tcPr>
          <w:p w14:paraId="54A4B8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风控团队数据技能提升</w:t>
            </w:r>
          </w:p>
        </w:tc>
        <w:tc>
          <w:tcPr>
            <w:tcW w:w="2268" w:type="dxa"/>
            <w:shd w:val="clear" w:color="auto" w:fill="FFFFFF"/>
          </w:tcPr>
          <w:p w14:paraId="7A0053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人均数据分析能力提升</w:t>
            </w:r>
          </w:p>
        </w:tc>
        <w:tc>
          <w:tcPr>
            <w:tcW w:w="2268" w:type="dxa"/>
            <w:shd w:val="clear" w:color="auto" w:fill="FFFFFF"/>
          </w:tcPr>
          <w:p w14:paraId="57E67D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</w:tr>
    </w:tbl>
    <w:p w14:paraId="17535782"/>
    <w:p w14:paraId="0A335700">
      <w:pPr>
        <w:pStyle w:val="4"/>
      </w:pPr>
      <w:r>
        <w:rPr>
          <w:rFonts w:ascii="微软雅黑" w:hAnsi="微软雅黑" w:eastAsia="微软雅黑"/>
          <w:color w:val="2E75B6"/>
        </w:rPr>
        <w:t>第二阶段：能力提升(第2年)</w:t>
      </w:r>
    </w:p>
    <w:p w14:paraId="64437C0C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核心目标：引入先进风控技术，提升反欺诈和催收能力。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6FF1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75B090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建设项目</w:t>
            </w:r>
          </w:p>
        </w:tc>
        <w:tc>
          <w:tcPr>
            <w:tcW w:w="2268" w:type="dxa"/>
            <w:shd w:val="clear" w:color="auto" w:fill="2E75B6"/>
          </w:tcPr>
          <w:p w14:paraId="4C059B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2268" w:type="dxa"/>
            <w:shd w:val="clear" w:color="auto" w:fill="2E75B6"/>
          </w:tcPr>
          <w:p w14:paraId="14211E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预期成果</w:t>
            </w:r>
          </w:p>
        </w:tc>
        <w:tc>
          <w:tcPr>
            <w:tcW w:w="2268" w:type="dxa"/>
            <w:shd w:val="clear" w:color="auto" w:fill="2E75B6"/>
          </w:tcPr>
          <w:p w14:paraId="4B523E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预算(万元)</w:t>
            </w:r>
          </w:p>
        </w:tc>
      </w:tr>
      <w:tr w14:paraId="5DCD4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70F9E3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图计算反欺诈</w:t>
            </w:r>
          </w:p>
        </w:tc>
        <w:tc>
          <w:tcPr>
            <w:tcW w:w="2268" w:type="dxa"/>
            <w:shd w:val="clear" w:color="auto" w:fill="F2F7FF"/>
          </w:tcPr>
          <w:p w14:paraId="407D4C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Neo4j图数据库+团伙识别算法</w:t>
            </w:r>
          </w:p>
        </w:tc>
        <w:tc>
          <w:tcPr>
            <w:tcW w:w="2268" w:type="dxa"/>
            <w:shd w:val="clear" w:color="auto" w:fill="F2F7FF"/>
          </w:tcPr>
          <w:p w14:paraId="7DCE1C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团伙识别率&gt;85%</w:t>
            </w:r>
          </w:p>
        </w:tc>
        <w:tc>
          <w:tcPr>
            <w:tcW w:w="2268" w:type="dxa"/>
            <w:shd w:val="clear" w:color="auto" w:fill="F2F7FF"/>
          </w:tcPr>
          <w:p w14:paraId="6F54F5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350</w:t>
            </w:r>
          </w:p>
        </w:tc>
      </w:tr>
      <w:tr w14:paraId="571A7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343B98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EWS预警体系</w:t>
            </w:r>
          </w:p>
        </w:tc>
        <w:tc>
          <w:tcPr>
            <w:tcW w:w="2268" w:type="dxa"/>
            <w:shd w:val="clear" w:color="auto" w:fill="FFFFFF"/>
          </w:tcPr>
          <w:p w14:paraId="46C724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行为评分卡+四层预警+干预联动</w:t>
            </w:r>
          </w:p>
        </w:tc>
        <w:tc>
          <w:tcPr>
            <w:tcW w:w="2268" w:type="dxa"/>
            <w:shd w:val="clear" w:color="auto" w:fill="FFFFFF"/>
          </w:tcPr>
          <w:p w14:paraId="3220F7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预警覆盖率&gt;85%</w:t>
            </w:r>
          </w:p>
        </w:tc>
        <w:tc>
          <w:tcPr>
            <w:tcW w:w="2268" w:type="dxa"/>
            <w:shd w:val="clear" w:color="auto" w:fill="FFFFFF"/>
          </w:tcPr>
          <w:p w14:paraId="382097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250</w:t>
            </w:r>
          </w:p>
        </w:tc>
      </w:tr>
      <w:tr w14:paraId="35CE2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6D5C14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AI催收机器人</w:t>
            </w:r>
          </w:p>
        </w:tc>
        <w:tc>
          <w:tcPr>
            <w:tcW w:w="2268" w:type="dxa"/>
            <w:shd w:val="clear" w:color="auto" w:fill="F2F7FF"/>
          </w:tcPr>
          <w:p w14:paraId="508FD1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NLP引擎+情绪分析+智能话术</w:t>
            </w:r>
          </w:p>
        </w:tc>
        <w:tc>
          <w:tcPr>
            <w:tcW w:w="2268" w:type="dxa"/>
            <w:shd w:val="clear" w:color="auto" w:fill="F2F7FF"/>
          </w:tcPr>
          <w:p w14:paraId="1A033A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AI催收覆盖率&gt;60%</w:t>
            </w:r>
          </w:p>
        </w:tc>
        <w:tc>
          <w:tcPr>
            <w:tcW w:w="2268" w:type="dxa"/>
            <w:shd w:val="clear" w:color="auto" w:fill="F2F7FF"/>
          </w:tcPr>
          <w:p w14:paraId="49D551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300</w:t>
            </w:r>
          </w:p>
        </w:tc>
      </w:tr>
      <w:tr w14:paraId="5668A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1EF3C2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差异化定价</w:t>
            </w:r>
          </w:p>
        </w:tc>
        <w:tc>
          <w:tcPr>
            <w:tcW w:w="2268" w:type="dxa"/>
            <w:shd w:val="clear" w:color="auto" w:fill="FFFFFF"/>
          </w:tcPr>
          <w:p w14:paraId="0B345A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风险定价模型+盈亏平衡分析</w:t>
            </w:r>
          </w:p>
        </w:tc>
        <w:tc>
          <w:tcPr>
            <w:tcW w:w="2268" w:type="dxa"/>
            <w:shd w:val="clear" w:color="auto" w:fill="FFFFFF"/>
          </w:tcPr>
          <w:p w14:paraId="468975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ROE提升2个百分点</w:t>
            </w:r>
          </w:p>
        </w:tc>
        <w:tc>
          <w:tcPr>
            <w:tcW w:w="2268" w:type="dxa"/>
            <w:shd w:val="clear" w:color="auto" w:fill="FFFFFF"/>
          </w:tcPr>
          <w:p w14:paraId="29B6D1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</w:tr>
      <w:tr w14:paraId="6E0C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0B09B1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评分卡迭代</w:t>
            </w:r>
          </w:p>
        </w:tc>
        <w:tc>
          <w:tcPr>
            <w:tcW w:w="2268" w:type="dxa"/>
            <w:shd w:val="clear" w:color="auto" w:fill="F2F7FF"/>
          </w:tcPr>
          <w:p w14:paraId="607AD8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A/B测试+模型监控+持续优化</w:t>
            </w:r>
          </w:p>
        </w:tc>
        <w:tc>
          <w:tcPr>
            <w:tcW w:w="2268" w:type="dxa"/>
            <w:shd w:val="clear" w:color="auto" w:fill="F2F7FF"/>
          </w:tcPr>
          <w:p w14:paraId="693FD4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KS稳定&gt;35</w:t>
            </w:r>
          </w:p>
        </w:tc>
        <w:tc>
          <w:tcPr>
            <w:tcW w:w="2268" w:type="dxa"/>
            <w:shd w:val="clear" w:color="auto" w:fill="F2F7FF"/>
          </w:tcPr>
          <w:p w14:paraId="548EEC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</w:tr>
    </w:tbl>
    <w:p w14:paraId="21819897"/>
    <w:p w14:paraId="6C945B14">
      <w:pPr>
        <w:pStyle w:val="4"/>
      </w:pPr>
      <w:r>
        <w:rPr>
          <w:rFonts w:ascii="微软雅黑" w:hAnsi="微软雅黑" w:eastAsia="微软雅黑"/>
          <w:color w:val="2E75B6"/>
        </w:rPr>
        <w:t>第三阶段：智能化(第3年)</w:t>
      </w:r>
    </w:p>
    <w:p w14:paraId="1996B037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核心目标：实现全链路智能决策，达到行业领先水平。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A1C2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268F27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建设项目</w:t>
            </w:r>
          </w:p>
        </w:tc>
        <w:tc>
          <w:tcPr>
            <w:tcW w:w="2268" w:type="dxa"/>
            <w:shd w:val="clear" w:color="auto" w:fill="2E75B6"/>
          </w:tcPr>
          <w:p w14:paraId="6DEA09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2268" w:type="dxa"/>
            <w:shd w:val="clear" w:color="auto" w:fill="2E75B6"/>
          </w:tcPr>
          <w:p w14:paraId="48F402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预期成果</w:t>
            </w:r>
          </w:p>
        </w:tc>
        <w:tc>
          <w:tcPr>
            <w:tcW w:w="2268" w:type="dxa"/>
            <w:shd w:val="clear" w:color="auto" w:fill="2E75B6"/>
          </w:tcPr>
          <w:p w14:paraId="0C2622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预算(万元)</w:t>
            </w:r>
          </w:p>
        </w:tc>
      </w:tr>
      <w:tr w14:paraId="75550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32A8B0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实时决策引擎</w:t>
            </w:r>
          </w:p>
        </w:tc>
        <w:tc>
          <w:tcPr>
            <w:tcW w:w="2268" w:type="dxa"/>
            <w:shd w:val="clear" w:color="auto" w:fill="F2F7FF"/>
          </w:tcPr>
          <w:p w14:paraId="71BB02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毫秒级风控决策+规则引擎</w:t>
            </w:r>
          </w:p>
        </w:tc>
        <w:tc>
          <w:tcPr>
            <w:tcW w:w="2268" w:type="dxa"/>
            <w:shd w:val="clear" w:color="auto" w:fill="F2F7FF"/>
          </w:tcPr>
          <w:p w14:paraId="7ABC41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决策时效&lt;100ms</w:t>
            </w:r>
          </w:p>
        </w:tc>
        <w:tc>
          <w:tcPr>
            <w:tcW w:w="2268" w:type="dxa"/>
            <w:shd w:val="clear" w:color="auto" w:fill="F2F7FF"/>
          </w:tcPr>
          <w:p w14:paraId="5AC42C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400</w:t>
            </w:r>
          </w:p>
        </w:tc>
      </w:tr>
      <w:tr w14:paraId="15934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027501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差异化定价引擎</w:t>
            </w:r>
          </w:p>
        </w:tc>
        <w:tc>
          <w:tcPr>
            <w:tcW w:w="2268" w:type="dxa"/>
            <w:shd w:val="clear" w:color="auto" w:fill="FFFFFF"/>
          </w:tcPr>
          <w:p w14:paraId="2982ED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千人千面定价+动态调整</w:t>
            </w:r>
          </w:p>
        </w:tc>
        <w:tc>
          <w:tcPr>
            <w:tcW w:w="2268" w:type="dxa"/>
            <w:shd w:val="clear" w:color="auto" w:fill="FFFFFF"/>
          </w:tcPr>
          <w:p w14:paraId="52BBB6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RAROC目标&gt;15%</w:t>
            </w:r>
          </w:p>
        </w:tc>
        <w:tc>
          <w:tcPr>
            <w:tcW w:w="2268" w:type="dxa"/>
            <w:shd w:val="clear" w:color="auto" w:fill="FFFFFF"/>
          </w:tcPr>
          <w:p w14:paraId="7A330F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300</w:t>
            </w:r>
          </w:p>
        </w:tc>
      </w:tr>
      <w:tr w14:paraId="0902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4D4FE3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客户生命周期管理</w:t>
            </w:r>
          </w:p>
        </w:tc>
        <w:tc>
          <w:tcPr>
            <w:tcW w:w="2268" w:type="dxa"/>
            <w:shd w:val="clear" w:color="auto" w:fill="F2F7FF"/>
          </w:tcPr>
          <w:p w14:paraId="6E92C9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全生命周期评分+精细化运营</w:t>
            </w:r>
          </w:p>
        </w:tc>
        <w:tc>
          <w:tcPr>
            <w:tcW w:w="2268" w:type="dxa"/>
            <w:shd w:val="clear" w:color="auto" w:fill="F2F7FF"/>
          </w:tcPr>
          <w:p w14:paraId="09BD08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LTV提升25%</w:t>
            </w:r>
          </w:p>
        </w:tc>
        <w:tc>
          <w:tcPr>
            <w:tcW w:w="2268" w:type="dxa"/>
            <w:shd w:val="clear" w:color="auto" w:fill="F2F7FF"/>
          </w:tcPr>
          <w:p w14:paraId="736ACE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</w:tr>
      <w:tr w14:paraId="5248B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20E8F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深度学习模型</w:t>
            </w:r>
          </w:p>
        </w:tc>
        <w:tc>
          <w:tcPr>
            <w:tcW w:w="2268" w:type="dxa"/>
            <w:shd w:val="clear" w:color="auto" w:fill="FFFFFF"/>
          </w:tcPr>
          <w:p w14:paraId="16B1A9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深度神经网络替代传统模型</w:t>
            </w:r>
          </w:p>
        </w:tc>
        <w:tc>
          <w:tcPr>
            <w:tcW w:w="2268" w:type="dxa"/>
            <w:shd w:val="clear" w:color="auto" w:fill="FFFFFF"/>
          </w:tcPr>
          <w:p w14:paraId="0D42B2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AUC&gt;0.80</w:t>
            </w:r>
          </w:p>
        </w:tc>
        <w:tc>
          <w:tcPr>
            <w:tcW w:w="2268" w:type="dxa"/>
            <w:shd w:val="clear" w:color="auto" w:fill="FFFFFF"/>
          </w:tcPr>
          <w:p w14:paraId="118D37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150</w:t>
            </w:r>
          </w:p>
        </w:tc>
      </w:tr>
      <w:tr w14:paraId="62211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6F8B1E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运营自动化</w:t>
            </w:r>
          </w:p>
        </w:tc>
        <w:tc>
          <w:tcPr>
            <w:tcW w:w="2268" w:type="dxa"/>
            <w:shd w:val="clear" w:color="auto" w:fill="F2F7FF"/>
          </w:tcPr>
          <w:p w14:paraId="223D9E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策略自动生成+效果自动评估</w:t>
            </w:r>
          </w:p>
        </w:tc>
        <w:tc>
          <w:tcPr>
            <w:tcW w:w="2268" w:type="dxa"/>
            <w:shd w:val="clear" w:color="auto" w:fill="F2F7FF"/>
          </w:tcPr>
          <w:p w14:paraId="5F1618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策略迭代周期&lt;1周</w:t>
            </w:r>
          </w:p>
        </w:tc>
        <w:tc>
          <w:tcPr>
            <w:tcW w:w="2268" w:type="dxa"/>
            <w:shd w:val="clear" w:color="auto" w:fill="F2F7FF"/>
          </w:tcPr>
          <w:p w14:paraId="479BB6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100</w:t>
            </w:r>
          </w:p>
        </w:tc>
      </w:tr>
    </w:tbl>
    <w:p w14:paraId="11114C2F"/>
    <w:p w14:paraId="52935607">
      <w:pPr>
        <w:pStyle w:val="3"/>
      </w:pPr>
      <w:r>
        <w:rPr>
          <w:rFonts w:ascii="微软雅黑" w:hAnsi="微软雅黑" w:eastAsia="微软雅黑"/>
          <w:color w:val="1F3864"/>
        </w:rPr>
        <w:t>三、十大核心建议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928"/>
        <w:gridCol w:w="1814"/>
        <w:gridCol w:w="1814"/>
        <w:gridCol w:w="1814"/>
      </w:tblGrid>
      <w:tr w14:paraId="25E0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shd w:val="clear" w:color="auto" w:fill="2E75B6"/>
          </w:tcPr>
          <w:p w14:paraId="5F62C0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928" w:type="dxa"/>
            <w:shd w:val="clear" w:color="auto" w:fill="2E75B6"/>
          </w:tcPr>
          <w:p w14:paraId="7D7057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建议内容</w:t>
            </w:r>
          </w:p>
        </w:tc>
        <w:tc>
          <w:tcPr>
            <w:tcW w:w="1814" w:type="dxa"/>
            <w:shd w:val="clear" w:color="auto" w:fill="2E75B6"/>
          </w:tcPr>
          <w:p w14:paraId="0E39DE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1814" w:type="dxa"/>
            <w:shd w:val="clear" w:color="auto" w:fill="2E75B6"/>
          </w:tcPr>
          <w:p w14:paraId="1D9A5C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实施难度</w:t>
            </w:r>
          </w:p>
        </w:tc>
        <w:tc>
          <w:tcPr>
            <w:tcW w:w="1814" w:type="dxa"/>
            <w:shd w:val="clear" w:color="auto" w:fill="2E75B6"/>
          </w:tcPr>
          <w:p w14:paraId="1BC836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预期收益</w:t>
            </w:r>
          </w:p>
        </w:tc>
      </w:tr>
      <w:tr w14:paraId="62063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shd w:val="clear" w:color="auto" w:fill="F2F7FF"/>
          </w:tcPr>
          <w:p w14:paraId="33CD8D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2928" w:type="dxa"/>
            <w:shd w:val="clear" w:color="auto" w:fill="F2F7FF"/>
          </w:tcPr>
          <w:p w14:paraId="20519A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数据为本：优先建设数据中台，确保数据质量和实时性</w:t>
            </w:r>
          </w:p>
        </w:tc>
        <w:tc>
          <w:tcPr>
            <w:tcW w:w="1814" w:type="dxa"/>
            <w:shd w:val="clear" w:color="auto" w:fill="F2F7FF"/>
          </w:tcPr>
          <w:p w14:paraId="4DF27A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w="1814" w:type="dxa"/>
            <w:shd w:val="clear" w:color="auto" w:fill="F2F7FF"/>
          </w:tcPr>
          <w:p w14:paraId="3B21F3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1814" w:type="dxa"/>
            <w:shd w:val="clear" w:color="auto" w:fill="F2F7FF"/>
          </w:tcPr>
          <w:p w14:paraId="1B6324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所有风控能力的基础</w:t>
            </w:r>
          </w:p>
        </w:tc>
      </w:tr>
      <w:tr w14:paraId="03A0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shd w:val="clear" w:color="auto" w:fill="FFFFFF"/>
          </w:tcPr>
          <w:p w14:paraId="5BCB82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2928" w:type="dxa"/>
            <w:shd w:val="clear" w:color="auto" w:fill="FFFFFF"/>
          </w:tcPr>
          <w:p w14:paraId="689AC6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模型驱动：用评分卡和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20"/>
              </w:rPr>
              <w:t>模型替代经验规则</w:t>
            </w:r>
          </w:p>
        </w:tc>
        <w:tc>
          <w:tcPr>
            <w:tcW w:w="1814" w:type="dxa"/>
            <w:shd w:val="clear" w:color="auto" w:fill="FFFFFF"/>
          </w:tcPr>
          <w:p w14:paraId="25CC8C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w="1814" w:type="dxa"/>
            <w:shd w:val="clear" w:color="auto" w:fill="FFFFFF"/>
          </w:tcPr>
          <w:p w14:paraId="7D4481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1814" w:type="dxa"/>
            <w:shd w:val="clear" w:color="auto" w:fill="FFFFFF"/>
          </w:tcPr>
          <w:p w14:paraId="18F2C7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决策科学性和一致性大幅提升</w:t>
            </w:r>
          </w:p>
        </w:tc>
      </w:tr>
      <w:tr w14:paraId="5CD3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shd w:val="clear" w:color="auto" w:fill="F2F7FF"/>
          </w:tcPr>
          <w:p w14:paraId="277F7F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2928" w:type="dxa"/>
            <w:shd w:val="clear" w:color="auto" w:fill="F2F7FF"/>
          </w:tcPr>
          <w:p w14:paraId="670DCE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全链路联动：贷前-贷中-贷后信息打通，闭环管理</w:t>
            </w:r>
          </w:p>
        </w:tc>
        <w:tc>
          <w:tcPr>
            <w:tcW w:w="1814" w:type="dxa"/>
            <w:shd w:val="clear" w:color="auto" w:fill="F2F7FF"/>
          </w:tcPr>
          <w:p w14:paraId="4CAE30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w="1814" w:type="dxa"/>
            <w:shd w:val="clear" w:color="auto" w:fill="F2F7FF"/>
          </w:tcPr>
          <w:p w14:paraId="777914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w="1814" w:type="dxa"/>
            <w:shd w:val="clear" w:color="auto" w:fill="F2F7FF"/>
          </w:tcPr>
          <w:p w14:paraId="37F32D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整体风控效能最大化</w:t>
            </w:r>
          </w:p>
        </w:tc>
      </w:tr>
      <w:tr w14:paraId="5408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shd w:val="clear" w:color="auto" w:fill="FFFFFF"/>
          </w:tcPr>
          <w:p w14:paraId="19B4F6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2928" w:type="dxa"/>
            <w:shd w:val="clear" w:color="auto" w:fill="FFFFFF"/>
          </w:tcPr>
          <w:p w14:paraId="19A3C2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差异化定价：实施风险定价，优质客户给优惠</w:t>
            </w:r>
          </w:p>
        </w:tc>
        <w:tc>
          <w:tcPr>
            <w:tcW w:w="1814" w:type="dxa"/>
            <w:shd w:val="clear" w:color="auto" w:fill="FFFFFF"/>
          </w:tcPr>
          <w:p w14:paraId="2D617E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w="1814" w:type="dxa"/>
            <w:shd w:val="clear" w:color="auto" w:fill="FFFFFF"/>
          </w:tcPr>
          <w:p w14:paraId="56C356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1814" w:type="dxa"/>
            <w:shd w:val="clear" w:color="auto" w:fill="FFFFFF"/>
          </w:tcPr>
          <w:p w14:paraId="60C06F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ROE提升2-3个百分点</w:t>
            </w:r>
          </w:p>
        </w:tc>
      </w:tr>
      <w:tr w14:paraId="1C8B3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shd w:val="clear" w:color="auto" w:fill="F2F7FF"/>
          </w:tcPr>
          <w:p w14:paraId="00CFC1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2928" w:type="dxa"/>
            <w:shd w:val="clear" w:color="auto" w:fill="F2F7FF"/>
          </w:tcPr>
          <w:p w14:paraId="6E26F4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合规优先：始终将合规放在首位</w:t>
            </w:r>
          </w:p>
        </w:tc>
        <w:tc>
          <w:tcPr>
            <w:tcW w:w="1814" w:type="dxa"/>
            <w:shd w:val="clear" w:color="auto" w:fill="F2F7FF"/>
          </w:tcPr>
          <w:p w14:paraId="1629EC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w="1814" w:type="dxa"/>
            <w:shd w:val="clear" w:color="auto" w:fill="F2F7FF"/>
          </w:tcPr>
          <w:p w14:paraId="201CE5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w="1814" w:type="dxa"/>
            <w:shd w:val="clear" w:color="auto" w:fill="F2F7FF"/>
          </w:tcPr>
          <w:p w14:paraId="3A2BCC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避免监管处罚影响业务</w:t>
            </w:r>
          </w:p>
        </w:tc>
      </w:tr>
      <w:tr w14:paraId="22916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shd w:val="clear" w:color="auto" w:fill="FFFFFF"/>
          </w:tcPr>
          <w:p w14:paraId="5D0599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2928" w:type="dxa"/>
            <w:shd w:val="clear" w:color="auto" w:fill="FFFFFF"/>
          </w:tcPr>
          <w:p w14:paraId="2FF54B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客户分层运营：精细化客户管理，提升LTV</w:t>
            </w:r>
          </w:p>
        </w:tc>
        <w:tc>
          <w:tcPr>
            <w:tcW w:w="1814" w:type="dxa"/>
            <w:shd w:val="clear" w:color="auto" w:fill="FFFFFF"/>
          </w:tcPr>
          <w:p w14:paraId="7E815C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1814" w:type="dxa"/>
            <w:shd w:val="clear" w:color="auto" w:fill="FFFFFF"/>
          </w:tcPr>
          <w:p w14:paraId="4D4FE0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1814" w:type="dxa"/>
            <w:shd w:val="clear" w:color="auto" w:fill="FFFFFF"/>
          </w:tcPr>
          <w:p w14:paraId="539B09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LTV提升20%-30%</w:t>
            </w:r>
          </w:p>
        </w:tc>
      </w:tr>
      <w:tr w14:paraId="4D3F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shd w:val="clear" w:color="auto" w:fill="F2F7FF"/>
          </w:tcPr>
          <w:p w14:paraId="218F12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2928" w:type="dxa"/>
            <w:shd w:val="clear" w:color="auto" w:fill="F2F7FF"/>
          </w:tcPr>
          <w:p w14:paraId="17EAFB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人机协作：AI处理标准化，人工聚焦复杂判断</w:t>
            </w:r>
          </w:p>
        </w:tc>
        <w:tc>
          <w:tcPr>
            <w:tcW w:w="1814" w:type="dxa"/>
            <w:shd w:val="clear" w:color="auto" w:fill="F2F7FF"/>
          </w:tcPr>
          <w:p w14:paraId="673F0A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1814" w:type="dxa"/>
            <w:shd w:val="clear" w:color="auto" w:fill="F2F7FF"/>
          </w:tcPr>
          <w:p w14:paraId="436956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1814" w:type="dxa"/>
            <w:shd w:val="clear" w:color="auto" w:fill="F2F7FF"/>
          </w:tcPr>
          <w:p w14:paraId="54E330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效率提升3-5倍</w:t>
            </w:r>
          </w:p>
        </w:tc>
      </w:tr>
      <w:tr w14:paraId="1E3FD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shd w:val="clear" w:color="auto" w:fill="FFFFFF"/>
          </w:tcPr>
          <w:p w14:paraId="4787B7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2928" w:type="dxa"/>
            <w:shd w:val="clear" w:color="auto" w:fill="FFFFFF"/>
          </w:tcPr>
          <w:p w14:paraId="0F00D8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快速迭代：A/B测试机制，小步快跑</w:t>
            </w:r>
          </w:p>
        </w:tc>
        <w:tc>
          <w:tcPr>
            <w:tcW w:w="1814" w:type="dxa"/>
            <w:shd w:val="clear" w:color="auto" w:fill="FFFFFF"/>
          </w:tcPr>
          <w:p w14:paraId="4755A0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w="1814" w:type="dxa"/>
            <w:shd w:val="clear" w:color="auto" w:fill="FFFFFF"/>
          </w:tcPr>
          <w:p w14:paraId="341B05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w="1814" w:type="dxa"/>
            <w:shd w:val="clear" w:color="auto" w:fill="FFFFFF"/>
          </w:tcPr>
          <w:p w14:paraId="4DCC1B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策略优化周期缩短50%</w:t>
            </w:r>
          </w:p>
        </w:tc>
      </w:tr>
      <w:tr w14:paraId="4435E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shd w:val="clear" w:color="auto" w:fill="F2F7FF"/>
          </w:tcPr>
          <w:p w14:paraId="70B318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w="2928" w:type="dxa"/>
            <w:shd w:val="clear" w:color="auto" w:fill="F2F7FF"/>
          </w:tcPr>
          <w:p w14:paraId="562F24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外部数据融合：利用征信、三方、政务数据</w:t>
            </w:r>
          </w:p>
        </w:tc>
        <w:tc>
          <w:tcPr>
            <w:tcW w:w="1814" w:type="dxa"/>
            <w:shd w:val="clear" w:color="auto" w:fill="F2F7FF"/>
          </w:tcPr>
          <w:p w14:paraId="789E8D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1814" w:type="dxa"/>
            <w:shd w:val="clear" w:color="auto" w:fill="F2F7FF"/>
          </w:tcPr>
          <w:p w14:paraId="31546C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w="1814" w:type="dxa"/>
            <w:shd w:val="clear" w:color="auto" w:fill="F2F7FF"/>
          </w:tcPr>
          <w:p w14:paraId="11774C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模型KS提升5-10个百分点</w:t>
            </w:r>
          </w:p>
        </w:tc>
      </w:tr>
      <w:tr w14:paraId="37B10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0" w:type="dxa"/>
            <w:shd w:val="clear" w:color="auto" w:fill="FFFFFF"/>
          </w:tcPr>
          <w:p w14:paraId="2BB854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w="2928" w:type="dxa"/>
            <w:shd w:val="clear" w:color="auto" w:fill="FFFFFF"/>
          </w:tcPr>
          <w:p w14:paraId="34E729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人才培养：建立风控+数据+科技复合团队</w:t>
            </w:r>
          </w:p>
        </w:tc>
        <w:tc>
          <w:tcPr>
            <w:tcW w:w="1814" w:type="dxa"/>
            <w:shd w:val="clear" w:color="auto" w:fill="FFFFFF"/>
          </w:tcPr>
          <w:p w14:paraId="463EBE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w="1814" w:type="dxa"/>
            <w:shd w:val="clear" w:color="auto" w:fill="FFFFFF"/>
          </w:tcPr>
          <w:p w14:paraId="04CFCB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w="1814" w:type="dxa"/>
            <w:shd w:val="clear" w:color="auto" w:fill="FFFFFF"/>
          </w:tcPr>
          <w:p w14:paraId="2C7ABC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形成长期核心竞争力</w:t>
            </w:r>
          </w:p>
        </w:tc>
      </w:tr>
    </w:tbl>
    <w:p w14:paraId="69CE8681"/>
    <w:p w14:paraId="6F8B2B7D">
      <w:pPr>
        <w:pStyle w:val="3"/>
      </w:pPr>
      <w:r>
        <w:rPr>
          <w:rFonts w:ascii="微软雅黑" w:hAnsi="微软雅黑" w:eastAsia="微软雅黑"/>
          <w:color w:val="1F3864"/>
        </w:rPr>
        <w:t>四、关键成功因素</w:t>
      </w:r>
    </w:p>
    <w:p w14:paraId="7C7FEE2D">
      <w:pPr>
        <w:pStyle w:val="16"/>
      </w:pPr>
      <w:r>
        <w:rPr>
          <w:rFonts w:ascii="微软雅黑" w:hAnsi="微软雅黑" w:eastAsia="微软雅黑"/>
          <w:sz w:val="21"/>
        </w:rPr>
        <w:t>高层支持：数字化转型需要CEO/董事会级别的战略支持和资源投入</w:t>
      </w:r>
    </w:p>
    <w:p w14:paraId="0A02640F">
      <w:pPr>
        <w:pStyle w:val="16"/>
      </w:pPr>
      <w:r>
        <w:rPr>
          <w:rFonts w:ascii="微软雅黑" w:hAnsi="微软雅黑" w:eastAsia="微软雅黑"/>
          <w:sz w:val="21"/>
        </w:rPr>
        <w:t>数据文化：培养全员数据驱动决策的文化，从"我觉得"到"数据说"</w:t>
      </w:r>
    </w:p>
    <w:p w14:paraId="5D4E3C6E">
      <w:pPr>
        <w:pStyle w:val="16"/>
      </w:pPr>
      <w:r>
        <w:rPr>
          <w:rFonts w:ascii="微软雅黑" w:hAnsi="微软雅黑" w:eastAsia="微软雅黑"/>
          <w:sz w:val="21"/>
        </w:rPr>
        <w:t>技术投入：持续投入数据基础设施和算法研发，不吝惜技术投入</w:t>
      </w:r>
    </w:p>
    <w:p w14:paraId="5E641A20">
      <w:pPr>
        <w:pStyle w:val="16"/>
      </w:pPr>
      <w:r>
        <w:rPr>
          <w:rFonts w:ascii="微软雅黑" w:hAnsi="微软雅黑" w:eastAsia="微软雅黑"/>
          <w:sz w:val="21"/>
        </w:rPr>
        <w:t>人才储备：培养和引进风控+数据+科技的复合型人才</w:t>
      </w:r>
    </w:p>
    <w:p w14:paraId="67A35A4F">
      <w:pPr>
        <w:pStyle w:val="16"/>
      </w:pPr>
      <w:r>
        <w:rPr>
          <w:rFonts w:ascii="微软雅黑" w:hAnsi="微软雅黑" w:eastAsia="微软雅黑"/>
          <w:sz w:val="21"/>
        </w:rPr>
        <w:t>敏捷迭代：建立快速试错、快速迭代的机制，拥抱变化</w:t>
      </w:r>
    </w:p>
    <w:p w14:paraId="4DD8C128">
      <w:pPr>
        <w:pStyle w:val="16"/>
      </w:pPr>
      <w:r>
        <w:rPr>
          <w:rFonts w:ascii="微软雅黑" w:hAnsi="微软雅黑" w:eastAsia="微软雅黑"/>
          <w:sz w:val="21"/>
        </w:rPr>
        <w:t>合规底线：在追求效率和创新的同时，始终坚守合规底线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2D6101"/>
    <w:rsid w:val="26D16E89"/>
    <w:rsid w:val="2BAC3E09"/>
    <w:rsid w:val="50AF18DD"/>
    <w:rsid w:val="50B74C36"/>
    <w:rsid w:val="5A797AC8"/>
    <w:rsid w:val="738A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1155</Words>
  <Characters>1297</Characters>
  <DocSecurity>0</DocSecurity>
  <Lines>0</Lines>
  <Paragraphs>0</Paragraphs>
  <ScaleCrop>false</ScaleCrop>
  <LinksUpToDate>false</LinksUpToDate>
  <CharactersWithSpaces>1297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2026-04-04T14:23:59Z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eyJoZGlkIjoiODAyOGM3MWVlYmIxNTk2NWM3ODViMjJiYjUwZmJmYzUiLCJ1c2VySWQiOiI2MTM5NzkyNzEifQ==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1F87337C30494690A2BD1BBDDB069650_12</vt:lpwstr>
  </property>
</Properties>
</file>