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6F5B43">
      <w:pPr>
        <w:jc w:val="center"/>
      </w:pPr>
      <w:r>
        <w:rPr>
          <w:rFonts w:ascii="微软雅黑" w:hAnsi="微软雅黑" w:eastAsia="微软雅黑"/>
          <w:b/>
          <w:sz w:val="56"/>
        </w:rPr>
        <w:t>消费金融风控指标体系</w:t>
      </w:r>
    </w:p>
    <w:p w14:paraId="76E22FB9">
      <w:pPr>
        <w:jc w:val="center"/>
      </w:pPr>
      <w:r>
        <w:rPr>
          <w:rFonts w:ascii="微软雅黑" w:hAnsi="微软雅黑" w:eastAsia="微软雅黑"/>
          <w:b w:val="0"/>
          <w:sz w:val="28"/>
        </w:rPr>
        <w:t>Indicators Handbook for Consumer Finance Risk Management</w:t>
      </w:r>
    </w:p>
    <w:p w14:paraId="4D576B61">
      <w:pPr>
        <w:jc w:val="center"/>
      </w:pPr>
      <w:r>
        <w:rPr>
          <w:rFonts w:ascii="微软雅黑" w:hAnsi="微软雅黑" w:eastAsia="微软雅黑"/>
          <w:b w:val="0"/>
          <w:color w:val="1F4E79"/>
          <w:sz w:val="24"/>
        </w:rPr>
        <w:t>━━━━━━━━━━━━━━━━━━━━━━━━━━━━━━</w:t>
      </w:r>
    </w:p>
    <w:p w14:paraId="1D56AE04">
      <w:pPr>
        <w:jc w:val="center"/>
      </w:pPr>
      <w:r>
        <w:rPr>
          <w:rFonts w:ascii="微软雅黑" w:hAnsi="微软雅黑" w:eastAsia="微软雅黑"/>
          <w:b w:val="0"/>
          <w:sz w:val="28"/>
        </w:rPr>
        <w:t>涵盖6大维度 · 40个核心指标</w:t>
      </w:r>
    </w:p>
    <w:p w14:paraId="44B78187">
      <w:pPr>
        <w:jc w:val="center"/>
      </w:pPr>
      <w:r>
        <w:rPr>
          <w:rFonts w:ascii="微软雅黑" w:hAnsi="微软雅黑" w:eastAsia="微软雅黑"/>
          <w:b w:val="0"/>
          <w:sz w:val="22"/>
        </w:rPr>
        <w:t>每个指标含：定义 / 计算口径 / 参考阈值 / 作用意义 / 业务指导 / 分析维度</w:t>
      </w:r>
    </w:p>
    <w:p w14:paraId="694A8F06">
      <w:pPr>
        <w:jc w:val="center"/>
      </w:pPr>
      <w:r>
        <w:rPr>
          <w:rFonts w:ascii="微软雅黑" w:hAnsi="微软雅黑" w:eastAsia="微软雅黑"/>
          <w:b w:val="0"/>
          <w:sz w:val="20"/>
        </w:rPr>
        <w:t>版本：V2.0（优化版）  |  日期：2026年4月</w:t>
      </w:r>
    </w:p>
    <w:p w14:paraId="221684DF">
      <w:r>
        <w:br w:type="page"/>
      </w:r>
    </w:p>
    <w:p w14:paraId="08234880">
      <w:pPr>
        <w:jc w:val="left"/>
      </w:pPr>
      <w:r>
        <w:rPr>
          <w:rFonts w:ascii="微软雅黑" w:hAnsi="微软雅黑" w:eastAsia="微软雅黑"/>
          <w:b/>
          <w:sz w:val="40"/>
        </w:rPr>
        <w:t>目  录</w:t>
      </w:r>
    </w:p>
    <w:p w14:paraId="79D3C71E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第一章  贷前指标（授信与准入）</w:t>
      </w:r>
    </w:p>
    <w:p w14:paraId="0B8E6088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1.1  授信通过率</w:t>
      </w:r>
    </w:p>
    <w:p w14:paraId="0B6433FE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1.2  申请命中黑名单/规则率</w:t>
      </w:r>
    </w:p>
    <w:p w14:paraId="60202FAD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1.3  进件件均授信额度</w:t>
      </w:r>
    </w:p>
    <w:p w14:paraId="48F179F2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1.4  进件件均利率</w:t>
      </w:r>
    </w:p>
    <w:p w14:paraId="27BAFA51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1.5  授信额度使用率</w:t>
      </w:r>
    </w:p>
    <w:p w14:paraId="098833A2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1.6  支用率</w:t>
      </w:r>
    </w:p>
    <w:p w14:paraId="48AD4CE4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1.7  模型KS值</w:t>
      </w:r>
    </w:p>
    <w:p w14:paraId="1C8F1D9E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1.8  模型PSI</w:t>
      </w:r>
    </w:p>
    <w:p w14:paraId="512FF8A7">
      <w:pPr>
        <w:spacing w:line="360" w:lineRule="exact"/>
        <w:rPr>
          <w:rFonts w:ascii="微软雅黑" w:hAnsi="微软雅黑" w:eastAsia="微软雅黑"/>
          <w:b w:val="0"/>
          <w:sz w:val="21"/>
        </w:rPr>
      </w:pPr>
      <w:r>
        <w:rPr>
          <w:rFonts w:ascii="微软雅黑" w:hAnsi="微软雅黑" w:eastAsia="微软雅黑"/>
          <w:b w:val="0"/>
          <w:sz w:val="21"/>
        </w:rPr>
        <w:t xml:space="preserve">  1.9  评分分布偏移</w:t>
      </w:r>
    </w:p>
    <w:p w14:paraId="55360787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第二章  贷中指标（资产表现与风险监控）</w:t>
      </w:r>
    </w:p>
    <w:p w14:paraId="181BD427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2.1  FPD7</w:t>
      </w:r>
    </w:p>
    <w:p w14:paraId="71DB62C9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2.2  FPD30</w:t>
      </w:r>
    </w:p>
    <w:p w14:paraId="5A972167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2.3  DPD30/60/90</w:t>
      </w:r>
    </w:p>
    <w:p w14:paraId="2A7B0588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2.4  不良贷款率(NPL)</w:t>
      </w:r>
    </w:p>
    <w:p w14:paraId="630C861E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2.5  逾期滚动率</w:t>
      </w:r>
    </w:p>
    <w:p w14:paraId="2C8331F2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2.6  迁徙率</w:t>
      </w:r>
    </w:p>
    <w:p w14:paraId="7CAB7AF2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2.7  Vintage分析</w:t>
      </w:r>
    </w:p>
    <w:p w14:paraId="69952419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2.8  风险敞口</w:t>
      </w:r>
    </w:p>
    <w:p w14:paraId="01D4E754">
      <w:pPr>
        <w:spacing w:line="360" w:lineRule="exact"/>
        <w:rPr>
          <w:rFonts w:ascii="微软雅黑" w:hAnsi="微软雅黑" w:eastAsia="微软雅黑"/>
          <w:b w:val="0"/>
          <w:sz w:val="21"/>
        </w:rPr>
      </w:pPr>
      <w:r>
        <w:rPr>
          <w:rFonts w:ascii="微软雅黑" w:hAnsi="微软雅黑" w:eastAsia="微软雅黑"/>
          <w:b w:val="0"/>
          <w:sz w:val="21"/>
        </w:rPr>
        <w:t>第三章  资产质量指标</w:t>
      </w:r>
    </w:p>
    <w:p w14:paraId="13F014E2">
      <w:pPr>
        <w:spacing w:line="360" w:lineRule="exact"/>
        <w:rPr>
          <w:rFonts w:hint="default" w:ascii="微软雅黑" w:hAnsi="微软雅黑" w:eastAsia="微软雅黑"/>
          <w:b w:val="0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sz w:val="21"/>
          <w:lang w:val="en-US" w:eastAsia="zh-CN"/>
        </w:rPr>
        <w:t>3.1 ECL计算逻辑</w:t>
      </w:r>
    </w:p>
    <w:p w14:paraId="6BC39C10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</w:t>
      </w:r>
      <w:r>
        <w:rPr>
          <w:rFonts w:hint="eastAsia" w:ascii="微软雅黑" w:hAnsi="微软雅黑" w:eastAsia="微软雅黑"/>
          <w:b w:val="0"/>
          <w:sz w:val="21"/>
          <w:lang w:val="en-US" w:eastAsia="zh-CN"/>
        </w:rPr>
        <w:t>2</w:t>
      </w:r>
      <w:r>
        <w:rPr>
          <w:rFonts w:ascii="微软雅黑" w:hAnsi="微软雅黑" w:eastAsia="微软雅黑"/>
          <w:b w:val="0"/>
          <w:sz w:val="21"/>
        </w:rPr>
        <w:t xml:space="preserve">  不良生成率</w:t>
      </w:r>
    </w:p>
    <w:p w14:paraId="6702041A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</w:t>
      </w:r>
      <w:r>
        <w:rPr>
          <w:rFonts w:hint="eastAsia" w:ascii="微软雅黑" w:hAnsi="微软雅黑" w:eastAsia="微软雅黑"/>
          <w:b w:val="0"/>
          <w:sz w:val="21"/>
          <w:lang w:val="en-US" w:eastAsia="zh-CN"/>
        </w:rPr>
        <w:t>3</w:t>
      </w:r>
      <w:r>
        <w:rPr>
          <w:rFonts w:ascii="微软雅黑" w:hAnsi="微软雅黑" w:eastAsia="微软雅黑"/>
          <w:b w:val="0"/>
          <w:sz w:val="21"/>
        </w:rPr>
        <w:t xml:space="preserve">  拨备覆盖率</w:t>
      </w:r>
    </w:p>
    <w:p w14:paraId="23118713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</w:t>
      </w:r>
      <w:r>
        <w:rPr>
          <w:rFonts w:hint="eastAsia" w:ascii="微软雅黑" w:hAnsi="微软雅黑" w:eastAsia="微软雅黑"/>
          <w:b w:val="0"/>
          <w:sz w:val="21"/>
          <w:lang w:val="en-US" w:eastAsia="zh-CN"/>
        </w:rPr>
        <w:t>4</w:t>
      </w:r>
      <w:r>
        <w:rPr>
          <w:rFonts w:ascii="微软雅黑" w:hAnsi="微软雅黑" w:eastAsia="微软雅黑"/>
          <w:b w:val="0"/>
          <w:sz w:val="21"/>
        </w:rPr>
        <w:t xml:space="preserve">  拨贷比</w:t>
      </w:r>
    </w:p>
    <w:p w14:paraId="0C91E738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</w:t>
      </w:r>
      <w:r>
        <w:rPr>
          <w:rFonts w:hint="eastAsia" w:ascii="微软雅黑" w:hAnsi="微软雅黑" w:eastAsia="微软雅黑"/>
          <w:b w:val="0"/>
          <w:sz w:val="21"/>
          <w:lang w:val="en-US" w:eastAsia="zh-CN"/>
        </w:rPr>
        <w:t>5</w:t>
      </w:r>
      <w:r>
        <w:rPr>
          <w:rFonts w:ascii="微软雅黑" w:hAnsi="微软雅黑" w:eastAsia="微软雅黑"/>
          <w:b w:val="0"/>
          <w:sz w:val="21"/>
        </w:rPr>
        <w:t xml:space="preserve">  核销率</w:t>
      </w:r>
    </w:p>
    <w:p w14:paraId="5A2E3BE9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</w:t>
      </w:r>
      <w:r>
        <w:rPr>
          <w:rFonts w:hint="eastAsia" w:ascii="微软雅黑" w:hAnsi="微软雅黑" w:eastAsia="微软雅黑"/>
          <w:b w:val="0"/>
          <w:sz w:val="21"/>
          <w:lang w:val="en-US" w:eastAsia="zh-CN"/>
        </w:rPr>
        <w:t>6</w:t>
      </w:r>
      <w:r>
        <w:rPr>
          <w:rFonts w:ascii="微软雅黑" w:hAnsi="微软雅黑" w:eastAsia="微软雅黑"/>
          <w:b w:val="0"/>
          <w:sz w:val="21"/>
        </w:rPr>
        <w:t xml:space="preserve">  不良贷款回收率</w:t>
      </w:r>
    </w:p>
    <w:p w14:paraId="320FDF44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第四章  催收指标</w:t>
      </w:r>
    </w:p>
    <w:p w14:paraId="1EB70EB5">
      <w:pPr>
        <w:spacing w:line="360" w:lineRule="exact"/>
        <w:rPr>
          <w:rFonts w:hint="default" w:ascii="微软雅黑" w:hAnsi="微软雅黑" w:eastAsia="微软雅黑"/>
          <w:b w:val="0"/>
          <w:sz w:val="21"/>
          <w:lang w:val="en-US" w:eastAsia="zh-CN"/>
        </w:rPr>
      </w:pPr>
      <w:r>
        <w:rPr>
          <w:rFonts w:ascii="微软雅黑" w:hAnsi="微软雅黑" w:eastAsia="微软雅黑"/>
          <w:b w:val="0"/>
          <w:sz w:val="21"/>
        </w:rPr>
        <w:t xml:space="preserve">  4.1  </w:t>
      </w:r>
      <w:r>
        <w:rPr>
          <w:rFonts w:hint="eastAsia" w:ascii="微软雅黑" w:hAnsi="微软雅黑" w:eastAsia="微软雅黑"/>
          <w:b w:val="0"/>
          <w:sz w:val="21"/>
          <w:lang w:val="en-US" w:eastAsia="zh-CN"/>
        </w:rPr>
        <w:t>入催率(DPD1)</w:t>
      </w:r>
    </w:p>
    <w:p w14:paraId="6D5B68D5">
      <w:pPr>
        <w:spacing w:line="360" w:lineRule="exact"/>
        <w:rPr>
          <w:rFonts w:hint="default" w:ascii="微软雅黑" w:hAnsi="微软雅黑" w:eastAsia="微软雅黑"/>
          <w:b w:val="0"/>
          <w:sz w:val="21"/>
          <w:lang w:val="en-US" w:eastAsia="zh-CN"/>
        </w:rPr>
      </w:pPr>
      <w:r>
        <w:rPr>
          <w:rFonts w:ascii="微软雅黑" w:hAnsi="微软雅黑" w:eastAsia="微软雅黑"/>
          <w:b w:val="0"/>
          <w:sz w:val="21"/>
        </w:rPr>
        <w:t xml:space="preserve">  4.2  </w:t>
      </w:r>
      <w:r>
        <w:rPr>
          <w:rFonts w:hint="eastAsia" w:ascii="微软雅黑" w:hAnsi="微软雅黑" w:eastAsia="微软雅黑"/>
          <w:b w:val="0"/>
          <w:sz w:val="21"/>
          <w:lang w:val="en-US" w:eastAsia="zh-CN"/>
        </w:rPr>
        <w:t>催回率(CRR)</w:t>
      </w:r>
    </w:p>
    <w:p w14:paraId="7E32D7C4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4.3  催收时效</w:t>
      </w:r>
    </w:p>
    <w:p w14:paraId="407EE92B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4.4  人均催收产能</w:t>
      </w:r>
    </w:p>
    <w:p w14:paraId="664D018F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4.5  委外催收回收率</w:t>
      </w:r>
    </w:p>
    <w:p w14:paraId="5F04013F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4.6  催收投诉率</w:t>
      </w:r>
    </w:p>
    <w:p w14:paraId="5036AF2B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第五章  业务规模指标</w:t>
      </w:r>
    </w:p>
    <w:p w14:paraId="67553D2C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5.1  放款金额</w:t>
      </w:r>
    </w:p>
    <w:p w14:paraId="1CEFCA33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5.2  在贷余额(</w:t>
      </w:r>
      <w:r>
        <w:rPr>
          <w:rFonts w:hint="eastAsia" w:ascii="微软雅黑" w:hAnsi="微软雅黑" w:eastAsia="微软雅黑"/>
          <w:b w:val="0"/>
          <w:sz w:val="21"/>
          <w:lang w:val="en-US" w:eastAsia="zh-CN"/>
        </w:rPr>
        <w:t>OS</w:t>
      </w:r>
      <w:r>
        <w:rPr>
          <w:rFonts w:ascii="微软雅黑" w:hAnsi="微软雅黑" w:eastAsia="微软雅黑"/>
          <w:b w:val="0"/>
          <w:sz w:val="21"/>
        </w:rPr>
        <w:t>)</w:t>
      </w:r>
    </w:p>
    <w:p w14:paraId="1DDB468F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5.3  笔均放款金额</w:t>
      </w:r>
    </w:p>
    <w:p w14:paraId="1DC33601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5.4  提前还款率</w:t>
      </w:r>
    </w:p>
    <w:p w14:paraId="6B53CB9E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5.5  客户活跃度</w:t>
      </w:r>
    </w:p>
    <w:p w14:paraId="338424A4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第六章  盈利与效率指标</w:t>
      </w:r>
    </w:p>
    <w:p w14:paraId="4BDE530F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6.1  获客成本(CAC)</w:t>
      </w:r>
    </w:p>
    <w:p w14:paraId="4A83D7A3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6.2  运营成本率</w:t>
      </w:r>
    </w:p>
    <w:p w14:paraId="0BE3E2F2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6.3  净息差(NIM)</w:t>
      </w:r>
    </w:p>
    <w:p w14:paraId="7F5229BB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6.4  RAROC</w:t>
      </w:r>
    </w:p>
    <w:p w14:paraId="63723058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6.5  资产收益率(ROA)</w:t>
      </w:r>
    </w:p>
    <w:p w14:paraId="265C2C88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6.6  UE%(单位经济模型)</w:t>
      </w:r>
    </w:p>
    <w:p w14:paraId="7ECD3163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6.7  CLTV</w:t>
      </w:r>
    </w:p>
    <w:p w14:paraId="20D4D6FA">
      <w:r>
        <w:br w:type="page"/>
      </w:r>
    </w:p>
    <w:p w14:paraId="03025EEE">
      <w:pPr>
        <w:jc w:val="left"/>
      </w:pPr>
      <w:r>
        <w:rPr>
          <w:rFonts w:ascii="微软雅黑" w:hAnsi="微软雅黑" w:eastAsia="微软雅黑"/>
          <w:b/>
          <w:sz w:val="36"/>
        </w:rPr>
        <w:t>前言</w:t>
      </w:r>
    </w:p>
    <w:p w14:paraId="5FE6F3E8">
      <w:pPr>
        <w:spacing w:line="360" w:lineRule="exact"/>
        <w:ind w:firstLine="420" w:firstLineChars="200"/>
      </w:pPr>
      <w:r>
        <w:rPr>
          <w:rFonts w:ascii="微软雅黑" w:hAnsi="微软雅黑" w:eastAsia="微软雅黑"/>
          <w:b w:val="0"/>
          <w:sz w:val="21"/>
        </w:rPr>
        <w:t>消费金融行业竞争日益激烈，风控能力已成为企业的核心竞争力。一套科学、完整的风控指标体系，不仅是监控风险的工具，更是驱动业务决策的指南针。</w:t>
      </w:r>
    </w:p>
    <w:p w14:paraId="160ECFAD">
      <w:pPr>
        <w:spacing w:line="360" w:lineRule="exact"/>
        <w:ind w:firstLine="420" w:firstLineChars="200"/>
      </w:pPr>
      <w:r>
        <w:rPr>
          <w:rFonts w:ascii="微软雅黑" w:hAnsi="微软雅黑" w:eastAsia="微软雅黑"/>
          <w:b w:val="0"/>
          <w:sz w:val="21"/>
        </w:rPr>
        <w:t>本手册从贷前准入、贷中监控、资产质量、催收管理、业务规模、盈利效率六个维度，系统梳理了消费金融风控的核心指标。每个指标都包含标准化的定义、计算口径、参考阈值和实战指导，旨在帮助风控从业者建立系统化的指标思维。</w:t>
      </w:r>
    </w:p>
    <w:p w14:paraId="483BE72F">
      <w:pPr>
        <w:spacing w:line="360" w:lineRule="exact"/>
        <w:ind w:firstLine="420" w:firstLineChars="200"/>
      </w:pPr>
      <w:r>
        <w:rPr>
          <w:rFonts w:ascii="微软雅黑" w:hAnsi="微软雅黑" w:eastAsia="微软雅黑"/>
          <w:b w:val="0"/>
          <w:sz w:val="21"/>
        </w:rPr>
        <w:t>本手册适合：风控策略分析师、风控策略</w:t>
      </w:r>
      <w:r>
        <w:rPr>
          <w:rFonts w:hint="eastAsia" w:ascii="微软雅黑" w:hAnsi="微软雅黑" w:eastAsia="微软雅黑"/>
          <w:b w:val="0"/>
          <w:sz w:val="21"/>
          <w:lang w:val="en-US" w:eastAsia="zh-CN"/>
        </w:rPr>
        <w:t>经理</w:t>
      </w:r>
      <w:r>
        <w:rPr>
          <w:rFonts w:ascii="微软雅黑" w:hAnsi="微软雅黑" w:eastAsia="微软雅黑"/>
          <w:b w:val="0"/>
          <w:sz w:val="21"/>
        </w:rPr>
        <w:t>、风控产品经理、业务运营人员，以及希望深入了解消费金融风控实务的管理者。</w:t>
      </w:r>
    </w:p>
    <w:p w14:paraId="76778DA3">
      <w:r>
        <w:br w:type="page"/>
      </w:r>
    </w:p>
    <w:p w14:paraId="2EAA3358">
      <w:pPr>
        <w:jc w:val="left"/>
      </w:pPr>
      <w:r>
        <w:rPr>
          <w:rFonts w:ascii="微软雅黑" w:hAnsi="微软雅黑" w:eastAsia="微软雅黑"/>
          <w:b/>
          <w:sz w:val="36"/>
        </w:rPr>
        <w:t>第一章  贷前指标（授信与准入）</w:t>
      </w:r>
    </w:p>
    <w:p w14:paraId="5FF4AE57">
      <w:pPr>
        <w:spacing w:line="360" w:lineRule="exact"/>
        <w:ind w:firstLine="420" w:firstLineChars="200"/>
      </w:pPr>
      <w:r>
        <w:rPr>
          <w:rFonts w:ascii="微软雅黑" w:hAnsi="微软雅黑" w:eastAsia="微软雅黑"/>
          <w:b w:val="0"/>
          <w:sz w:val="21"/>
        </w:rPr>
        <w:t>贷前阶段是风险管理的第一道防线。本章指标聚焦客户准入质量、模型决策效率及渠道效能，帮助风控团队在“放出去”之前就把好关。</w:t>
      </w:r>
    </w:p>
    <w:p w14:paraId="6A21270B"/>
    <w:p w14:paraId="0CBAB5A5">
      <w:pPr>
        <w:jc w:val="center"/>
      </w:pPr>
      <w:r>
        <w:rPr>
          <w:rFonts w:ascii="微软雅黑" w:hAnsi="微软雅黑" w:eastAsia="微软雅黑"/>
          <w:b/>
          <w:sz w:val="24"/>
        </w:rPr>
        <w:t>本章指标概览（共9个指标）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5"/>
        <w:gridCol w:w="1460"/>
        <w:gridCol w:w="2170"/>
        <w:gridCol w:w="1420"/>
        <w:gridCol w:w="1135"/>
        <w:gridCol w:w="1440"/>
      </w:tblGrid>
      <w:tr w14:paraId="10A11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  <w:jc w:val="center"/>
        </w:trPr>
        <w:tc>
          <w:tcPr>
            <w:tcW w:w="1015" w:type="dxa"/>
            <w:shd w:val="clear" w:color="auto" w:fill="1F4E79"/>
          </w:tcPr>
          <w:p w14:paraId="636D834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序号</w:t>
            </w:r>
          </w:p>
        </w:tc>
        <w:tc>
          <w:tcPr>
            <w:tcW w:w="1460" w:type="dxa"/>
            <w:shd w:val="clear" w:color="auto" w:fill="1F4E79"/>
          </w:tcPr>
          <w:p w14:paraId="2951267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指标名称</w:t>
            </w:r>
          </w:p>
        </w:tc>
        <w:tc>
          <w:tcPr>
            <w:tcW w:w="2170" w:type="dxa"/>
            <w:shd w:val="clear" w:color="auto" w:fill="1F4E79"/>
          </w:tcPr>
          <w:p w14:paraId="28561F8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英文缩写</w:t>
            </w:r>
          </w:p>
        </w:tc>
        <w:tc>
          <w:tcPr>
            <w:tcW w:w="1420" w:type="dxa"/>
            <w:shd w:val="clear" w:color="auto" w:fill="1F4E79"/>
          </w:tcPr>
          <w:p w14:paraId="07AA403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指标分类</w:t>
            </w:r>
          </w:p>
        </w:tc>
        <w:tc>
          <w:tcPr>
            <w:tcW w:w="1135" w:type="dxa"/>
            <w:shd w:val="clear" w:color="auto" w:fill="1F4E79"/>
          </w:tcPr>
          <w:p w14:paraId="7F01158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参考阈值</w:t>
            </w:r>
          </w:p>
        </w:tc>
        <w:tc>
          <w:tcPr>
            <w:tcW w:w="1440" w:type="dxa"/>
            <w:shd w:val="clear" w:color="auto" w:fill="1F4E79"/>
          </w:tcPr>
          <w:p w14:paraId="043E58B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数据频率</w:t>
            </w:r>
          </w:p>
        </w:tc>
      </w:tr>
      <w:tr w14:paraId="1DD30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</w:tcPr>
          <w:p w14:paraId="6E77486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1460" w:type="dxa"/>
          </w:tcPr>
          <w:p w14:paraId="2609E90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授信通过率</w:t>
            </w:r>
          </w:p>
        </w:tc>
        <w:tc>
          <w:tcPr>
            <w:tcW w:w="2170" w:type="dxa"/>
          </w:tcPr>
          <w:p w14:paraId="653CA03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Approval Rate</w:t>
            </w:r>
          </w:p>
        </w:tc>
        <w:tc>
          <w:tcPr>
            <w:tcW w:w="1420" w:type="dxa"/>
          </w:tcPr>
          <w:p w14:paraId="4F1EFF7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准入效率</w:t>
            </w:r>
          </w:p>
        </w:tc>
        <w:tc>
          <w:tcPr>
            <w:tcW w:w="1135" w:type="dxa"/>
          </w:tcPr>
          <w:p w14:paraId="01B3C57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20%~80%</w:t>
            </w:r>
          </w:p>
        </w:tc>
        <w:tc>
          <w:tcPr>
            <w:tcW w:w="1440" w:type="dxa"/>
          </w:tcPr>
          <w:p w14:paraId="50E5642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日/周/月</w:t>
            </w:r>
          </w:p>
        </w:tc>
      </w:tr>
      <w:tr w14:paraId="1B78F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shd w:val="clear" w:color="auto" w:fill="D6E4F0"/>
          </w:tcPr>
          <w:p w14:paraId="772CD02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1460" w:type="dxa"/>
            <w:shd w:val="clear" w:color="auto" w:fill="D6E4F0"/>
          </w:tcPr>
          <w:p w14:paraId="43943A9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申请命中黑名单/规则率</w:t>
            </w:r>
          </w:p>
        </w:tc>
        <w:tc>
          <w:tcPr>
            <w:tcW w:w="2170" w:type="dxa"/>
            <w:shd w:val="clear" w:color="auto" w:fill="D6E4F0"/>
          </w:tcPr>
          <w:p w14:paraId="6DF8BCA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Blacklist/Rule Hit Rate</w:t>
            </w:r>
          </w:p>
        </w:tc>
        <w:tc>
          <w:tcPr>
            <w:tcW w:w="1420" w:type="dxa"/>
            <w:shd w:val="clear" w:color="auto" w:fill="D6E4F0"/>
          </w:tcPr>
          <w:p w14:paraId="42E3A50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反欺诈/准入</w:t>
            </w:r>
          </w:p>
        </w:tc>
        <w:tc>
          <w:tcPr>
            <w:tcW w:w="1135" w:type="dxa"/>
            <w:shd w:val="clear" w:color="auto" w:fill="D6E4F0"/>
          </w:tcPr>
          <w:p w14:paraId="68BD9F5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&lt; 5%</w:t>
            </w:r>
          </w:p>
        </w:tc>
        <w:tc>
          <w:tcPr>
            <w:tcW w:w="1440" w:type="dxa"/>
            <w:shd w:val="clear" w:color="auto" w:fill="D6E4F0"/>
          </w:tcPr>
          <w:p w14:paraId="4E3BB98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日/周</w:t>
            </w:r>
          </w:p>
        </w:tc>
      </w:tr>
      <w:tr w14:paraId="355AE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</w:tcPr>
          <w:p w14:paraId="32C4744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1460" w:type="dxa"/>
          </w:tcPr>
          <w:p w14:paraId="2384DE46">
            <w:pPr>
              <w:spacing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8"/>
                <w:lang w:val="en-US" w:eastAsia="zh-CN"/>
              </w:rPr>
              <w:t>人均</w:t>
            </w:r>
            <w:r>
              <w:rPr>
                <w:rFonts w:ascii="微软雅黑" w:hAnsi="微软雅黑" w:eastAsia="微软雅黑"/>
                <w:b w:val="0"/>
                <w:sz w:val="18"/>
              </w:rPr>
              <w:t>授信额度</w:t>
            </w:r>
          </w:p>
        </w:tc>
        <w:tc>
          <w:tcPr>
            <w:tcW w:w="2170" w:type="dxa"/>
          </w:tcPr>
          <w:p w14:paraId="08E5114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Avg Approved Limit</w:t>
            </w:r>
          </w:p>
        </w:tc>
        <w:tc>
          <w:tcPr>
            <w:tcW w:w="1420" w:type="dxa"/>
          </w:tcPr>
          <w:p w14:paraId="47AF1B6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额度管理</w:t>
            </w:r>
          </w:p>
        </w:tc>
        <w:tc>
          <w:tcPr>
            <w:tcW w:w="1135" w:type="dxa"/>
          </w:tcPr>
          <w:p w14:paraId="59AB55D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根据产品定位设定</w:t>
            </w:r>
          </w:p>
        </w:tc>
        <w:tc>
          <w:tcPr>
            <w:tcW w:w="1440" w:type="dxa"/>
          </w:tcPr>
          <w:p w14:paraId="64F5F91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周/月</w:t>
            </w:r>
          </w:p>
        </w:tc>
      </w:tr>
      <w:tr w14:paraId="6988B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shd w:val="clear" w:color="auto" w:fill="D6E4F0"/>
          </w:tcPr>
          <w:p w14:paraId="09FEA7F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1460" w:type="dxa"/>
            <w:shd w:val="clear" w:color="auto" w:fill="D6E4F0"/>
          </w:tcPr>
          <w:p w14:paraId="133F4D4A">
            <w:pPr>
              <w:spacing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8"/>
                <w:lang w:val="en-US" w:eastAsia="zh-CN"/>
              </w:rPr>
              <w:t>人均</w:t>
            </w:r>
            <w:r>
              <w:rPr>
                <w:rFonts w:ascii="微软雅黑" w:hAnsi="微软雅黑" w:eastAsia="微软雅黑"/>
                <w:b w:val="0"/>
                <w:sz w:val="18"/>
              </w:rPr>
              <w:t>利率</w:t>
            </w:r>
          </w:p>
        </w:tc>
        <w:tc>
          <w:tcPr>
            <w:tcW w:w="2170" w:type="dxa"/>
            <w:shd w:val="clear" w:color="auto" w:fill="D6E4F0"/>
          </w:tcPr>
          <w:p w14:paraId="7964E2A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Avg Interest Rate</w:t>
            </w:r>
          </w:p>
        </w:tc>
        <w:tc>
          <w:tcPr>
            <w:tcW w:w="1420" w:type="dxa"/>
            <w:shd w:val="clear" w:color="auto" w:fill="D6E4F0"/>
          </w:tcPr>
          <w:p w14:paraId="5B57F21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定价管理</w:t>
            </w:r>
          </w:p>
        </w:tc>
        <w:tc>
          <w:tcPr>
            <w:tcW w:w="1135" w:type="dxa"/>
            <w:shd w:val="clear" w:color="auto" w:fill="D6E4F0"/>
          </w:tcPr>
          <w:p w14:paraId="6B7D4A3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根据产品定位设定</w:t>
            </w:r>
          </w:p>
        </w:tc>
        <w:tc>
          <w:tcPr>
            <w:tcW w:w="1440" w:type="dxa"/>
            <w:shd w:val="clear" w:color="auto" w:fill="D6E4F0"/>
          </w:tcPr>
          <w:p w14:paraId="47EEC29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周/月</w:t>
            </w:r>
          </w:p>
        </w:tc>
      </w:tr>
      <w:tr w14:paraId="1C651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</w:tcPr>
          <w:p w14:paraId="7D9C331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1460" w:type="dxa"/>
          </w:tcPr>
          <w:p w14:paraId="7F6FA40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授信额度使用率</w:t>
            </w:r>
          </w:p>
        </w:tc>
        <w:tc>
          <w:tcPr>
            <w:tcW w:w="2170" w:type="dxa"/>
          </w:tcPr>
          <w:p w14:paraId="1AB3681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Limit Utilization Rate</w:t>
            </w:r>
          </w:p>
        </w:tc>
        <w:tc>
          <w:tcPr>
            <w:tcW w:w="1420" w:type="dxa"/>
          </w:tcPr>
          <w:p w14:paraId="74748B2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额度管理</w:t>
            </w:r>
          </w:p>
        </w:tc>
        <w:tc>
          <w:tcPr>
            <w:tcW w:w="1135" w:type="dxa"/>
          </w:tcPr>
          <w:p w14:paraId="08F98FF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20%~40%</w:t>
            </w:r>
          </w:p>
        </w:tc>
        <w:tc>
          <w:tcPr>
            <w:tcW w:w="1440" w:type="dxa"/>
          </w:tcPr>
          <w:p w14:paraId="126FA37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周/月</w:t>
            </w:r>
          </w:p>
        </w:tc>
      </w:tr>
      <w:tr w14:paraId="47765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shd w:val="clear" w:color="auto" w:fill="D6E4F0"/>
          </w:tcPr>
          <w:p w14:paraId="0A01436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1460" w:type="dxa"/>
            <w:shd w:val="clear" w:color="auto" w:fill="D6E4F0"/>
          </w:tcPr>
          <w:p w14:paraId="4EEA96C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支用率</w:t>
            </w:r>
          </w:p>
        </w:tc>
        <w:tc>
          <w:tcPr>
            <w:tcW w:w="2170" w:type="dxa"/>
            <w:shd w:val="clear" w:color="auto" w:fill="D6E4F0"/>
          </w:tcPr>
          <w:p w14:paraId="46F2089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Utilization Rate</w:t>
            </w:r>
          </w:p>
        </w:tc>
        <w:tc>
          <w:tcPr>
            <w:tcW w:w="1420" w:type="dxa"/>
            <w:shd w:val="clear" w:color="auto" w:fill="D6E4F0"/>
          </w:tcPr>
          <w:p w14:paraId="4776035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业务转化</w:t>
            </w:r>
          </w:p>
        </w:tc>
        <w:tc>
          <w:tcPr>
            <w:tcW w:w="1135" w:type="dxa"/>
            <w:shd w:val="clear" w:color="auto" w:fill="D6E4F0"/>
          </w:tcPr>
          <w:p w14:paraId="264734B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30%~70%</w:t>
            </w:r>
          </w:p>
        </w:tc>
        <w:tc>
          <w:tcPr>
            <w:tcW w:w="1440" w:type="dxa"/>
            <w:shd w:val="clear" w:color="auto" w:fill="D6E4F0"/>
          </w:tcPr>
          <w:p w14:paraId="26F2738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日/周/月</w:t>
            </w:r>
          </w:p>
        </w:tc>
      </w:tr>
      <w:tr w14:paraId="571AE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</w:tcPr>
          <w:p w14:paraId="513ADC8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1460" w:type="dxa"/>
          </w:tcPr>
          <w:p w14:paraId="24C06FF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模型KS值</w:t>
            </w:r>
          </w:p>
        </w:tc>
        <w:tc>
          <w:tcPr>
            <w:tcW w:w="2170" w:type="dxa"/>
          </w:tcPr>
          <w:p w14:paraId="2D3BED0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KS (Kolmogorov-Smirnov)</w:t>
            </w:r>
          </w:p>
        </w:tc>
        <w:tc>
          <w:tcPr>
            <w:tcW w:w="1420" w:type="dxa"/>
          </w:tcPr>
          <w:p w14:paraId="27B7D67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模型效果</w:t>
            </w:r>
          </w:p>
        </w:tc>
        <w:tc>
          <w:tcPr>
            <w:tcW w:w="1135" w:type="dxa"/>
          </w:tcPr>
          <w:p w14:paraId="0B0300E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&gt; 0.30良好</w:t>
            </w:r>
          </w:p>
        </w:tc>
        <w:tc>
          <w:tcPr>
            <w:tcW w:w="1440" w:type="dxa"/>
          </w:tcPr>
          <w:p w14:paraId="7C1F4A8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月/季</w:t>
            </w:r>
          </w:p>
        </w:tc>
      </w:tr>
      <w:tr w14:paraId="25C20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shd w:val="clear" w:color="auto" w:fill="D6E4F0"/>
          </w:tcPr>
          <w:p w14:paraId="079D8EA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1460" w:type="dxa"/>
            <w:shd w:val="clear" w:color="auto" w:fill="D6E4F0"/>
          </w:tcPr>
          <w:p w14:paraId="5AD83A7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模型PSI</w:t>
            </w:r>
          </w:p>
        </w:tc>
        <w:tc>
          <w:tcPr>
            <w:tcW w:w="2170" w:type="dxa"/>
            <w:shd w:val="clear" w:color="auto" w:fill="D6E4F0"/>
          </w:tcPr>
          <w:p w14:paraId="1BE915F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PSI (Population Stability Index)</w:t>
            </w:r>
          </w:p>
        </w:tc>
        <w:tc>
          <w:tcPr>
            <w:tcW w:w="1420" w:type="dxa"/>
            <w:shd w:val="clear" w:color="auto" w:fill="D6E4F0"/>
          </w:tcPr>
          <w:p w14:paraId="5E62474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模型稳定性</w:t>
            </w:r>
          </w:p>
        </w:tc>
        <w:tc>
          <w:tcPr>
            <w:tcW w:w="1135" w:type="dxa"/>
            <w:shd w:val="clear" w:color="auto" w:fill="D6E4F0"/>
          </w:tcPr>
          <w:p w14:paraId="2FC7B7D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&lt; 0.10稳定</w:t>
            </w:r>
          </w:p>
        </w:tc>
        <w:tc>
          <w:tcPr>
            <w:tcW w:w="1440" w:type="dxa"/>
            <w:shd w:val="clear" w:color="auto" w:fill="D6E4F0"/>
          </w:tcPr>
          <w:p w14:paraId="133CCFE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月</w:t>
            </w:r>
          </w:p>
        </w:tc>
      </w:tr>
      <w:tr w14:paraId="13F51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</w:tcPr>
          <w:p w14:paraId="1D74392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1460" w:type="dxa"/>
          </w:tcPr>
          <w:p w14:paraId="3FB456F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评分分布偏移</w:t>
            </w:r>
          </w:p>
        </w:tc>
        <w:tc>
          <w:tcPr>
            <w:tcW w:w="2170" w:type="dxa"/>
          </w:tcPr>
          <w:p w14:paraId="6C5E8EE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Score Distribution Shift</w:t>
            </w:r>
          </w:p>
        </w:tc>
        <w:tc>
          <w:tcPr>
            <w:tcW w:w="1420" w:type="dxa"/>
          </w:tcPr>
          <w:p w14:paraId="6905B0D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模型监控</w:t>
            </w:r>
          </w:p>
        </w:tc>
        <w:tc>
          <w:tcPr>
            <w:tcW w:w="1135" w:type="dxa"/>
          </w:tcPr>
          <w:p w14:paraId="79CA15B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均值偏移&lt;10分</w:t>
            </w:r>
          </w:p>
        </w:tc>
        <w:tc>
          <w:tcPr>
            <w:tcW w:w="1440" w:type="dxa"/>
          </w:tcPr>
          <w:p w14:paraId="63AD805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周/月</w:t>
            </w:r>
          </w:p>
        </w:tc>
      </w:tr>
    </w:tbl>
    <w:p w14:paraId="60F440A1"/>
    <w:p w14:paraId="30FEB599">
      <w:pPr>
        <w:jc w:val="left"/>
      </w:pPr>
      <w:r>
        <w:rPr>
          <w:rFonts w:ascii="微软雅黑" w:hAnsi="微软雅黑" w:eastAsia="微软雅黑"/>
          <w:b/>
          <w:sz w:val="28"/>
        </w:rPr>
        <w:t>1.1  授信通过率</w:t>
      </w:r>
    </w:p>
    <w:p w14:paraId="58FF96AF">
      <w:pPr>
        <w:jc w:val="left"/>
        <w:rPr>
          <w:rFonts w:hint="default" w:ascii="微软雅黑" w:hAnsi="微软雅黑" w:eastAsia="微软雅黑"/>
          <w:b w:val="0"/>
          <w:sz w:val="22"/>
          <w:lang w:val="en-US" w:eastAsia="zh-CN"/>
        </w:rPr>
      </w:pPr>
      <w:r>
        <w:rPr>
          <w:rFonts w:ascii="微软雅黑" w:hAnsi="微软雅黑" w:eastAsia="微软雅黑"/>
          <w:b w:val="0"/>
          <w:sz w:val="22"/>
        </w:rPr>
        <w:t>Approval Rate</w:t>
      </w: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=授信通过订单/总申请订单，可按天/周/月等</w:t>
      </w:r>
    </w:p>
    <w:p w14:paraId="0FE4B7B9">
      <w:r>
        <w:t>────────────────────────────────────────</w:t>
      </w:r>
    </w:p>
    <w:p w14:paraId="6523D617">
      <w:pPr>
        <w:jc w:val="left"/>
      </w:pPr>
      <w:r>
        <w:rPr>
          <w:rFonts w:ascii="微软雅黑" w:hAnsi="微软雅黑" w:eastAsia="微软雅黑"/>
          <w:b/>
          <w:sz w:val="28"/>
        </w:rPr>
        <w:t>1.2  申请命中黑名单/规则率</w:t>
      </w:r>
    </w:p>
    <w:p w14:paraId="27F02AC9">
      <w:pPr>
        <w:jc w:val="left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b w:val="0"/>
          <w:sz w:val="22"/>
        </w:rPr>
        <w:t>Blacklist/Rule Hit Rate</w:t>
      </w: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=命中规则订单量/总申请订单量，可按天/周/月等</w:t>
      </w:r>
    </w:p>
    <w:p w14:paraId="45A53FFC">
      <w:r>
        <w:t>────────────────────────────────────────</w:t>
      </w:r>
    </w:p>
    <w:p w14:paraId="3ACAE1A2">
      <w:pPr>
        <w:jc w:val="left"/>
      </w:pPr>
      <w:r>
        <w:rPr>
          <w:rFonts w:ascii="微软雅黑" w:hAnsi="微软雅黑" w:eastAsia="微软雅黑"/>
          <w:b/>
          <w:sz w:val="28"/>
        </w:rPr>
        <w:t xml:space="preserve">1.3  </w:t>
      </w:r>
      <w:r>
        <w:rPr>
          <w:rFonts w:hint="eastAsia" w:ascii="微软雅黑" w:hAnsi="微软雅黑" w:eastAsia="微软雅黑"/>
          <w:b/>
          <w:sz w:val="28"/>
          <w:lang w:val="en-US" w:eastAsia="zh-CN"/>
        </w:rPr>
        <w:t>人均</w:t>
      </w:r>
      <w:r>
        <w:rPr>
          <w:rFonts w:ascii="微软雅黑" w:hAnsi="微软雅黑" w:eastAsia="微软雅黑"/>
          <w:b/>
          <w:sz w:val="28"/>
        </w:rPr>
        <w:t>授信额度</w:t>
      </w:r>
    </w:p>
    <w:p w14:paraId="31280558">
      <w:pPr>
        <w:jc w:val="left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b w:val="0"/>
          <w:sz w:val="22"/>
        </w:rPr>
        <w:t>Avg Approved Limit</w:t>
      </w: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=授信通过用户加权总额度/授信通过总人数，可按天/周/月等</w:t>
      </w:r>
    </w:p>
    <w:p w14:paraId="66513F61">
      <w:pPr>
        <w:jc w:val="left"/>
        <w:rPr>
          <w:rFonts w:hint="default" w:eastAsia="微软雅黑"/>
          <w:lang w:val="en-US" w:eastAsia="zh-CN"/>
        </w:rPr>
      </w:pPr>
    </w:p>
    <w:p w14:paraId="21FE09AD">
      <w:r>
        <w:t>────────────────────────────────────────</w:t>
      </w:r>
    </w:p>
    <w:p w14:paraId="18746FAC">
      <w:pPr>
        <w:jc w:val="left"/>
      </w:pPr>
      <w:r>
        <w:rPr>
          <w:rFonts w:ascii="微软雅黑" w:hAnsi="微软雅黑" w:eastAsia="微软雅黑"/>
          <w:b/>
          <w:sz w:val="28"/>
        </w:rPr>
        <w:t xml:space="preserve">1.4  </w:t>
      </w:r>
      <w:r>
        <w:rPr>
          <w:rFonts w:hint="eastAsia" w:ascii="微软雅黑" w:hAnsi="微软雅黑" w:eastAsia="微软雅黑"/>
          <w:b/>
          <w:sz w:val="28"/>
          <w:lang w:val="en-US" w:eastAsia="zh-CN"/>
        </w:rPr>
        <w:t>人均</w:t>
      </w:r>
      <w:r>
        <w:rPr>
          <w:rFonts w:ascii="微软雅黑" w:hAnsi="微软雅黑" w:eastAsia="微软雅黑"/>
          <w:b/>
          <w:sz w:val="28"/>
        </w:rPr>
        <w:t>利率</w:t>
      </w:r>
    </w:p>
    <w:p w14:paraId="79BE8D1A">
      <w:pPr>
        <w:jc w:val="left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b w:val="0"/>
          <w:sz w:val="22"/>
        </w:rPr>
        <w:t>Avg Interest Rate</w:t>
      </w: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=授信通过用户加权总定价/授信通过总用户数，可按天/周/月等</w:t>
      </w:r>
    </w:p>
    <w:p w14:paraId="32AF2CB4">
      <w:r>
        <w:t>────────────────────────────────────────</w:t>
      </w:r>
    </w:p>
    <w:p w14:paraId="6A6F8508">
      <w:pPr>
        <w:jc w:val="left"/>
      </w:pPr>
      <w:r>
        <w:rPr>
          <w:rFonts w:ascii="微软雅黑" w:hAnsi="微软雅黑" w:eastAsia="微软雅黑"/>
          <w:b/>
          <w:sz w:val="28"/>
        </w:rPr>
        <w:t>1.5  授信额度使用率</w:t>
      </w:r>
    </w:p>
    <w:p w14:paraId="2B1B5ABA">
      <w:pPr>
        <w:jc w:val="left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b w:val="0"/>
          <w:sz w:val="22"/>
        </w:rPr>
        <w:t>Limit Utilization Rate</w:t>
      </w: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=支用金额/授信额度</w:t>
      </w:r>
    </w:p>
    <w:p w14:paraId="05BF65E8">
      <w:r>
        <w:t>────────────────────────────────────────</w:t>
      </w:r>
    </w:p>
    <w:p w14:paraId="1FF3361A">
      <w:pPr>
        <w:jc w:val="left"/>
      </w:pPr>
      <w:r>
        <w:rPr>
          <w:rFonts w:ascii="微软雅黑" w:hAnsi="微软雅黑" w:eastAsia="微软雅黑"/>
          <w:b/>
          <w:sz w:val="28"/>
        </w:rPr>
        <w:t>1.6  支用率</w:t>
      </w:r>
    </w:p>
    <w:p w14:paraId="1907C1AE">
      <w:pPr>
        <w:jc w:val="left"/>
        <w:rPr>
          <w:rFonts w:hint="eastAsia" w:ascii="微软雅黑" w:hAnsi="微软雅黑" w:eastAsia="微软雅黑"/>
          <w:b w:val="0"/>
          <w:sz w:val="22"/>
          <w:lang w:val="en-US" w:eastAsia="zh-CN"/>
        </w:rPr>
      </w:pPr>
      <w:r>
        <w:rPr>
          <w:rFonts w:ascii="微软雅黑" w:hAnsi="微软雅黑" w:eastAsia="微软雅黑"/>
          <w:b w:val="0"/>
          <w:sz w:val="22"/>
        </w:rPr>
        <w:t>Utilization Rate</w:t>
      </w: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=支用用户/总用户</w:t>
      </w:r>
    </w:p>
    <w:p w14:paraId="71165C2E">
      <w:pPr>
        <w:jc w:val="left"/>
        <w:rPr>
          <w:rFonts w:hint="eastAsia" w:ascii="微软雅黑" w:hAnsi="微软雅黑" w:eastAsia="微软雅黑"/>
          <w:b w:val="0"/>
          <w:sz w:val="22"/>
          <w:lang w:val="en-US" w:eastAsia="zh-CN"/>
        </w:rPr>
      </w:pP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T7支用率=授信通过7天的交易用户数/总授信用户数</w:t>
      </w:r>
    </w:p>
    <w:p w14:paraId="5A53E76E">
      <w:pPr>
        <w:jc w:val="left"/>
        <w:rPr>
          <w:rFonts w:hint="eastAsia" w:ascii="微软雅黑" w:hAnsi="微软雅黑" w:eastAsia="微软雅黑"/>
          <w:b w:val="0"/>
          <w:sz w:val="22"/>
          <w:lang w:val="en-US" w:eastAsia="zh-CN"/>
        </w:rPr>
      </w:pP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T30支用率=授信通过30天的交易用户数/总授信用户数</w:t>
      </w:r>
    </w:p>
    <w:p w14:paraId="5E03055B">
      <w:pPr>
        <w:jc w:val="left"/>
        <w:rPr>
          <w:rFonts w:hint="default" w:ascii="微软雅黑" w:hAnsi="微软雅黑" w:eastAsia="微软雅黑"/>
          <w:b w:val="0"/>
          <w:sz w:val="22"/>
          <w:lang w:val="en-US" w:eastAsia="zh-CN"/>
        </w:rPr>
      </w:pPr>
      <w:r>
        <w:rPr>
          <w:rFonts w:hint="default" w:ascii="微软雅黑" w:hAnsi="微软雅黑" w:eastAsia="微软雅黑"/>
          <w:b w:val="0"/>
          <w:sz w:val="22"/>
          <w:lang w:val="en-US" w:eastAsia="zh-CN"/>
        </w:rPr>
        <w:t>这个指标是衡量“流量变现效率”的核心。它直接反映了你的产品是否满足了用户需求，以及风控策略是否精准。</w:t>
      </w:r>
    </w:p>
    <w:p w14:paraId="0AE85889">
      <w:r>
        <w:t>────────────────────────────────────────</w:t>
      </w:r>
    </w:p>
    <w:p w14:paraId="022FF24A">
      <w:pPr>
        <w:jc w:val="left"/>
      </w:pPr>
      <w:r>
        <w:rPr>
          <w:rFonts w:ascii="微软雅黑" w:hAnsi="微软雅黑" w:eastAsia="微软雅黑"/>
          <w:b/>
          <w:sz w:val="28"/>
        </w:rPr>
        <w:t>1.7  模型KS值</w:t>
      </w:r>
    </w:p>
    <w:p w14:paraId="4F678868">
      <w:pPr>
        <w:jc w:val="left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b w:val="0"/>
          <w:sz w:val="22"/>
        </w:rPr>
        <w:t>KS (Kolmogorov-Smirnov)</w:t>
      </w: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=abs(累计的好用户-累计的坏用户)</w:t>
      </w:r>
    </w:p>
    <w:p w14:paraId="687A5954">
      <w:r>
        <w:t>────────────────────────────────────────</w:t>
      </w:r>
    </w:p>
    <w:p w14:paraId="08E3A1C1">
      <w:pPr>
        <w:jc w:val="left"/>
      </w:pPr>
      <w:r>
        <w:rPr>
          <w:rFonts w:ascii="微软雅黑" w:hAnsi="微软雅黑" w:eastAsia="微软雅黑"/>
          <w:b/>
          <w:sz w:val="28"/>
        </w:rPr>
        <w:t>1.8  模型PSI</w:t>
      </w:r>
    </w:p>
    <w:p w14:paraId="72008742">
      <w:pPr>
        <w:jc w:val="left"/>
        <w:rPr>
          <w:rFonts w:hint="eastAsia" w:eastAsia="微软雅黑"/>
          <w:lang w:val="en-US" w:eastAsia="zh-CN"/>
        </w:rPr>
      </w:pPr>
      <w:r>
        <w:rPr>
          <w:rFonts w:ascii="微软雅黑" w:hAnsi="微软雅黑" w:eastAsia="微软雅黑"/>
          <w:b w:val="0"/>
          <w:sz w:val="22"/>
        </w:rPr>
        <w:t>PSI (Population Stability Index)</w:t>
      </w: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=sum((实际占比-预期占比) x ln(实际占比/预期占比))</w:t>
      </w:r>
    </w:p>
    <w:p w14:paraId="425C5D69">
      <w:r>
        <w:t>────────────────────────────────────────</w:t>
      </w:r>
    </w:p>
    <w:p w14:paraId="759E92AA">
      <w:pPr>
        <w:jc w:val="left"/>
      </w:pPr>
      <w:r>
        <w:rPr>
          <w:rFonts w:ascii="微软雅黑" w:hAnsi="微软雅黑" w:eastAsia="微软雅黑"/>
          <w:b/>
          <w:sz w:val="28"/>
        </w:rPr>
        <w:t>1.9  评分分布偏移</w:t>
      </w:r>
    </w:p>
    <w:p w14:paraId="4892019C">
      <w:pPr>
        <w:jc w:val="left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b w:val="0"/>
          <w:sz w:val="22"/>
        </w:rPr>
        <w:t>Score Distribution Shift</w:t>
      </w: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=当前评分均值 - 基准评分均值</w:t>
      </w:r>
    </w:p>
    <w:p w14:paraId="22D10712">
      <w:r>
        <w:t>────────────────────────────────────────</w:t>
      </w:r>
    </w:p>
    <w:p w14:paraId="45813F44">
      <w:r>
        <w:br w:type="page"/>
      </w:r>
    </w:p>
    <w:p w14:paraId="5FD455B1">
      <w:pPr>
        <w:jc w:val="left"/>
      </w:pPr>
      <w:r>
        <w:rPr>
          <w:rFonts w:ascii="微软雅黑" w:hAnsi="微软雅黑" w:eastAsia="微软雅黑"/>
          <w:b/>
          <w:sz w:val="36"/>
        </w:rPr>
        <w:t>第二章  贷中指标（资产表现与风险监控）</w:t>
      </w:r>
    </w:p>
    <w:p w14:paraId="3881E537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贷中阶段是风险管理的关键执行期。本章指标聚焦放款后的早期风险信号、逾期趋势和资产质量变化，帮助风控团队及时发现问题、快速响应。</w:t>
      </w:r>
    </w:p>
    <w:p w14:paraId="58185833"/>
    <w:p w14:paraId="0D908CB8">
      <w:pPr>
        <w:jc w:val="center"/>
      </w:pPr>
      <w:r>
        <w:rPr>
          <w:rFonts w:ascii="微软雅黑" w:hAnsi="微软雅黑" w:eastAsia="微软雅黑"/>
          <w:b/>
          <w:sz w:val="24"/>
        </w:rPr>
        <w:t>本章指标概览（共8个指标）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04ACA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1F4E79"/>
          </w:tcPr>
          <w:p w14:paraId="231FFF6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序号</w:t>
            </w:r>
          </w:p>
        </w:tc>
        <w:tc>
          <w:tcPr>
            <w:tcW w:w="1440" w:type="dxa"/>
            <w:shd w:val="clear" w:color="auto" w:fill="1F4E79"/>
          </w:tcPr>
          <w:p w14:paraId="09F7E19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指标名称</w:t>
            </w:r>
          </w:p>
        </w:tc>
        <w:tc>
          <w:tcPr>
            <w:tcW w:w="1440" w:type="dxa"/>
            <w:shd w:val="clear" w:color="auto" w:fill="1F4E79"/>
          </w:tcPr>
          <w:p w14:paraId="003AED2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英文缩写</w:t>
            </w:r>
          </w:p>
        </w:tc>
        <w:tc>
          <w:tcPr>
            <w:tcW w:w="1440" w:type="dxa"/>
            <w:shd w:val="clear" w:color="auto" w:fill="1F4E79"/>
          </w:tcPr>
          <w:p w14:paraId="0061E54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指标分类</w:t>
            </w:r>
          </w:p>
        </w:tc>
        <w:tc>
          <w:tcPr>
            <w:tcW w:w="1440" w:type="dxa"/>
            <w:shd w:val="clear" w:color="auto" w:fill="1F4E79"/>
          </w:tcPr>
          <w:p w14:paraId="47F1268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参考阈值</w:t>
            </w:r>
          </w:p>
        </w:tc>
        <w:tc>
          <w:tcPr>
            <w:tcW w:w="1440" w:type="dxa"/>
            <w:shd w:val="clear" w:color="auto" w:fill="1F4E79"/>
          </w:tcPr>
          <w:p w14:paraId="57467DA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数据频率</w:t>
            </w:r>
          </w:p>
        </w:tc>
      </w:tr>
      <w:tr w14:paraId="75780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274207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1440" w:type="dxa"/>
          </w:tcPr>
          <w:p w14:paraId="57AD7AA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FPD7</w:t>
            </w:r>
          </w:p>
        </w:tc>
        <w:tc>
          <w:tcPr>
            <w:tcW w:w="1440" w:type="dxa"/>
          </w:tcPr>
          <w:p w14:paraId="36FE78C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First Payment Default (7天)</w:t>
            </w:r>
          </w:p>
        </w:tc>
        <w:tc>
          <w:tcPr>
            <w:tcW w:w="1440" w:type="dxa"/>
          </w:tcPr>
          <w:p w14:paraId="27BFD61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早期风险</w:t>
            </w:r>
          </w:p>
        </w:tc>
        <w:tc>
          <w:tcPr>
            <w:tcW w:w="1440" w:type="dxa"/>
          </w:tcPr>
          <w:p w14:paraId="2113951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&lt; 1.5%</w:t>
            </w:r>
          </w:p>
        </w:tc>
        <w:tc>
          <w:tcPr>
            <w:tcW w:w="1440" w:type="dxa"/>
          </w:tcPr>
          <w:p w14:paraId="1A26CC1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日/周</w:t>
            </w:r>
          </w:p>
        </w:tc>
      </w:tr>
      <w:tr w14:paraId="56941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D6E4F0"/>
          </w:tcPr>
          <w:p w14:paraId="35E3DD7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1440" w:type="dxa"/>
            <w:shd w:val="clear" w:color="auto" w:fill="D6E4F0"/>
          </w:tcPr>
          <w:p w14:paraId="1C61A58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FPD30</w:t>
            </w:r>
          </w:p>
        </w:tc>
        <w:tc>
          <w:tcPr>
            <w:tcW w:w="1440" w:type="dxa"/>
            <w:shd w:val="clear" w:color="auto" w:fill="D6E4F0"/>
          </w:tcPr>
          <w:p w14:paraId="5C445CB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First Payment Default (30天)</w:t>
            </w:r>
          </w:p>
        </w:tc>
        <w:tc>
          <w:tcPr>
            <w:tcW w:w="1440" w:type="dxa"/>
            <w:shd w:val="clear" w:color="auto" w:fill="D6E4F0"/>
          </w:tcPr>
          <w:p w14:paraId="2013971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早期风险</w:t>
            </w:r>
          </w:p>
        </w:tc>
        <w:tc>
          <w:tcPr>
            <w:tcW w:w="1440" w:type="dxa"/>
            <w:shd w:val="clear" w:color="auto" w:fill="D6E4F0"/>
          </w:tcPr>
          <w:p w14:paraId="61962C2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&lt; 2.5%</w:t>
            </w:r>
          </w:p>
        </w:tc>
        <w:tc>
          <w:tcPr>
            <w:tcW w:w="1440" w:type="dxa"/>
            <w:shd w:val="clear" w:color="auto" w:fill="D6E4F0"/>
          </w:tcPr>
          <w:p w14:paraId="3379510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日/周/月</w:t>
            </w:r>
          </w:p>
        </w:tc>
      </w:tr>
      <w:tr w14:paraId="1A0A6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EA8AEA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1440" w:type="dxa"/>
          </w:tcPr>
          <w:p w14:paraId="0AF9EBA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DPD30/60/90</w:t>
            </w:r>
          </w:p>
        </w:tc>
        <w:tc>
          <w:tcPr>
            <w:tcW w:w="1440" w:type="dxa"/>
          </w:tcPr>
          <w:p w14:paraId="51E1964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Days Past Due</w:t>
            </w:r>
          </w:p>
        </w:tc>
        <w:tc>
          <w:tcPr>
            <w:tcW w:w="1440" w:type="dxa"/>
          </w:tcPr>
          <w:p w14:paraId="4DA06AC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逾期监控</w:t>
            </w:r>
          </w:p>
        </w:tc>
        <w:tc>
          <w:tcPr>
            <w:tcW w:w="1440" w:type="dxa"/>
          </w:tcPr>
          <w:p w14:paraId="38DA446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按产品设定</w:t>
            </w:r>
          </w:p>
        </w:tc>
        <w:tc>
          <w:tcPr>
            <w:tcW w:w="1440" w:type="dxa"/>
          </w:tcPr>
          <w:p w14:paraId="566FE14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日/周</w:t>
            </w:r>
          </w:p>
        </w:tc>
      </w:tr>
      <w:tr w14:paraId="1368E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D6E4F0"/>
          </w:tcPr>
          <w:p w14:paraId="40A63DB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1440" w:type="dxa"/>
            <w:shd w:val="clear" w:color="auto" w:fill="D6E4F0"/>
          </w:tcPr>
          <w:p w14:paraId="076EF1E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不良贷款率(NPL)</w:t>
            </w:r>
          </w:p>
        </w:tc>
        <w:tc>
          <w:tcPr>
            <w:tcW w:w="1440" w:type="dxa"/>
            <w:shd w:val="clear" w:color="auto" w:fill="D6E4F0"/>
          </w:tcPr>
          <w:p w14:paraId="25B82AA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Non-Performing Loan Ratio</w:t>
            </w:r>
          </w:p>
        </w:tc>
        <w:tc>
          <w:tcPr>
            <w:tcW w:w="1440" w:type="dxa"/>
            <w:shd w:val="clear" w:color="auto" w:fill="D6E4F0"/>
          </w:tcPr>
          <w:p w14:paraId="12F7DE4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资产质量</w:t>
            </w:r>
          </w:p>
        </w:tc>
        <w:tc>
          <w:tcPr>
            <w:tcW w:w="1440" w:type="dxa"/>
            <w:shd w:val="clear" w:color="auto" w:fill="D6E4F0"/>
          </w:tcPr>
          <w:p w14:paraId="5C427E2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&lt; 3%</w:t>
            </w:r>
          </w:p>
        </w:tc>
        <w:tc>
          <w:tcPr>
            <w:tcW w:w="1440" w:type="dxa"/>
            <w:shd w:val="clear" w:color="auto" w:fill="D6E4F0"/>
          </w:tcPr>
          <w:p w14:paraId="2DD827C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月/季</w:t>
            </w:r>
          </w:p>
        </w:tc>
      </w:tr>
      <w:tr w14:paraId="3D12B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C10E34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1440" w:type="dxa"/>
          </w:tcPr>
          <w:p w14:paraId="1457DD7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逾期滚动率</w:t>
            </w:r>
          </w:p>
        </w:tc>
        <w:tc>
          <w:tcPr>
            <w:tcW w:w="1440" w:type="dxa"/>
          </w:tcPr>
          <w:p w14:paraId="108914A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Roll Rate</w:t>
            </w:r>
          </w:p>
        </w:tc>
        <w:tc>
          <w:tcPr>
            <w:tcW w:w="1440" w:type="dxa"/>
          </w:tcPr>
          <w:p w14:paraId="075CED0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风险传导</w:t>
            </w:r>
          </w:p>
        </w:tc>
        <w:tc>
          <w:tcPr>
            <w:tcW w:w="1440" w:type="dxa"/>
          </w:tcPr>
          <w:p w14:paraId="2426FEC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参考行业基准</w:t>
            </w:r>
          </w:p>
        </w:tc>
        <w:tc>
          <w:tcPr>
            <w:tcW w:w="1440" w:type="dxa"/>
          </w:tcPr>
          <w:p w14:paraId="43D6236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月</w:t>
            </w:r>
          </w:p>
        </w:tc>
      </w:tr>
      <w:tr w14:paraId="3FCCB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D6E4F0"/>
          </w:tcPr>
          <w:p w14:paraId="753A298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1440" w:type="dxa"/>
            <w:shd w:val="clear" w:color="auto" w:fill="D6E4F0"/>
          </w:tcPr>
          <w:p w14:paraId="6F77A44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迁徙率</w:t>
            </w:r>
          </w:p>
        </w:tc>
        <w:tc>
          <w:tcPr>
            <w:tcW w:w="1440" w:type="dxa"/>
            <w:shd w:val="clear" w:color="auto" w:fill="D6E4F0"/>
          </w:tcPr>
          <w:p w14:paraId="404E8CA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Migration Rate</w:t>
            </w:r>
          </w:p>
        </w:tc>
        <w:tc>
          <w:tcPr>
            <w:tcW w:w="1440" w:type="dxa"/>
            <w:shd w:val="clear" w:color="auto" w:fill="D6E4F0"/>
          </w:tcPr>
          <w:p w14:paraId="3882CBA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风险传导</w:t>
            </w:r>
          </w:p>
        </w:tc>
        <w:tc>
          <w:tcPr>
            <w:tcW w:w="1440" w:type="dxa"/>
            <w:shd w:val="clear" w:color="auto" w:fill="D6E4F0"/>
          </w:tcPr>
          <w:p w14:paraId="4881B7D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参考行业基准</w:t>
            </w:r>
          </w:p>
        </w:tc>
        <w:tc>
          <w:tcPr>
            <w:tcW w:w="1440" w:type="dxa"/>
            <w:shd w:val="clear" w:color="auto" w:fill="D6E4F0"/>
          </w:tcPr>
          <w:p w14:paraId="7855E11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月</w:t>
            </w:r>
          </w:p>
        </w:tc>
      </w:tr>
      <w:tr w14:paraId="0AD0E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A1B4DA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1440" w:type="dxa"/>
          </w:tcPr>
          <w:p w14:paraId="3FB182B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Vintage分析</w:t>
            </w:r>
          </w:p>
        </w:tc>
        <w:tc>
          <w:tcPr>
            <w:tcW w:w="1440" w:type="dxa"/>
          </w:tcPr>
          <w:p w14:paraId="7209F56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Vintage Analysis</w:t>
            </w:r>
          </w:p>
        </w:tc>
        <w:tc>
          <w:tcPr>
            <w:tcW w:w="1440" w:type="dxa"/>
          </w:tcPr>
          <w:p w14:paraId="269100B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资产质量</w:t>
            </w:r>
          </w:p>
        </w:tc>
        <w:tc>
          <w:tcPr>
            <w:tcW w:w="1440" w:type="dxa"/>
          </w:tcPr>
          <w:p w14:paraId="09097ED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对比同业</w:t>
            </w:r>
          </w:p>
        </w:tc>
        <w:tc>
          <w:tcPr>
            <w:tcW w:w="1440" w:type="dxa"/>
          </w:tcPr>
          <w:p w14:paraId="524DFF1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月/季</w:t>
            </w:r>
          </w:p>
        </w:tc>
      </w:tr>
      <w:tr w14:paraId="3C2D9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440" w:type="dxa"/>
            <w:shd w:val="clear" w:color="auto" w:fill="D6E4F0"/>
          </w:tcPr>
          <w:p w14:paraId="37A4AE5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1440" w:type="dxa"/>
            <w:shd w:val="clear" w:color="auto" w:fill="D6E4F0"/>
          </w:tcPr>
          <w:p w14:paraId="23F6EB7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风险敞口</w:t>
            </w:r>
          </w:p>
        </w:tc>
        <w:tc>
          <w:tcPr>
            <w:tcW w:w="1440" w:type="dxa"/>
            <w:shd w:val="clear" w:color="auto" w:fill="D6E4F0"/>
          </w:tcPr>
          <w:p w14:paraId="7459DAE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Risk Exposure</w:t>
            </w:r>
          </w:p>
        </w:tc>
        <w:tc>
          <w:tcPr>
            <w:tcW w:w="1440" w:type="dxa"/>
            <w:shd w:val="clear" w:color="auto" w:fill="D6E4F0"/>
          </w:tcPr>
          <w:p w14:paraId="76C2B74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风险量化</w:t>
            </w:r>
          </w:p>
        </w:tc>
        <w:tc>
          <w:tcPr>
            <w:tcW w:w="1440" w:type="dxa"/>
            <w:shd w:val="clear" w:color="auto" w:fill="D6E4F0"/>
          </w:tcPr>
          <w:p w14:paraId="7123707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根据资本要求</w:t>
            </w:r>
          </w:p>
        </w:tc>
        <w:tc>
          <w:tcPr>
            <w:tcW w:w="1440" w:type="dxa"/>
            <w:shd w:val="clear" w:color="auto" w:fill="D6E4F0"/>
          </w:tcPr>
          <w:p w14:paraId="748FA0E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日/周</w:t>
            </w:r>
          </w:p>
        </w:tc>
      </w:tr>
    </w:tbl>
    <w:p w14:paraId="2E64BDDA"/>
    <w:p w14:paraId="2B63B1EF">
      <w:pPr>
        <w:jc w:val="left"/>
      </w:pPr>
      <w:r>
        <w:rPr>
          <w:rFonts w:ascii="微软雅黑" w:hAnsi="微软雅黑" w:eastAsia="微软雅黑"/>
          <w:b/>
          <w:sz w:val="28"/>
        </w:rPr>
        <w:t>2.1  FPD7</w:t>
      </w:r>
    </w:p>
    <w:p w14:paraId="5ACAF06E">
      <w:pPr>
        <w:jc w:val="left"/>
        <w:rPr>
          <w:rFonts w:ascii="微软雅黑" w:hAnsi="微软雅黑" w:eastAsia="微软雅黑"/>
          <w:b w:val="0"/>
          <w:sz w:val="22"/>
        </w:rPr>
      </w:pPr>
      <w:r>
        <w:rPr>
          <w:rFonts w:ascii="微软雅黑" w:hAnsi="微软雅黑" w:eastAsia="微软雅黑"/>
          <w:b w:val="0"/>
          <w:sz w:val="22"/>
        </w:rPr>
        <w:t xml:space="preserve">First Payment </w:t>
      </w:r>
      <w:r>
        <w:rPr>
          <w:rFonts w:ascii="微软雅黑" w:hAnsi="微软雅黑" w:eastAsia="微软雅黑"/>
          <w:b w:val="0"/>
          <w:i w:val="0"/>
          <w:sz w:val="22"/>
        </w:rPr>
        <w:t>Delinquency</w:t>
      </w:r>
      <w:r>
        <w:rPr>
          <w:rFonts w:ascii="微软雅黑" w:hAnsi="微软雅黑" w:eastAsia="微软雅黑"/>
          <w:b w:val="0"/>
          <w:sz w:val="22"/>
        </w:rPr>
        <w:t>(7天)</w:t>
      </w:r>
    </w:p>
    <w:p w14:paraId="11B4BD91">
      <w:pPr>
        <w:rPr>
          <w:rFonts w:hint="eastAsia" w:ascii="Consolas" w:hAnsi="Consolas" w:eastAsia="微软雅黑"/>
          <w:b/>
          <w:sz w:val="22"/>
          <w:lang w:val="en-US" w:eastAsia="zh-CN"/>
        </w:rPr>
      </w:pPr>
      <w:r>
        <w:rPr>
          <w:rFonts w:hint="eastAsia" w:ascii="Consolas" w:hAnsi="Consolas" w:eastAsia="微软雅黑"/>
          <w:b/>
          <w:sz w:val="22"/>
          <w:lang w:val="en-US" w:eastAsia="zh-CN"/>
        </w:rPr>
        <w:t>订单</w:t>
      </w:r>
      <w:r>
        <w:rPr>
          <w:rFonts w:ascii="Consolas" w:hAnsi="Consolas" w:eastAsia="微软雅黑"/>
          <w:b/>
          <w:sz w:val="22"/>
        </w:rPr>
        <w:t>FPD(</w:t>
      </w:r>
      <w:r>
        <w:rPr>
          <w:rFonts w:hint="eastAsia" w:ascii="Consolas" w:hAnsi="Consolas" w:eastAsia="微软雅黑"/>
          <w:b/>
          <w:sz w:val="22"/>
          <w:lang w:val="en-US" w:eastAsia="zh-CN"/>
        </w:rPr>
        <w:t>7</w:t>
      </w:r>
      <w:r>
        <w:rPr>
          <w:rFonts w:ascii="Consolas" w:hAnsi="Consolas" w:eastAsia="微软雅黑"/>
          <w:b/>
          <w:sz w:val="22"/>
        </w:rPr>
        <w:t xml:space="preserve">) = 首次逾期 </w:t>
      </w:r>
      <w:r>
        <w:rPr>
          <w:rFonts w:hint="eastAsia" w:ascii="Consolas" w:hAnsi="Consolas" w:eastAsia="微软雅黑"/>
          <w:b/>
          <w:sz w:val="22"/>
          <w:lang w:val="en-US" w:eastAsia="zh-CN"/>
        </w:rPr>
        <w:t>7</w:t>
      </w:r>
      <w:r>
        <w:rPr>
          <w:rFonts w:ascii="Consolas" w:hAnsi="Consolas" w:eastAsia="微软雅黑"/>
          <w:b/>
          <w:sz w:val="22"/>
        </w:rPr>
        <w:t xml:space="preserve"> 天以上的</w:t>
      </w:r>
      <w:r>
        <w:rPr>
          <w:rFonts w:hint="eastAsia" w:ascii="Consolas" w:hAnsi="Consolas" w:eastAsia="微软雅黑"/>
          <w:b/>
          <w:sz w:val="22"/>
          <w:lang w:val="en-US" w:eastAsia="zh-CN"/>
        </w:rPr>
        <w:t>订单量</w:t>
      </w:r>
      <w:r>
        <w:rPr>
          <w:rFonts w:ascii="Consolas" w:hAnsi="Consolas" w:eastAsia="微软雅黑"/>
          <w:b/>
          <w:sz w:val="22"/>
        </w:rPr>
        <w:t xml:space="preserve"> / </w:t>
      </w:r>
      <w:r>
        <w:rPr>
          <w:rFonts w:hint="eastAsia" w:ascii="Consolas" w:hAnsi="Consolas" w:eastAsia="微软雅黑"/>
          <w:b/>
          <w:sz w:val="22"/>
          <w:lang w:val="en-US" w:eastAsia="zh-CN"/>
        </w:rPr>
        <w:t>总订单量</w:t>
      </w:r>
    </w:p>
    <w:p w14:paraId="02AD140C">
      <w:pPr>
        <w:rPr>
          <w:rFonts w:hint="eastAsia" w:ascii="Consolas" w:hAnsi="Consolas" w:eastAsia="微软雅黑"/>
          <w:b/>
          <w:sz w:val="22"/>
          <w:lang w:val="en-US" w:eastAsia="zh-CN"/>
        </w:rPr>
      </w:pPr>
      <w:r>
        <w:rPr>
          <w:rFonts w:hint="eastAsia" w:ascii="Consolas" w:hAnsi="Consolas" w:eastAsia="微软雅黑"/>
          <w:b/>
          <w:sz w:val="22"/>
          <w:lang w:val="en-US" w:eastAsia="zh-CN"/>
        </w:rPr>
        <w:t>金额</w:t>
      </w:r>
      <w:r>
        <w:rPr>
          <w:rFonts w:ascii="Consolas" w:hAnsi="Consolas" w:eastAsia="微软雅黑"/>
          <w:b/>
          <w:sz w:val="22"/>
        </w:rPr>
        <w:t>FPD(</w:t>
      </w:r>
      <w:r>
        <w:rPr>
          <w:rFonts w:hint="eastAsia" w:ascii="Consolas" w:hAnsi="Consolas" w:eastAsia="微软雅黑"/>
          <w:b/>
          <w:sz w:val="22"/>
          <w:lang w:val="en-US" w:eastAsia="zh-CN"/>
        </w:rPr>
        <w:t>7</w:t>
      </w:r>
      <w:r>
        <w:rPr>
          <w:rFonts w:ascii="Consolas" w:hAnsi="Consolas" w:eastAsia="微软雅黑"/>
          <w:b/>
          <w:sz w:val="22"/>
        </w:rPr>
        <w:t xml:space="preserve">) = 首次逾期 </w:t>
      </w:r>
      <w:r>
        <w:rPr>
          <w:rFonts w:hint="eastAsia" w:ascii="Consolas" w:hAnsi="Consolas" w:eastAsia="微软雅黑"/>
          <w:b/>
          <w:sz w:val="22"/>
          <w:lang w:val="en-US" w:eastAsia="zh-CN"/>
        </w:rPr>
        <w:t>7</w:t>
      </w:r>
      <w:r>
        <w:rPr>
          <w:rFonts w:ascii="Consolas" w:hAnsi="Consolas" w:eastAsia="微软雅黑"/>
          <w:b/>
          <w:sz w:val="22"/>
        </w:rPr>
        <w:t>天以上</w:t>
      </w:r>
      <w:r>
        <w:rPr>
          <w:rFonts w:hint="eastAsia" w:ascii="Consolas" w:hAnsi="Consolas" w:eastAsia="微软雅黑"/>
          <w:b/>
          <w:sz w:val="22"/>
          <w:lang w:val="en-US" w:eastAsia="zh-CN"/>
        </w:rPr>
        <w:t>的订单金额</w:t>
      </w:r>
      <w:r>
        <w:rPr>
          <w:rFonts w:ascii="Consolas" w:hAnsi="Consolas" w:eastAsia="微软雅黑"/>
          <w:b/>
          <w:sz w:val="22"/>
        </w:rPr>
        <w:t xml:space="preserve"> / </w:t>
      </w:r>
      <w:r>
        <w:rPr>
          <w:rFonts w:hint="eastAsia" w:ascii="Consolas" w:hAnsi="Consolas" w:eastAsia="微软雅黑"/>
          <w:b/>
          <w:sz w:val="22"/>
          <w:lang w:val="en-US" w:eastAsia="zh-CN"/>
        </w:rPr>
        <w:t>总金额</w:t>
      </w:r>
    </w:p>
    <w:p w14:paraId="3EC423F0">
      <w:pPr>
        <w:jc w:val="left"/>
        <w:rPr>
          <w:rFonts w:ascii="微软雅黑" w:hAnsi="微软雅黑" w:eastAsia="微软雅黑"/>
          <w:b w:val="0"/>
          <w:sz w:val="22"/>
        </w:rPr>
      </w:pPr>
    </w:p>
    <w:p w14:paraId="493A3841">
      <w:r>
        <w:rPr>
          <w:rFonts w:ascii="微软雅黑" w:hAnsi="微软雅黑" w:eastAsia="微软雅黑"/>
          <w:b/>
          <w:i w:val="0"/>
          <w:sz w:val="22"/>
        </w:rPr>
        <w:t>核心价值：</w:t>
      </w:r>
    </w:p>
    <w:p w14:paraId="3CE2ED7E">
      <w:pPr>
        <w:pStyle w:val="16"/>
      </w:pPr>
      <w:r>
        <w:rPr>
          <w:rFonts w:ascii="微软雅黑" w:hAnsi="微软雅黑" w:eastAsia="微软雅黑"/>
          <w:sz w:val="22"/>
        </w:rPr>
        <w:t>消费金融监管报告常用口径（如银保监会相关统计）</w:t>
      </w:r>
    </w:p>
    <w:p w14:paraId="21912480">
      <w:pPr>
        <w:pStyle w:val="16"/>
      </w:pPr>
      <w:r>
        <w:rPr>
          <w:rFonts w:ascii="微软雅黑" w:hAnsi="微软雅黑" w:eastAsia="微软雅黑"/>
          <w:sz w:val="22"/>
        </w:rPr>
        <w:t>超过7天，催收难度显著上升，催回率下降约30%~50%</w:t>
      </w:r>
    </w:p>
    <w:p w14:paraId="6789D511">
      <w:pPr>
        <w:pStyle w:val="16"/>
      </w:pPr>
      <w:r>
        <w:rPr>
          <w:rFonts w:ascii="微软雅黑" w:hAnsi="微软雅黑" w:eastAsia="微软雅黑"/>
          <w:sz w:val="22"/>
        </w:rPr>
        <w:t>FPD7 &gt; 1% 通常被认为是资产质量的警戒线</w:t>
      </w:r>
    </w:p>
    <w:p w14:paraId="3A76A58B">
      <w:r>
        <w:rPr>
          <w:rFonts w:ascii="微软雅黑" w:hAnsi="微软雅黑" w:eastAsia="微软雅黑"/>
          <w:b/>
          <w:i w:val="0"/>
          <w:sz w:val="22"/>
        </w:rPr>
        <w:t>实战意义：</w:t>
      </w:r>
    </w:p>
    <w:p w14:paraId="70389153">
      <w:r>
        <w:rPr>
          <w:rFonts w:ascii="微软雅黑" w:hAnsi="微软雅黑" w:eastAsia="微软雅黑"/>
          <w:b w:val="0"/>
          <w:i w:val="0"/>
          <w:sz w:val="22"/>
        </w:rPr>
        <w:t>FPD7是很多互金平台对外披露的"不良率"基准。如果你的FPD7超过1%，需要立即排查资产结构并收紧进件标准。</w:t>
      </w:r>
    </w:p>
    <w:p w14:paraId="2BC75253">
      <w:pPr>
        <w:jc w:val="left"/>
        <w:rPr>
          <w:rFonts w:ascii="微软雅黑" w:hAnsi="微软雅黑" w:eastAsia="微软雅黑"/>
          <w:b w:val="0"/>
          <w:sz w:val="22"/>
        </w:rPr>
      </w:pPr>
    </w:p>
    <w:p w14:paraId="7D3AB037">
      <w:r>
        <w:t>────────────────────────────────────────</w:t>
      </w:r>
    </w:p>
    <w:p w14:paraId="30BDE281">
      <w:pPr>
        <w:jc w:val="left"/>
      </w:pPr>
      <w:r>
        <w:rPr>
          <w:rFonts w:ascii="微软雅黑" w:hAnsi="微软雅黑" w:eastAsia="微软雅黑"/>
          <w:b/>
          <w:sz w:val="28"/>
        </w:rPr>
        <w:t>2.2  FPD30</w:t>
      </w:r>
    </w:p>
    <w:p w14:paraId="21DC44AB">
      <w:pPr>
        <w:jc w:val="left"/>
        <w:rPr>
          <w:rFonts w:ascii="微软雅黑" w:hAnsi="微软雅黑" w:eastAsia="微软雅黑"/>
          <w:b w:val="0"/>
          <w:sz w:val="22"/>
        </w:rPr>
      </w:pPr>
      <w:r>
        <w:rPr>
          <w:rFonts w:ascii="微软雅黑" w:hAnsi="微软雅黑" w:eastAsia="微软雅黑"/>
          <w:b w:val="0"/>
          <w:sz w:val="22"/>
        </w:rPr>
        <w:t xml:space="preserve">First Payment </w:t>
      </w:r>
      <w:r>
        <w:rPr>
          <w:rFonts w:ascii="微软雅黑" w:hAnsi="微软雅黑" w:eastAsia="微软雅黑"/>
          <w:b w:val="0"/>
          <w:i w:val="0"/>
          <w:sz w:val="22"/>
        </w:rPr>
        <w:t>Delinquency</w:t>
      </w:r>
      <w:r>
        <w:rPr>
          <w:rFonts w:ascii="微软雅黑" w:hAnsi="微软雅黑" w:eastAsia="微软雅黑"/>
          <w:b w:val="0"/>
          <w:sz w:val="22"/>
        </w:rPr>
        <w:t>(30天)</w:t>
      </w:r>
    </w:p>
    <w:p w14:paraId="5400E252">
      <w:pPr>
        <w:rPr>
          <w:rFonts w:hint="eastAsia" w:ascii="Consolas" w:hAnsi="Consolas" w:eastAsia="微软雅黑"/>
          <w:b/>
          <w:sz w:val="22"/>
          <w:lang w:val="en-US" w:eastAsia="zh-CN"/>
        </w:rPr>
      </w:pPr>
      <w:r>
        <w:rPr>
          <w:rFonts w:hint="eastAsia" w:ascii="Consolas" w:hAnsi="Consolas" w:eastAsia="微软雅黑"/>
          <w:b/>
          <w:sz w:val="22"/>
          <w:lang w:val="en-US" w:eastAsia="zh-CN"/>
        </w:rPr>
        <w:t>订单</w:t>
      </w:r>
      <w:r>
        <w:rPr>
          <w:rFonts w:ascii="Consolas" w:hAnsi="Consolas" w:eastAsia="微软雅黑"/>
          <w:b/>
          <w:sz w:val="22"/>
        </w:rPr>
        <w:t>FPD(</w:t>
      </w:r>
      <w:r>
        <w:rPr>
          <w:rFonts w:hint="eastAsia" w:ascii="Consolas" w:hAnsi="Consolas" w:eastAsia="微软雅黑"/>
          <w:b/>
          <w:sz w:val="22"/>
          <w:lang w:val="en-US" w:eastAsia="zh-CN"/>
        </w:rPr>
        <w:t>30</w:t>
      </w:r>
      <w:r>
        <w:rPr>
          <w:rFonts w:ascii="Consolas" w:hAnsi="Consolas" w:eastAsia="微软雅黑"/>
          <w:b/>
          <w:sz w:val="22"/>
        </w:rPr>
        <w:t xml:space="preserve">) = 首次逾期 </w:t>
      </w:r>
      <w:r>
        <w:rPr>
          <w:rFonts w:hint="eastAsia" w:ascii="Consolas" w:hAnsi="Consolas" w:eastAsia="微软雅黑"/>
          <w:b/>
          <w:sz w:val="22"/>
          <w:lang w:val="en-US" w:eastAsia="zh-CN"/>
        </w:rPr>
        <w:t>30</w:t>
      </w:r>
      <w:r>
        <w:rPr>
          <w:rFonts w:ascii="Consolas" w:hAnsi="Consolas" w:eastAsia="微软雅黑"/>
          <w:b/>
          <w:sz w:val="22"/>
        </w:rPr>
        <w:t xml:space="preserve"> 天以上的</w:t>
      </w:r>
      <w:r>
        <w:rPr>
          <w:rFonts w:hint="eastAsia" w:ascii="Consolas" w:hAnsi="Consolas" w:eastAsia="微软雅黑"/>
          <w:b/>
          <w:sz w:val="22"/>
          <w:lang w:val="en-US" w:eastAsia="zh-CN"/>
        </w:rPr>
        <w:t>订单量</w:t>
      </w:r>
      <w:r>
        <w:rPr>
          <w:rFonts w:ascii="Consolas" w:hAnsi="Consolas" w:eastAsia="微软雅黑"/>
          <w:b/>
          <w:sz w:val="22"/>
        </w:rPr>
        <w:t xml:space="preserve"> / </w:t>
      </w:r>
      <w:r>
        <w:rPr>
          <w:rFonts w:hint="eastAsia" w:ascii="Consolas" w:hAnsi="Consolas" w:eastAsia="微软雅黑"/>
          <w:b/>
          <w:sz w:val="22"/>
          <w:lang w:val="en-US" w:eastAsia="zh-CN"/>
        </w:rPr>
        <w:t>总订单量</w:t>
      </w:r>
    </w:p>
    <w:p w14:paraId="42ADF5C9">
      <w:pPr>
        <w:rPr>
          <w:rFonts w:hint="eastAsia" w:ascii="Consolas" w:hAnsi="Consolas" w:eastAsia="微软雅黑"/>
          <w:b/>
          <w:sz w:val="22"/>
          <w:lang w:val="en-US" w:eastAsia="zh-CN"/>
        </w:rPr>
      </w:pPr>
      <w:r>
        <w:rPr>
          <w:rFonts w:hint="eastAsia" w:ascii="Consolas" w:hAnsi="Consolas" w:eastAsia="微软雅黑"/>
          <w:b/>
          <w:sz w:val="22"/>
          <w:lang w:val="en-US" w:eastAsia="zh-CN"/>
        </w:rPr>
        <w:t>金额</w:t>
      </w:r>
      <w:r>
        <w:rPr>
          <w:rFonts w:ascii="Consolas" w:hAnsi="Consolas" w:eastAsia="微软雅黑"/>
          <w:b/>
          <w:sz w:val="22"/>
        </w:rPr>
        <w:t>FPD(</w:t>
      </w:r>
      <w:r>
        <w:rPr>
          <w:rFonts w:hint="eastAsia" w:ascii="Consolas" w:hAnsi="Consolas" w:eastAsia="微软雅黑"/>
          <w:b/>
          <w:sz w:val="22"/>
          <w:lang w:val="en-US" w:eastAsia="zh-CN"/>
        </w:rPr>
        <w:t>30</w:t>
      </w:r>
      <w:r>
        <w:rPr>
          <w:rFonts w:ascii="Consolas" w:hAnsi="Consolas" w:eastAsia="微软雅黑"/>
          <w:b/>
          <w:sz w:val="22"/>
        </w:rPr>
        <w:t>) = 首次逾期</w:t>
      </w:r>
      <w:r>
        <w:rPr>
          <w:rFonts w:hint="eastAsia" w:ascii="Consolas" w:hAnsi="Consolas" w:eastAsia="微软雅黑"/>
          <w:b/>
          <w:sz w:val="22"/>
          <w:lang w:val="en-US" w:eastAsia="zh-CN"/>
        </w:rPr>
        <w:t xml:space="preserve"> 30</w:t>
      </w:r>
      <w:r>
        <w:rPr>
          <w:rFonts w:ascii="Consolas" w:hAnsi="Consolas" w:eastAsia="微软雅黑"/>
          <w:b/>
          <w:sz w:val="22"/>
        </w:rPr>
        <w:t>天以上</w:t>
      </w:r>
      <w:r>
        <w:rPr>
          <w:rFonts w:hint="eastAsia" w:ascii="Consolas" w:hAnsi="Consolas" w:eastAsia="微软雅黑"/>
          <w:b/>
          <w:sz w:val="22"/>
          <w:lang w:val="en-US" w:eastAsia="zh-CN"/>
        </w:rPr>
        <w:t>的订单金额</w:t>
      </w:r>
      <w:r>
        <w:rPr>
          <w:rFonts w:ascii="Consolas" w:hAnsi="Consolas" w:eastAsia="微软雅黑"/>
          <w:b/>
          <w:sz w:val="22"/>
        </w:rPr>
        <w:t xml:space="preserve"> / </w:t>
      </w:r>
      <w:r>
        <w:rPr>
          <w:rFonts w:hint="eastAsia" w:ascii="Consolas" w:hAnsi="Consolas" w:eastAsia="微软雅黑"/>
          <w:b/>
          <w:sz w:val="22"/>
          <w:lang w:val="en-US" w:eastAsia="zh-CN"/>
        </w:rPr>
        <w:t>总金额</w:t>
      </w:r>
    </w:p>
    <w:p w14:paraId="30B1C5CB">
      <w:pPr>
        <w:jc w:val="left"/>
        <w:rPr>
          <w:rFonts w:ascii="微软雅黑" w:hAnsi="微软雅黑" w:eastAsia="微软雅黑"/>
          <w:b w:val="0"/>
          <w:sz w:val="22"/>
        </w:rPr>
      </w:pPr>
    </w:p>
    <w:p w14:paraId="223B7E96">
      <w:r>
        <w:rPr>
          <w:rFonts w:ascii="微软雅黑" w:hAnsi="微软雅黑" w:eastAsia="微软雅黑"/>
          <w:b/>
          <w:i w:val="0"/>
          <w:sz w:val="22"/>
        </w:rPr>
        <w:t>核心价值：</w:t>
      </w:r>
    </w:p>
    <w:p w14:paraId="6493ACD6">
      <w:pPr>
        <w:pStyle w:val="16"/>
      </w:pPr>
      <w:r>
        <w:rPr>
          <w:rFonts w:ascii="微软雅黑" w:hAnsi="微软雅黑" w:eastAsia="微软雅黑"/>
          <w:sz w:val="22"/>
        </w:rPr>
        <w:t>中国消费金融行业不良贷款的法定认定标准（M2+）</w:t>
      </w:r>
    </w:p>
    <w:p w14:paraId="0672984B">
      <w:pPr>
        <w:pStyle w:val="16"/>
      </w:pPr>
      <w:r>
        <w:rPr>
          <w:rFonts w:ascii="微软雅黑" w:hAnsi="微软雅黑" w:eastAsia="微软雅黑"/>
          <w:sz w:val="22"/>
        </w:rPr>
        <w:t>超过30天，绝大多数机构将其计入"不良贷款"并计提拨备</w:t>
      </w:r>
    </w:p>
    <w:p w14:paraId="75216D9A">
      <w:pPr>
        <w:pStyle w:val="16"/>
      </w:pPr>
      <w:r>
        <w:rPr>
          <w:rFonts w:ascii="微软雅黑" w:hAnsi="微软雅黑" w:eastAsia="微软雅黑"/>
          <w:sz w:val="22"/>
        </w:rPr>
        <w:t>直接影响资本充足率、拨备覆盖率等监管指标</w:t>
      </w:r>
    </w:p>
    <w:p w14:paraId="097F1C81">
      <w:pPr>
        <w:pStyle w:val="16"/>
      </w:pPr>
      <w:r>
        <w:rPr>
          <w:rFonts w:ascii="微软雅黑" w:hAnsi="微软雅黑" w:eastAsia="微软雅黑"/>
          <w:sz w:val="22"/>
        </w:rPr>
        <w:t>FPD30 是衡量贷款机构长期资产质量的"终极标尺"</w:t>
      </w:r>
    </w:p>
    <w:p w14:paraId="1BF709C5">
      <w:r>
        <w:rPr>
          <w:rFonts w:ascii="微软雅黑" w:hAnsi="微软雅黑" w:eastAsia="微软雅黑"/>
          <w:b/>
          <w:i w:val="0"/>
          <w:sz w:val="22"/>
        </w:rPr>
        <w:t>监管要求：</w:t>
      </w:r>
    </w:p>
    <w:p w14:paraId="55D13A4C">
      <w:r>
        <w:rPr>
          <w:rFonts w:ascii="微软雅黑" w:hAnsi="微软雅黑" w:eastAsia="微软雅黑"/>
          <w:b w:val="0"/>
          <w:i w:val="0"/>
          <w:sz w:val="22"/>
        </w:rPr>
        <w:t>根据银保监会要求，金融机构需对M2+（逾期30天以上）贷款按比例计提专项准备，FPD30 直接影响财务报表的拨备费用。</w:t>
      </w:r>
    </w:p>
    <w:p w14:paraId="31ED809A">
      <w:pPr>
        <w:jc w:val="left"/>
        <w:rPr>
          <w:rFonts w:ascii="微软雅黑" w:hAnsi="微软雅黑" w:eastAsia="微软雅黑"/>
          <w:b w:val="0"/>
          <w:sz w:val="22"/>
        </w:rPr>
      </w:pPr>
    </w:p>
    <w:p w14:paraId="3273D563">
      <w:pPr>
        <w:jc w:val="left"/>
      </w:pPr>
      <w:r>
        <w:rPr>
          <w:rFonts w:ascii="微软雅黑" w:hAnsi="微软雅黑" w:eastAsia="微软雅黑"/>
          <w:b/>
          <w:sz w:val="22"/>
        </w:rPr>
        <w:t>📐 计算口径</w:t>
      </w:r>
    </w:p>
    <w:p w14:paraId="3648737D">
      <w:pPr>
        <w:spacing w:line="360" w:lineRule="exact"/>
        <w:rPr>
          <w:rFonts w:ascii="微软雅黑" w:hAnsi="微软雅黑" w:eastAsia="微软雅黑"/>
          <w:b w:val="0"/>
          <w:sz w:val="21"/>
        </w:rPr>
      </w:pPr>
      <w:r>
        <w:rPr>
          <w:rFonts w:ascii="微软雅黑" w:hAnsi="微软雅黑" w:eastAsia="微软雅黑"/>
          <w:b w:val="0"/>
          <w:sz w:val="21"/>
        </w:rPr>
        <w:t xml:space="preserve">  • DPD30+</w:t>
      </w:r>
      <w:r>
        <w:rPr>
          <w:rFonts w:hint="eastAsia" w:ascii="微软雅黑" w:hAnsi="微软雅黑" w:eastAsia="微软雅黑"/>
          <w:b w:val="0"/>
          <w:sz w:val="21"/>
          <w:lang w:val="en-US" w:eastAsia="zh-CN"/>
        </w:rPr>
        <w:t>%</w:t>
      </w:r>
      <w:r>
        <w:rPr>
          <w:rFonts w:ascii="微软雅黑" w:hAnsi="微软雅黑" w:eastAsia="微软雅黑"/>
          <w:b w:val="0"/>
          <w:sz w:val="21"/>
        </w:rPr>
        <w:t xml:space="preserve"> = （逾期30天</w:t>
      </w:r>
      <w:r>
        <w:rPr>
          <w:rFonts w:hint="eastAsia" w:ascii="微软雅黑" w:hAnsi="微软雅黑" w:eastAsia="微软雅黑"/>
          <w:b w:val="0"/>
          <w:sz w:val="21"/>
          <w:lang w:val="en-US" w:eastAsia="zh-CN"/>
        </w:rPr>
        <w:t>及</w:t>
      </w:r>
      <w:r>
        <w:rPr>
          <w:rFonts w:ascii="微软雅黑" w:hAnsi="微软雅黑" w:eastAsia="微软雅黑"/>
          <w:b w:val="0"/>
          <w:sz w:val="21"/>
        </w:rPr>
        <w:t xml:space="preserve">以上的在贷余额 / 总在贷余额）× 100% </w:t>
      </w:r>
    </w:p>
    <w:p w14:paraId="3CA849B4">
      <w:pPr>
        <w:spacing w:line="360" w:lineRule="exact"/>
        <w:rPr>
          <w:rFonts w:ascii="微软雅黑" w:hAnsi="微软雅黑" w:eastAsia="微软雅黑"/>
          <w:b w:val="0"/>
          <w:sz w:val="21"/>
        </w:rPr>
      </w:pPr>
      <w:r>
        <w:rPr>
          <w:rFonts w:ascii="微软雅黑" w:hAnsi="微软雅黑" w:eastAsia="微软雅黑"/>
          <w:b w:val="0"/>
          <w:sz w:val="21"/>
        </w:rPr>
        <w:t xml:space="preserve"> • DPD60+率 = （逾期60天以上的在贷余额 / 总在贷余额）× 100% </w:t>
      </w:r>
    </w:p>
    <w:p w14:paraId="39BCCFED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• DPD90+率 = （逾期90天以上的在贷余额 / 总在贷余额）× 100%</w:t>
      </w:r>
    </w:p>
    <w:p w14:paraId="4B430479">
      <w:pPr>
        <w:jc w:val="left"/>
      </w:pPr>
      <w:r>
        <w:rPr>
          <w:rFonts w:ascii="微软雅黑" w:hAnsi="微软雅黑" w:eastAsia="微软雅黑"/>
          <w:b/>
          <w:sz w:val="22"/>
        </w:rPr>
        <w:t>💡 作用与意义</w:t>
      </w:r>
    </w:p>
    <w:p w14:paraId="683AB68C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DPD逾期率是资产质量最直观的度量指标，直接反映当前存量资产的健康程度。</w:t>
      </w:r>
    </w:p>
    <w:p w14:paraId="0C1C10A4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DPD30+是监管关注的重要指标，超过5%可能触发监管问询。</w:t>
      </w:r>
    </w:p>
    <w:p w14:paraId="149DE673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三个梯度的逾期率（30/60/90）构成风险恶化的阶梯图，帮助判断风险扩散速度。</w:t>
      </w:r>
    </w:p>
    <w:p w14:paraId="4A875229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逾期率的边际变化（环比、同比）比绝对值更值得关注。</w:t>
      </w:r>
    </w:p>
    <w:p w14:paraId="71E9D28D">
      <w:pPr>
        <w:jc w:val="left"/>
      </w:pPr>
      <w:r>
        <w:rPr>
          <w:rFonts w:ascii="微软雅黑" w:hAnsi="微软雅黑" w:eastAsia="微软雅黑"/>
          <w:b/>
          <w:sz w:val="22"/>
        </w:rPr>
        <w:t>📊 分析维度</w:t>
      </w:r>
    </w:p>
    <w:p w14:paraId="498C55A5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放款批次(vintage) / 欺诈类型 / 渠道维度 / 反欺诈规则命中情况</w:t>
      </w:r>
    </w:p>
    <w:p w14:paraId="33591158">
      <w:r>
        <w:t>────────────────────────────────────────</w:t>
      </w:r>
    </w:p>
    <w:p w14:paraId="2C1E7208">
      <w:pPr>
        <w:jc w:val="left"/>
      </w:pPr>
      <w:r>
        <w:rPr>
          <w:rFonts w:ascii="微软雅黑" w:hAnsi="微软雅黑" w:eastAsia="微软雅黑"/>
          <w:b/>
          <w:sz w:val="28"/>
        </w:rPr>
        <w:t>2.3  DPD30/60/90</w:t>
      </w:r>
    </w:p>
    <w:p w14:paraId="4F17A671">
      <w:pPr>
        <w:jc w:val="left"/>
      </w:pPr>
      <w:r>
        <w:rPr>
          <w:rFonts w:ascii="微软雅黑" w:hAnsi="微软雅黑" w:eastAsia="微软雅黑"/>
          <w:b w:val="0"/>
          <w:sz w:val="22"/>
        </w:rPr>
        <w:t>Days Past Due</w:t>
      </w:r>
    </w:p>
    <w:p w14:paraId="10A31669">
      <w:pPr>
        <w:jc w:val="left"/>
      </w:pPr>
      <w:r>
        <w:rPr>
          <w:rFonts w:ascii="微软雅黑" w:hAnsi="微软雅黑" w:eastAsia="微软雅黑"/>
          <w:b/>
          <w:sz w:val="22"/>
        </w:rPr>
        <w:t>📐 计算口径</w:t>
      </w:r>
    </w:p>
    <w:p w14:paraId="0DFEF785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不良贷款率 = （不良贷款余额 / 贷款总余额）× 100% 不良贷款通常指逾期90天以上（M4+）或按五级分类被归为"次级、可疑、损失"的贷款。</w:t>
      </w:r>
    </w:p>
    <w:p w14:paraId="0F6F0A7D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M0→M1滚动率 = （本月M1逾期金额 / 上月M0（即正常）中应还款金额）× 100%</w:t>
      </w:r>
    </w:p>
    <w:p w14:paraId="690B1A06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M1→M2滚动率 = （本月M2逾期金额 / 上月M1逾期金额）× 100%</w:t>
      </w:r>
    </w:p>
    <w:p w14:paraId="39DBBF65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同理计算M2→M3、M3→M4等各级滚动率。</w:t>
      </w:r>
    </w:p>
    <w:p w14:paraId="2C52F2E4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迁徙率 = （期初某等级贷款中在期末迁徙到下一等级的金额 / 期初该等级贷款余额）× 100% 例如：正常类迁徙率 = 期末从正常类迁徙到关注类的金额 / 期初正常类贷款余额。</w:t>
      </w:r>
    </w:p>
    <w:p w14:paraId="48092F54">
      <w:pPr>
        <w:jc w:val="left"/>
      </w:pPr>
      <w:r>
        <w:rPr>
          <w:rFonts w:ascii="微软雅黑" w:hAnsi="微软雅黑" w:eastAsia="微软雅黑"/>
          <w:b/>
          <w:sz w:val="22"/>
        </w:rPr>
        <w:t>💡 作用与意义</w:t>
      </w:r>
    </w:p>
    <w:p w14:paraId="748438AC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NPL是监管机构最关注的资产质量指标，直接影响资本充足率、拨备计提和机构评级。</w:t>
      </w:r>
    </w:p>
    <w:p w14:paraId="7E77A6B9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NPL的长期趋势决定了消费金融业务的可持续性和盈利能力。</w:t>
      </w:r>
    </w:p>
    <w:p w14:paraId="099DF4AB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NPL上升不仅带来直接损失，还会推高拨备成本、压低估值、影响融资能力。</w:t>
      </w:r>
    </w:p>
    <w:p w14:paraId="2D7599AC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是C-suite和董事会层面最重要的风控汇报指标。</w:t>
      </w:r>
    </w:p>
    <w:p w14:paraId="70059942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滚动率是理解风险"恶化链条"的关键指标，揭示了逾期从轻微到严重的传导路径。</w:t>
      </w:r>
    </w:p>
    <w:p w14:paraId="331F5E29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M0→M1反映新增逾期形成速度，是早期催收效率的直接体现。</w:t>
      </w:r>
    </w:p>
    <w:p w14:paraId="4A1091A9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M1→M2及之后的滚动率反映存量逾期的恶化速度和催收难度。</w:t>
      </w:r>
    </w:p>
    <w:p w14:paraId="4F9FD94A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滚动率的突然跳升是系统性风险的重要预警信号。</w:t>
      </w:r>
    </w:p>
    <w:p w14:paraId="2037F390">
      <w:pPr>
        <w:jc w:val="left"/>
      </w:pPr>
      <w:r>
        <w:rPr>
          <w:rFonts w:ascii="微软雅黑" w:hAnsi="微软雅黑" w:eastAsia="微软雅黑"/>
          <w:b/>
          <w:sz w:val="22"/>
        </w:rPr>
        <w:t>🎯 业务指导</w:t>
      </w:r>
    </w:p>
    <w:p w14:paraId="6BFC233E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设定NPL容忍度上限，根据公司整体风险偏好和资本规划确定。</w:t>
      </w:r>
    </w:p>
    <w:p w14:paraId="78947E4F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将NPL拆解为"新增不良"和"存量不良"两部分，分别制定管控策略。</w:t>
      </w:r>
    </w:p>
    <w:p w14:paraId="08C615A5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建立NPL压力测试模型，模拟极端经济场景下的NPL峰值和资本缺口。</w:t>
      </w:r>
    </w:p>
    <w:p w14:paraId="02CC871D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定期进行不良资产的"形成原因分析"（是否源于某批次、某渠道、某策略），实现精准溯源。</w:t>
      </w:r>
    </w:p>
    <w:p w14:paraId="7520AB7F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将NPL管控目标与业务条线的KPI挂钩，形成全员风险意识。</w:t>
      </w:r>
    </w:p>
    <w:p w14:paraId="749F6CEF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构建完整的滚动率矩阵（M0→M1→M2→M3→M4+→核销），可视化风险传导链。</w:t>
      </w:r>
    </w:p>
    <w:p w14:paraId="071CF5E7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M0→M1滚动率上升时：加强短信/智能语音催收，优化账单提醒策略。</w:t>
      </w:r>
    </w:p>
    <w:p w14:paraId="7C00E268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M1→M2上升时：启用人工催收介入，评估客户还款意愿和能力。</w:t>
      </w:r>
    </w:p>
    <w:p w14:paraId="11468BC1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后段滚动率（M3+）上升时：考虑委外催收或资产处置方案。</w:t>
      </w:r>
    </w:p>
    <w:p w14:paraId="7B2ACB9B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任何一级滚动率环比上升超过5个百分点需触发专项分析。</w:t>
      </w:r>
    </w:p>
    <w:p w14:paraId="23B48B7B">
      <w:pPr>
        <w:jc w:val="left"/>
      </w:pPr>
      <w:r>
        <w:rPr>
          <w:rFonts w:ascii="微软雅黑" w:hAnsi="微软雅黑" w:eastAsia="微软雅黑"/>
          <w:b/>
          <w:sz w:val="22"/>
        </w:rPr>
        <w:t>📊 分析维度</w:t>
      </w:r>
    </w:p>
    <w:p w14:paraId="6471E9DB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vintage / 产品维度 / 渠道维度 / 评分分段 / 地域维度 / 宏观关联</w:t>
      </w:r>
    </w:p>
    <w:p w14:paraId="2F401CD5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五级分类 / vintage / 产品维度 / 行业/客群 / 压力测试情景</w:t>
      </w:r>
    </w:p>
    <w:p w14:paraId="26B32067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滚动链路矩阵 / vintage / 产品维度 / 催收方式对比 / 客户分群</w:t>
      </w:r>
    </w:p>
    <w:p w14:paraId="6DF86614">
      <w:r>
        <w:t>────────────────────────────────────────</w:t>
      </w:r>
    </w:p>
    <w:p w14:paraId="793218A0">
      <w:pPr>
        <w:jc w:val="left"/>
      </w:pPr>
      <w:r>
        <w:rPr>
          <w:rFonts w:ascii="微软雅黑" w:hAnsi="微软雅黑" w:eastAsia="微软雅黑"/>
          <w:b/>
          <w:sz w:val="28"/>
        </w:rPr>
        <w:t>2.4  不良贷款率(NPL)</w:t>
      </w:r>
    </w:p>
    <w:p w14:paraId="1E434134">
      <w:pPr>
        <w:jc w:val="left"/>
      </w:pPr>
      <w:r>
        <w:rPr>
          <w:rFonts w:ascii="微软雅黑" w:hAnsi="微软雅黑" w:eastAsia="微软雅黑"/>
          <w:b w:val="0"/>
          <w:sz w:val="22"/>
        </w:rPr>
        <w:t>Non-Performing Loan Ratio</w:t>
      </w:r>
    </w:p>
    <w:p w14:paraId="1563C8D8">
      <w:r>
        <w:t>────────────────────────────────────────</w:t>
      </w:r>
    </w:p>
    <w:p w14:paraId="7CF361E4">
      <w:pPr>
        <w:jc w:val="left"/>
      </w:pPr>
      <w:r>
        <w:rPr>
          <w:rFonts w:ascii="微软雅黑" w:hAnsi="微软雅黑" w:eastAsia="微软雅黑"/>
          <w:b/>
          <w:sz w:val="28"/>
        </w:rPr>
        <w:t>2.5  逾期滚动率</w:t>
      </w:r>
    </w:p>
    <w:p w14:paraId="7CE66CCC">
      <w:pPr>
        <w:jc w:val="left"/>
      </w:pPr>
      <w:r>
        <w:rPr>
          <w:rFonts w:ascii="微软雅黑" w:hAnsi="微软雅黑" w:eastAsia="微软雅黑"/>
          <w:b w:val="0"/>
          <w:sz w:val="22"/>
        </w:rPr>
        <w:t>Roll Rate</w:t>
      </w:r>
    </w:p>
    <w:p w14:paraId="5FC0E348">
      <w:r>
        <w:t>────────────────────────────────────────</w:t>
      </w:r>
    </w:p>
    <w:p w14:paraId="51B6525E">
      <w:pPr>
        <w:jc w:val="left"/>
      </w:pPr>
      <w:r>
        <w:rPr>
          <w:rFonts w:ascii="微软雅黑" w:hAnsi="微软雅黑" w:eastAsia="微软雅黑"/>
          <w:b/>
          <w:sz w:val="28"/>
        </w:rPr>
        <w:t>2.6  迁徙率</w:t>
      </w:r>
    </w:p>
    <w:p w14:paraId="41A8B258">
      <w:pPr>
        <w:jc w:val="left"/>
      </w:pPr>
      <w:r>
        <w:rPr>
          <w:rFonts w:ascii="微软雅黑" w:hAnsi="微软雅黑" w:eastAsia="微软雅黑"/>
          <w:b w:val="0"/>
          <w:sz w:val="22"/>
        </w:rPr>
        <w:t>Migration Rate</w:t>
      </w:r>
    </w:p>
    <w:p w14:paraId="06F5886A">
      <w:pPr>
        <w:jc w:val="left"/>
      </w:pPr>
      <w:r>
        <w:rPr>
          <w:rFonts w:ascii="微软雅黑" w:hAnsi="微软雅黑" w:eastAsia="微软雅黑"/>
          <w:b/>
          <w:sz w:val="22"/>
        </w:rPr>
        <w:t>📐 计算口径</w:t>
      </w:r>
    </w:p>
    <w:p w14:paraId="3DD9BFA1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第N期Vintage累计M3+率 = 第N期放款的资产中，在MOB K时点处于M3+状态的金额 / 第N期放款总额 MOB = Month on Book（账单月数）</w:t>
      </w:r>
    </w:p>
    <w:p w14:paraId="2F39E10A">
      <w:pPr>
        <w:jc w:val="left"/>
      </w:pPr>
      <w:r>
        <w:rPr>
          <w:rFonts w:ascii="微软雅黑" w:hAnsi="微软雅黑" w:eastAsia="微软雅黑"/>
          <w:b/>
          <w:sz w:val="22"/>
        </w:rPr>
        <w:t>📊 分析维度</w:t>
      </w:r>
    </w:p>
    <w:p w14:paraId="0E4712D0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五级分类矩阵 / 时间趋势 / 产品维度 / 客群维度</w:t>
      </w:r>
    </w:p>
    <w:p w14:paraId="71A25A15">
      <w:r>
        <w:t>────────────────────────────────────────</w:t>
      </w:r>
    </w:p>
    <w:p w14:paraId="4B1A4C9E">
      <w:pPr>
        <w:jc w:val="left"/>
      </w:pPr>
      <w:r>
        <w:rPr>
          <w:rFonts w:ascii="微软雅黑" w:hAnsi="微软雅黑" w:eastAsia="微软雅黑"/>
          <w:b/>
          <w:sz w:val="28"/>
        </w:rPr>
        <w:t>2.7  Vintage分析</w:t>
      </w:r>
    </w:p>
    <w:p w14:paraId="782FE5A3">
      <w:pPr>
        <w:jc w:val="left"/>
      </w:pPr>
      <w:r>
        <w:rPr>
          <w:rFonts w:ascii="微软雅黑" w:hAnsi="微软雅黑" w:eastAsia="微软雅黑"/>
          <w:b w:val="0"/>
          <w:sz w:val="22"/>
        </w:rPr>
        <w:t>Vintage Analysis</w:t>
      </w:r>
    </w:p>
    <w:p w14:paraId="3DBF1016">
      <w:pPr>
        <w:jc w:val="left"/>
      </w:pPr>
      <w:r>
        <w:rPr>
          <w:rFonts w:ascii="微软雅黑" w:hAnsi="微软雅黑" w:eastAsia="微软雅黑"/>
          <w:b/>
          <w:sz w:val="22"/>
        </w:rPr>
        <w:t>🎯 业务指导</w:t>
      </w:r>
    </w:p>
    <w:p w14:paraId="7F2B0099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建立所有产品的Vintage曲线看板，包含MOB1~MOB12+的M1+、M3+、M6+三条曲线。</w:t>
      </w:r>
    </w:p>
    <w:p w14:paraId="2EB83673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当某批次Vintage曲线明显"翘尾"（高于历史同期水平）时，排查该批次的审批策略、渠道和客群特征。</w:t>
      </w:r>
    </w:p>
    <w:p w14:paraId="7BF201D0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利用Vintage曲线做"平行对比"：不同策略/模型版本的同期Vintage表现对比，作为A/B测试的终极评判标准。</w:t>
      </w:r>
    </w:p>
    <w:p w14:paraId="2581783D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基于历史Vintage数据建立损失预测模型，为定价和拨备提供依据。</w:t>
      </w:r>
    </w:p>
    <w:p w14:paraId="7C19F928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每月更新Vintage报告，作为风险管理委员会的核心议题。</w:t>
      </w:r>
    </w:p>
    <w:p w14:paraId="599B0724">
      <w:pPr>
        <w:jc w:val="left"/>
      </w:pPr>
      <w:r>
        <w:rPr>
          <w:rFonts w:ascii="微软雅黑" w:hAnsi="微软雅黑" w:eastAsia="微软雅黑"/>
          <w:b/>
          <w:sz w:val="22"/>
        </w:rPr>
        <w:t>📊 分析维度</w:t>
      </w:r>
    </w:p>
    <w:p w14:paraId="11D992E9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放款批次 / MOB曲线 / 策略版本对比 / 渠道维度 / 产品维度</w:t>
      </w:r>
    </w:p>
    <w:p w14:paraId="359DAB9D">
      <w:r>
        <w:t>────────────────────────────────────────</w:t>
      </w:r>
    </w:p>
    <w:p w14:paraId="4DA67200">
      <w:pPr>
        <w:jc w:val="left"/>
      </w:pPr>
      <w:r>
        <w:rPr>
          <w:rFonts w:ascii="微软雅黑" w:hAnsi="微软雅黑" w:eastAsia="微软雅黑"/>
          <w:b/>
          <w:sz w:val="28"/>
        </w:rPr>
        <w:t>2.8  风险敞口</w:t>
      </w:r>
    </w:p>
    <w:p w14:paraId="6CAF8C13">
      <w:pPr>
        <w:jc w:val="left"/>
      </w:pPr>
      <w:r>
        <w:rPr>
          <w:rFonts w:ascii="微软雅黑" w:hAnsi="微软雅黑" w:eastAsia="微软雅黑"/>
          <w:b w:val="0"/>
          <w:sz w:val="22"/>
        </w:rPr>
        <w:t>Risk Exposure</w:t>
      </w:r>
    </w:p>
    <w:p w14:paraId="4611AF87">
      <w:r>
        <w:t>────────────────────────────────────────</w:t>
      </w:r>
    </w:p>
    <w:p w14:paraId="5C4406D8">
      <w:r>
        <w:br w:type="page"/>
      </w:r>
    </w:p>
    <w:p w14:paraId="067D7B53">
      <w:pPr>
        <w:jc w:val="left"/>
      </w:pPr>
      <w:r>
        <w:rPr>
          <w:rFonts w:ascii="微软雅黑" w:hAnsi="微软雅黑" w:eastAsia="微软雅黑"/>
          <w:b/>
          <w:sz w:val="36"/>
        </w:rPr>
        <w:t>第三章  资产质量指标</w:t>
      </w:r>
    </w:p>
    <w:p w14:paraId="3614E142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资产质量指标反映的是贷款组合的整体健康程度。本章指标聚焦不良资产的生成、拨备和回收，帮助风控团队从宏观层面评估资产组合的风险状况。</w:t>
      </w:r>
    </w:p>
    <w:p w14:paraId="0E433A22"/>
    <w:p w14:paraId="1CD88BB1">
      <w:pPr>
        <w:jc w:val="center"/>
      </w:pPr>
      <w:r>
        <w:rPr>
          <w:rFonts w:ascii="微软雅黑" w:hAnsi="微软雅黑" w:eastAsia="微软雅黑"/>
          <w:b/>
          <w:sz w:val="24"/>
        </w:rPr>
        <w:t>本章指标概览（共5个指标）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49316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1F4E79"/>
          </w:tcPr>
          <w:p w14:paraId="0E7B500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序号</w:t>
            </w:r>
          </w:p>
        </w:tc>
        <w:tc>
          <w:tcPr>
            <w:tcW w:w="1440" w:type="dxa"/>
            <w:shd w:val="clear" w:color="auto" w:fill="1F4E79"/>
          </w:tcPr>
          <w:p w14:paraId="7472173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指标名称</w:t>
            </w:r>
          </w:p>
        </w:tc>
        <w:tc>
          <w:tcPr>
            <w:tcW w:w="1440" w:type="dxa"/>
            <w:shd w:val="clear" w:color="auto" w:fill="1F4E79"/>
          </w:tcPr>
          <w:p w14:paraId="326C72D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英文缩写</w:t>
            </w:r>
          </w:p>
        </w:tc>
        <w:tc>
          <w:tcPr>
            <w:tcW w:w="1440" w:type="dxa"/>
            <w:shd w:val="clear" w:color="auto" w:fill="1F4E79"/>
          </w:tcPr>
          <w:p w14:paraId="3F7A32D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指标分类</w:t>
            </w:r>
          </w:p>
        </w:tc>
        <w:tc>
          <w:tcPr>
            <w:tcW w:w="1440" w:type="dxa"/>
            <w:shd w:val="clear" w:color="auto" w:fill="1F4E79"/>
          </w:tcPr>
          <w:p w14:paraId="6C3F16C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参考阈值</w:t>
            </w:r>
          </w:p>
        </w:tc>
        <w:tc>
          <w:tcPr>
            <w:tcW w:w="1440" w:type="dxa"/>
            <w:shd w:val="clear" w:color="auto" w:fill="1F4E79"/>
          </w:tcPr>
          <w:p w14:paraId="539D108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数据频率</w:t>
            </w:r>
          </w:p>
        </w:tc>
      </w:tr>
      <w:tr w14:paraId="3377D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0D58E5E">
            <w:pPr>
              <w:spacing w:after="0" w:line="240" w:lineRule="auto"/>
              <w:jc w:val="center"/>
              <w:rPr>
                <w:rFonts w:hint="eastAsia" w:ascii="微软雅黑" w:hAnsi="微软雅黑" w:eastAsia="微软雅黑"/>
                <w:b w:val="0"/>
                <w:sz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sz w:val="18"/>
                <w:lang w:val="en-US" w:eastAsia="zh-CN"/>
              </w:rPr>
              <w:t>1</w:t>
            </w:r>
          </w:p>
        </w:tc>
        <w:tc>
          <w:tcPr>
            <w:tcW w:w="1440" w:type="dxa"/>
          </w:tcPr>
          <w:p w14:paraId="4F0CAAB2">
            <w:pPr>
              <w:spacing w:after="0" w:line="240" w:lineRule="auto"/>
              <w:jc w:val="center"/>
              <w:rPr>
                <w:rFonts w:hint="default" w:ascii="微软雅黑" w:hAnsi="微软雅黑" w:eastAsia="微软雅黑"/>
                <w:b w:val="0"/>
                <w:sz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sz w:val="18"/>
                <w:lang w:val="en-US" w:eastAsia="zh-CN"/>
              </w:rPr>
              <w:t>预期信用损失</w:t>
            </w:r>
          </w:p>
        </w:tc>
        <w:tc>
          <w:tcPr>
            <w:tcW w:w="1440" w:type="dxa"/>
          </w:tcPr>
          <w:p w14:paraId="3D9CC92C">
            <w:pPr>
              <w:spacing w:after="0" w:line="240" w:lineRule="auto"/>
              <w:jc w:val="center"/>
              <w:rPr>
                <w:rFonts w:hint="default" w:ascii="微软雅黑" w:hAnsi="微软雅黑" w:eastAsia="微软雅黑"/>
                <w:b w:val="0"/>
                <w:sz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sz w:val="18"/>
                <w:lang w:val="en-US" w:eastAsia="zh-CN"/>
              </w:rPr>
              <w:t>Expected Credit Loss</w:t>
            </w:r>
          </w:p>
        </w:tc>
        <w:tc>
          <w:tcPr>
            <w:tcW w:w="1440" w:type="dxa"/>
          </w:tcPr>
          <w:p w14:paraId="02DCBFB1"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拨备管理</w:t>
            </w:r>
          </w:p>
        </w:tc>
        <w:tc>
          <w:tcPr>
            <w:tcW w:w="1440" w:type="dxa"/>
          </w:tcPr>
          <w:p w14:paraId="25A45814"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sz w:val="18"/>
              </w:rPr>
            </w:pPr>
          </w:p>
        </w:tc>
        <w:tc>
          <w:tcPr>
            <w:tcW w:w="1440" w:type="dxa"/>
          </w:tcPr>
          <w:p w14:paraId="56FD9CAC">
            <w:pPr>
              <w:spacing w:after="0" w:line="240" w:lineRule="auto"/>
              <w:jc w:val="center"/>
              <w:rPr>
                <w:rFonts w:hint="default" w:ascii="微软雅黑" w:hAnsi="微软雅黑" w:eastAsia="微软雅黑"/>
                <w:b w:val="0"/>
                <w:sz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sz w:val="18"/>
                <w:lang w:val="en-US" w:eastAsia="zh-CN"/>
              </w:rPr>
              <w:t>月/季/年</w:t>
            </w:r>
          </w:p>
        </w:tc>
      </w:tr>
      <w:tr w14:paraId="02A58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8675572">
            <w:pPr>
              <w:spacing w:after="0"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</w:t>
            </w:r>
          </w:p>
        </w:tc>
        <w:tc>
          <w:tcPr>
            <w:tcW w:w="1440" w:type="dxa"/>
          </w:tcPr>
          <w:p w14:paraId="5606C57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不良生成率</w:t>
            </w:r>
          </w:p>
        </w:tc>
        <w:tc>
          <w:tcPr>
            <w:tcW w:w="1440" w:type="dxa"/>
          </w:tcPr>
          <w:p w14:paraId="2642156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NPL Generation Rate</w:t>
            </w:r>
          </w:p>
        </w:tc>
        <w:tc>
          <w:tcPr>
            <w:tcW w:w="1440" w:type="dxa"/>
          </w:tcPr>
          <w:p w14:paraId="52F4D32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资产质量</w:t>
            </w:r>
          </w:p>
        </w:tc>
        <w:tc>
          <w:tcPr>
            <w:tcW w:w="1440" w:type="dxa"/>
          </w:tcPr>
          <w:p w14:paraId="1DA8B72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参考行业基准</w:t>
            </w:r>
          </w:p>
        </w:tc>
        <w:tc>
          <w:tcPr>
            <w:tcW w:w="1440" w:type="dxa"/>
          </w:tcPr>
          <w:p w14:paraId="026DF76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月/季</w:t>
            </w:r>
          </w:p>
        </w:tc>
      </w:tr>
      <w:tr w14:paraId="64313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D6E4F0"/>
          </w:tcPr>
          <w:p w14:paraId="267A14F2">
            <w:pPr>
              <w:spacing w:after="0"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</w:t>
            </w:r>
          </w:p>
        </w:tc>
        <w:tc>
          <w:tcPr>
            <w:tcW w:w="1440" w:type="dxa"/>
            <w:shd w:val="clear" w:color="auto" w:fill="D6E4F0"/>
          </w:tcPr>
          <w:p w14:paraId="0ADD026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拨备覆盖率</w:t>
            </w:r>
          </w:p>
        </w:tc>
        <w:tc>
          <w:tcPr>
            <w:tcW w:w="1440" w:type="dxa"/>
            <w:shd w:val="clear" w:color="auto" w:fill="D6E4F0"/>
          </w:tcPr>
          <w:p w14:paraId="3F18003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Provision Coverage Ratio</w:t>
            </w:r>
          </w:p>
        </w:tc>
        <w:tc>
          <w:tcPr>
            <w:tcW w:w="1440" w:type="dxa"/>
            <w:shd w:val="clear" w:color="auto" w:fill="D6E4F0"/>
          </w:tcPr>
          <w:p w14:paraId="2C1AE6F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拨备管理</w:t>
            </w:r>
          </w:p>
        </w:tc>
        <w:tc>
          <w:tcPr>
            <w:tcW w:w="1440" w:type="dxa"/>
            <w:shd w:val="clear" w:color="auto" w:fill="D6E4F0"/>
          </w:tcPr>
          <w:p w14:paraId="0BD0D57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&gt; 150%</w:t>
            </w:r>
          </w:p>
        </w:tc>
        <w:tc>
          <w:tcPr>
            <w:tcW w:w="1440" w:type="dxa"/>
            <w:shd w:val="clear" w:color="auto" w:fill="D6E4F0"/>
          </w:tcPr>
          <w:p w14:paraId="6A7CA4D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月/季</w:t>
            </w:r>
          </w:p>
        </w:tc>
      </w:tr>
      <w:tr w14:paraId="2C6DF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DB6F5AF">
            <w:pPr>
              <w:spacing w:after="0"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</w:t>
            </w:r>
          </w:p>
        </w:tc>
        <w:tc>
          <w:tcPr>
            <w:tcW w:w="1440" w:type="dxa"/>
          </w:tcPr>
          <w:p w14:paraId="2318C9D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拨贷比</w:t>
            </w:r>
          </w:p>
        </w:tc>
        <w:tc>
          <w:tcPr>
            <w:tcW w:w="1440" w:type="dxa"/>
          </w:tcPr>
          <w:p w14:paraId="3831094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Provision-to-Loan Ratio</w:t>
            </w:r>
          </w:p>
        </w:tc>
        <w:tc>
          <w:tcPr>
            <w:tcW w:w="1440" w:type="dxa"/>
          </w:tcPr>
          <w:p w14:paraId="223753C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拨备管理</w:t>
            </w:r>
          </w:p>
        </w:tc>
        <w:tc>
          <w:tcPr>
            <w:tcW w:w="1440" w:type="dxa"/>
          </w:tcPr>
          <w:p w14:paraId="7A8FD8B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1.5%~2.5%</w:t>
            </w:r>
          </w:p>
        </w:tc>
        <w:tc>
          <w:tcPr>
            <w:tcW w:w="1440" w:type="dxa"/>
          </w:tcPr>
          <w:p w14:paraId="3F11E17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月/季</w:t>
            </w:r>
          </w:p>
        </w:tc>
      </w:tr>
      <w:tr w14:paraId="1F5C7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D6E4F0"/>
          </w:tcPr>
          <w:p w14:paraId="17023244">
            <w:pPr>
              <w:spacing w:after="0"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</w:t>
            </w:r>
          </w:p>
        </w:tc>
        <w:tc>
          <w:tcPr>
            <w:tcW w:w="1440" w:type="dxa"/>
            <w:shd w:val="clear" w:color="auto" w:fill="D6E4F0"/>
          </w:tcPr>
          <w:p w14:paraId="0A23B18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核销率</w:t>
            </w:r>
          </w:p>
        </w:tc>
        <w:tc>
          <w:tcPr>
            <w:tcW w:w="1440" w:type="dxa"/>
            <w:shd w:val="clear" w:color="auto" w:fill="D6E4F0"/>
          </w:tcPr>
          <w:p w14:paraId="191382D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Write-off Rate</w:t>
            </w:r>
          </w:p>
        </w:tc>
        <w:tc>
          <w:tcPr>
            <w:tcW w:w="1440" w:type="dxa"/>
            <w:shd w:val="clear" w:color="auto" w:fill="D6E4F0"/>
          </w:tcPr>
          <w:p w14:paraId="3892AD0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资产处置</w:t>
            </w:r>
          </w:p>
        </w:tc>
        <w:tc>
          <w:tcPr>
            <w:tcW w:w="1440" w:type="dxa"/>
            <w:shd w:val="clear" w:color="auto" w:fill="D6E4F0"/>
          </w:tcPr>
          <w:p w14:paraId="0450416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参考行业基准</w:t>
            </w:r>
          </w:p>
        </w:tc>
        <w:tc>
          <w:tcPr>
            <w:tcW w:w="1440" w:type="dxa"/>
            <w:shd w:val="clear" w:color="auto" w:fill="D6E4F0"/>
          </w:tcPr>
          <w:p w14:paraId="2E75FFD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季</w:t>
            </w:r>
          </w:p>
        </w:tc>
      </w:tr>
      <w:tr w14:paraId="0929F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1E0061AF">
            <w:pPr>
              <w:spacing w:after="0"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</w:t>
            </w:r>
          </w:p>
        </w:tc>
        <w:tc>
          <w:tcPr>
            <w:tcW w:w="1440" w:type="dxa"/>
          </w:tcPr>
          <w:p w14:paraId="34ACC9B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不良贷款回收率</w:t>
            </w:r>
          </w:p>
        </w:tc>
        <w:tc>
          <w:tcPr>
            <w:tcW w:w="1440" w:type="dxa"/>
          </w:tcPr>
          <w:p w14:paraId="39A3FE4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NPL Recovery Rate</w:t>
            </w:r>
          </w:p>
        </w:tc>
        <w:tc>
          <w:tcPr>
            <w:tcW w:w="1440" w:type="dxa"/>
          </w:tcPr>
          <w:p w14:paraId="2B10D38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资产处置</w:t>
            </w:r>
          </w:p>
        </w:tc>
        <w:tc>
          <w:tcPr>
            <w:tcW w:w="1440" w:type="dxa"/>
          </w:tcPr>
          <w:p w14:paraId="78D3905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&gt; 20%</w:t>
            </w:r>
          </w:p>
        </w:tc>
        <w:tc>
          <w:tcPr>
            <w:tcW w:w="1440" w:type="dxa"/>
          </w:tcPr>
          <w:p w14:paraId="3189C10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季</w:t>
            </w:r>
          </w:p>
        </w:tc>
      </w:tr>
    </w:tbl>
    <w:p w14:paraId="75C244AC"/>
    <w:p w14:paraId="00F85EAD">
      <w:pPr>
        <w:jc w:val="left"/>
        <w:rPr>
          <w:rFonts w:hint="eastAsia" w:ascii="微软雅黑" w:hAnsi="微软雅黑" w:eastAsia="微软雅黑"/>
          <w:b/>
          <w:sz w:val="28"/>
          <w:lang w:val="en-US" w:eastAsia="zh-CN"/>
        </w:rPr>
      </w:pPr>
      <w:r>
        <w:rPr>
          <w:rFonts w:ascii="微软雅黑" w:hAnsi="微软雅黑" w:eastAsia="微软雅黑"/>
          <w:b/>
          <w:sz w:val="28"/>
        </w:rPr>
        <w:t>3.</w:t>
      </w:r>
      <w:r>
        <w:rPr>
          <w:rFonts w:hint="eastAsia" w:ascii="微软雅黑" w:hAnsi="微软雅黑" w:eastAsia="微软雅黑"/>
          <w:b/>
          <w:sz w:val="28"/>
          <w:lang w:val="en-US" w:eastAsia="zh-CN"/>
        </w:rPr>
        <w:t>1</w:t>
      </w:r>
      <w:r>
        <w:rPr>
          <w:rFonts w:ascii="微软雅黑" w:hAnsi="微软雅黑" w:eastAsia="微软雅黑"/>
          <w:b/>
          <w:sz w:val="28"/>
        </w:rPr>
        <w:t xml:space="preserve"> </w:t>
      </w:r>
      <w:r>
        <w:rPr>
          <w:rFonts w:hint="eastAsia" w:ascii="微软雅黑" w:hAnsi="微软雅黑" w:eastAsia="微软雅黑"/>
          <w:b/>
          <w:sz w:val="28"/>
          <w:lang w:val="en-US" w:eastAsia="zh-CN"/>
        </w:rPr>
        <w:t>预期信用损失</w:t>
      </w:r>
    </w:p>
    <w:p w14:paraId="5786B826">
      <w:pPr>
        <w:rPr>
          <w:rFonts w:hint="default" w:ascii="微软雅黑" w:hAnsi="微软雅黑" w:eastAsia="微软雅黑"/>
          <w:b w:val="0"/>
          <w:sz w:val="22"/>
          <w:lang w:val="en-US" w:eastAsia="zh-CN"/>
        </w:rPr>
      </w:pP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ECL(Expected Credit Loss)</w:t>
      </w:r>
      <w:bookmarkStart w:id="0" w:name="_GoBack"/>
      <w:bookmarkEnd w:id="0"/>
    </w:p>
    <w:p w14:paraId="4F88F24F">
      <w:r>
        <w:t>────────────────────────────────────────</w:t>
      </w:r>
    </w:p>
    <w:p w14:paraId="31841F4F"/>
    <w:p w14:paraId="613975A9">
      <w:pPr>
        <w:jc w:val="left"/>
      </w:pPr>
      <w:r>
        <w:rPr>
          <w:rFonts w:ascii="微软雅黑" w:hAnsi="微软雅黑" w:eastAsia="微软雅黑"/>
          <w:b/>
          <w:sz w:val="28"/>
        </w:rPr>
        <w:t>3.</w:t>
      </w:r>
      <w:r>
        <w:rPr>
          <w:rFonts w:hint="eastAsia" w:ascii="微软雅黑" w:hAnsi="微软雅黑" w:eastAsia="微软雅黑"/>
          <w:b/>
          <w:sz w:val="28"/>
          <w:lang w:val="en-US" w:eastAsia="zh-CN"/>
        </w:rPr>
        <w:t>2</w:t>
      </w:r>
      <w:r>
        <w:rPr>
          <w:rFonts w:ascii="微软雅黑" w:hAnsi="微软雅黑" w:eastAsia="微软雅黑"/>
          <w:b/>
          <w:sz w:val="28"/>
        </w:rPr>
        <w:t xml:space="preserve">  不良生成率</w:t>
      </w:r>
    </w:p>
    <w:p w14:paraId="0BA8A5F1">
      <w:pPr>
        <w:jc w:val="left"/>
      </w:pPr>
      <w:r>
        <w:rPr>
          <w:rFonts w:ascii="微软雅黑" w:hAnsi="微软雅黑" w:eastAsia="微软雅黑"/>
          <w:b w:val="0"/>
          <w:sz w:val="22"/>
        </w:rPr>
        <w:t>NPL Generation Rate</w:t>
      </w:r>
    </w:p>
    <w:p w14:paraId="1FA32493">
      <w:pPr>
        <w:jc w:val="left"/>
      </w:pPr>
      <w:r>
        <w:rPr>
          <w:rFonts w:ascii="微软雅黑" w:hAnsi="微软雅黑" w:eastAsia="微软雅黑"/>
          <w:b/>
          <w:sz w:val="22"/>
        </w:rPr>
        <w:t>💡 作用与意义</w:t>
      </w:r>
    </w:p>
    <w:p w14:paraId="291F68B4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NPL生成率比NPL存量率更能反映"风险正在恶化"的速度。</w:t>
      </w:r>
    </w:p>
    <w:p w14:paraId="10CD8B16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生成率上升说明新增风险在加速积累，即使当前NPL水平不高，未来也会承压。</w:t>
      </w:r>
    </w:p>
    <w:p w14:paraId="66EF747E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生成率是拨备计提的直接依据，影响利润表。</w:t>
      </w:r>
    </w:p>
    <w:p w14:paraId="08C6CFBE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能区分"存量问题消化中"和"新生风险加速"两种截然不同的场景。</w:t>
      </w:r>
    </w:p>
    <w:p w14:paraId="5E1E1A85">
      <w:pPr>
        <w:jc w:val="left"/>
      </w:pPr>
      <w:r>
        <w:rPr>
          <w:rFonts w:ascii="微软雅黑" w:hAnsi="微软雅黑" w:eastAsia="微软雅黑"/>
          <w:b/>
          <w:sz w:val="22"/>
        </w:rPr>
        <w:t>🎯 业务指导</w:t>
      </w:r>
    </w:p>
    <w:p w14:paraId="581FC3F5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将NPL生成率拆分为"正常→不良"和"关注→不良"两个来源，分别管控。</w:t>
      </w:r>
    </w:p>
    <w:p w14:paraId="5859B6C0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生成率与放款增速做交叉分析：放款加速但生成率同步上升 = 警惕"规模陷阱"。</w:t>
      </w:r>
    </w:p>
    <w:p w14:paraId="3B348901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按vintage分析各批次的NPL生成贡献，找出"最差批次"。</w:t>
      </w:r>
    </w:p>
    <w:p w14:paraId="4191531D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将NPL生成率预测纳入年度预算和资本规划。</w:t>
      </w:r>
    </w:p>
    <w:p w14:paraId="5C274405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当生成率连续3个月上升时，应向风险管理委员会提交专项报告。</w:t>
      </w:r>
    </w:p>
    <w:p w14:paraId="566A8194">
      <w:pPr>
        <w:jc w:val="left"/>
      </w:pPr>
      <w:r>
        <w:rPr>
          <w:rFonts w:ascii="微软雅黑" w:hAnsi="微软雅黑" w:eastAsia="微软雅黑"/>
          <w:b/>
          <w:sz w:val="22"/>
        </w:rPr>
        <w:t>📊 分析维度</w:t>
      </w:r>
    </w:p>
    <w:p w14:paraId="708CD46E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vintage / 五级分类来源 / 产品维度 / 渠道维度 / 时间趋势</w:t>
      </w:r>
    </w:p>
    <w:p w14:paraId="31C31A11">
      <w:r>
        <w:t>────────────────────────────────────────</w:t>
      </w:r>
    </w:p>
    <w:p w14:paraId="68331A62">
      <w:pPr>
        <w:jc w:val="left"/>
      </w:pPr>
      <w:r>
        <w:rPr>
          <w:rFonts w:ascii="微软雅黑" w:hAnsi="微软雅黑" w:eastAsia="微软雅黑"/>
          <w:b/>
          <w:sz w:val="28"/>
        </w:rPr>
        <w:t>3.</w:t>
      </w:r>
      <w:r>
        <w:rPr>
          <w:rFonts w:hint="eastAsia" w:ascii="微软雅黑" w:hAnsi="微软雅黑" w:eastAsia="微软雅黑"/>
          <w:b/>
          <w:sz w:val="28"/>
          <w:lang w:val="en-US" w:eastAsia="zh-CN"/>
        </w:rPr>
        <w:t>3</w:t>
      </w:r>
      <w:r>
        <w:rPr>
          <w:rFonts w:ascii="微软雅黑" w:hAnsi="微软雅黑" w:eastAsia="微软雅黑"/>
          <w:b/>
          <w:sz w:val="28"/>
        </w:rPr>
        <w:t xml:space="preserve">  拨备覆盖率</w:t>
      </w:r>
    </w:p>
    <w:p w14:paraId="79D00DBA">
      <w:pPr>
        <w:jc w:val="left"/>
      </w:pPr>
      <w:r>
        <w:rPr>
          <w:rFonts w:ascii="微软雅黑" w:hAnsi="微软雅黑" w:eastAsia="微软雅黑"/>
          <w:b w:val="0"/>
          <w:sz w:val="22"/>
        </w:rPr>
        <w:t>Provision Coverage Ratio</w:t>
      </w:r>
    </w:p>
    <w:p w14:paraId="0B5885A4">
      <w:r>
        <w:t>────────────────────────────────────────</w:t>
      </w:r>
    </w:p>
    <w:p w14:paraId="2CDE09CF">
      <w:pPr>
        <w:jc w:val="left"/>
      </w:pPr>
      <w:r>
        <w:rPr>
          <w:rFonts w:ascii="微软雅黑" w:hAnsi="微软雅黑" w:eastAsia="微软雅黑"/>
          <w:b/>
          <w:sz w:val="28"/>
        </w:rPr>
        <w:t>3.</w:t>
      </w:r>
      <w:r>
        <w:rPr>
          <w:rFonts w:hint="eastAsia" w:ascii="微软雅黑" w:hAnsi="微软雅黑" w:eastAsia="微软雅黑"/>
          <w:b/>
          <w:sz w:val="28"/>
          <w:lang w:val="en-US" w:eastAsia="zh-CN"/>
        </w:rPr>
        <w:t>4</w:t>
      </w:r>
      <w:r>
        <w:rPr>
          <w:rFonts w:ascii="微软雅黑" w:hAnsi="微软雅黑" w:eastAsia="微软雅黑"/>
          <w:b/>
          <w:sz w:val="28"/>
        </w:rPr>
        <w:t xml:space="preserve">  拨贷比</w:t>
      </w:r>
    </w:p>
    <w:p w14:paraId="70AC2F01">
      <w:pPr>
        <w:jc w:val="left"/>
      </w:pPr>
      <w:r>
        <w:rPr>
          <w:rFonts w:ascii="微软雅黑" w:hAnsi="微软雅黑" w:eastAsia="微软雅黑"/>
          <w:b w:val="0"/>
          <w:sz w:val="22"/>
        </w:rPr>
        <w:t>Provision-to-Loan Ratio</w:t>
      </w:r>
    </w:p>
    <w:p w14:paraId="2A4B98F1">
      <w:pPr>
        <w:jc w:val="left"/>
      </w:pPr>
      <w:r>
        <w:rPr>
          <w:rFonts w:ascii="微软雅黑" w:hAnsi="微软雅黑" w:eastAsia="微软雅黑"/>
          <w:b/>
          <w:sz w:val="22"/>
        </w:rPr>
        <w:t>📊 分析维度</w:t>
      </w:r>
    </w:p>
    <w:p w14:paraId="31609549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时间趋势 / 产品维度 / 同业对标 / 宏观周期</w:t>
      </w:r>
    </w:p>
    <w:p w14:paraId="21432407">
      <w:r>
        <w:t>────────────────────────────────────────</w:t>
      </w:r>
    </w:p>
    <w:p w14:paraId="0C21E272">
      <w:pPr>
        <w:jc w:val="left"/>
      </w:pPr>
      <w:r>
        <w:rPr>
          <w:rFonts w:ascii="微软雅黑" w:hAnsi="微软雅黑" w:eastAsia="微软雅黑"/>
          <w:b/>
          <w:sz w:val="28"/>
        </w:rPr>
        <w:t>3.</w:t>
      </w:r>
      <w:r>
        <w:rPr>
          <w:rFonts w:hint="eastAsia" w:ascii="微软雅黑" w:hAnsi="微软雅黑" w:eastAsia="微软雅黑"/>
          <w:b/>
          <w:sz w:val="28"/>
          <w:lang w:val="en-US" w:eastAsia="zh-CN"/>
        </w:rPr>
        <w:t>5</w:t>
      </w:r>
      <w:r>
        <w:rPr>
          <w:rFonts w:ascii="微软雅黑" w:hAnsi="微软雅黑" w:eastAsia="微软雅黑"/>
          <w:b/>
          <w:sz w:val="28"/>
        </w:rPr>
        <w:t xml:space="preserve">  核销率</w:t>
      </w:r>
    </w:p>
    <w:p w14:paraId="65170031">
      <w:pPr>
        <w:jc w:val="left"/>
      </w:pPr>
      <w:r>
        <w:rPr>
          <w:rFonts w:ascii="微软雅黑" w:hAnsi="微软雅黑" w:eastAsia="微软雅黑"/>
          <w:b w:val="0"/>
          <w:sz w:val="22"/>
        </w:rPr>
        <w:t>Write-off Rate</w:t>
      </w:r>
    </w:p>
    <w:p w14:paraId="0D926399">
      <w:pPr>
        <w:jc w:val="left"/>
      </w:pPr>
      <w:r>
        <w:rPr>
          <w:rFonts w:ascii="微软雅黑" w:hAnsi="微软雅黑" w:eastAsia="微软雅黑"/>
          <w:b/>
          <w:sz w:val="22"/>
        </w:rPr>
        <w:t>📐 计算口径</w:t>
      </w:r>
    </w:p>
    <w:p w14:paraId="7F4C0909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不良回收率 = （本期收回的不良贷款金额 / 期初不良贷款余额）× 100%</w:t>
      </w:r>
    </w:p>
    <w:p w14:paraId="6691EBAD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注意：分母的选择决定了CRR的性质。如果是“入催金额”，反映的是绝对回收能力；如果是“承诺还款金额”，反映的是承诺履约率。</w:t>
      </w:r>
    </w:p>
    <w:p w14:paraId="79F21605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平均催收触达时效 = 从逾期发生到首次催收触达的平均时间（小时/天）</w:t>
      </w:r>
    </w:p>
    <w:p w14:paraId="52769278">
      <w:pPr>
        <w:jc w:val="left"/>
      </w:pPr>
      <w:r>
        <w:rPr>
          <w:rFonts w:ascii="微软雅黑" w:hAnsi="微软雅黑" w:eastAsia="微软雅黑"/>
          <w:b/>
          <w:sz w:val="22"/>
        </w:rPr>
        <w:t>💡 作用与意义</w:t>
      </w:r>
    </w:p>
    <w:p w14:paraId="7523525D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回收率是衡量催收能力和资产处置效率的核心指标，直接影响最终的净损失率。</w:t>
      </w:r>
    </w:p>
    <w:p w14:paraId="397948DB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回收率的提升可以直接增厚利润，是"向存量要效益"的关键。</w:t>
      </w:r>
    </w:p>
    <w:p w14:paraId="17E044A5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不同逾期段位的回收率差异巨大：M1~M3回收率通常在60%~80%，M6+可能低于20%。</w:t>
      </w:r>
    </w:p>
    <w:p w14:paraId="7D3658EB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回收率的趋势变化反映催收体系的有效性和经济环境的影响。</w:t>
      </w:r>
    </w:p>
    <w:p w14:paraId="2A35FFA5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早期风险的“吹哨人”：入催率飙升往往早于坏账率（Bad Rate）飙升，能提前1-2个月预警资产质量恶化。</w:t>
      </w:r>
    </w:p>
    <w:p w14:paraId="2BE63962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催收资源调度的依据：入催率高意味着下个月进入催收队列的案件量大，需提前安排催收人力或外包预算。</w:t>
      </w:r>
    </w:p>
    <w:p w14:paraId="609ECB09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区分“健忘”与“违约”：入催率剔除了那些在宽限期内还款的“健忘客户”，只关注真正进入催收流程的“风险客户”。</w:t>
      </w:r>
    </w:p>
    <w:p w14:paraId="6801B5AB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策略效果验证：如果调整了准入策略，入催率是第一个发生反应的指标（比FPD更敏感，因为FPD只看第一期）。</w:t>
      </w:r>
    </w:p>
    <w:p w14:paraId="234A336B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催收团队的“命中率”：直观反映催收员或外包机构把“逾期欠款”变成“真金白银”的能力。</w:t>
      </w:r>
    </w:p>
    <w:p w14:paraId="30C6E041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坏账防线：CRR越高，意味着最终核销的坏账越少，直接减少公司利润损失。</w:t>
      </w:r>
    </w:p>
    <w:p w14:paraId="7AB099F2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策略校准：如果某渠道CRR持续走低，说明该渠道进来的客户属于“老赖”型，需反向调整准入策略。</w:t>
      </w:r>
    </w:p>
    <w:p w14:paraId="32BBBA04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产能评估：用于计算催收员的单人产能，决定是否需要扩编或裁员。</w:t>
      </w:r>
    </w:p>
    <w:p w14:paraId="1B9CA4C6">
      <w:pPr>
        <w:jc w:val="left"/>
      </w:pPr>
      <w:r>
        <w:rPr>
          <w:rFonts w:ascii="微软雅黑" w:hAnsi="微软雅黑" w:eastAsia="微软雅黑"/>
          <w:b/>
          <w:sz w:val="22"/>
        </w:rPr>
        <w:t>🎯 业务指导</w:t>
      </w:r>
    </w:p>
    <w:p w14:paraId="05362297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按逾期段位分层设定回收率目标，M1~M3&gt;70%，M4~M6&gt;40%，M6+&gt;15%。</w:t>
      </w:r>
    </w:p>
    <w:p w14:paraId="75C66D5A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对比不同催收方式（自催、委外、法务、智能语音）的回收率，优化催收资源配置。</w:t>
      </w:r>
    </w:p>
    <w:p w14:paraId="02A3441F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建立"最佳催收时机"模型，确定对不同客群最高效的催收介入窗口。</w:t>
      </w:r>
    </w:p>
    <w:p w14:paraId="6ADB81BD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经济下行期回收率普遍下降，应提前调整预期并增加催收投入。</w:t>
      </w:r>
    </w:p>
    <w:p w14:paraId="145E6897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将回收率纳入催收团队的绩效考核体系。</w:t>
      </w:r>
    </w:p>
    <w:p w14:paraId="2380425C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分母的选择：建议使用“应还款户数”或“应还款总额”作为分母，而非“放款户数”，因为入催是基于“到期未还”这一动作的。</w:t>
      </w:r>
    </w:p>
    <w:p w14:paraId="522C5F52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与FPD的对比：</w:t>
      </w:r>
    </w:p>
    <w:p w14:paraId="4298EBF4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FPD（首逾率）：只关注第一期违约，主要用于反欺诈。</w:t>
      </w:r>
    </w:p>
    <w:p w14:paraId="0E1B6CCC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入催率：关注所有期数（第一期、第二期...）的违约，反映整体客群的还款意愿和能力变化。</w:t>
      </w:r>
    </w:p>
    <w:p w14:paraId="7D5ABF19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宽限期管理：适当延长宽限期（如从3天延至5天）可以显著降低入催率（因为很多人在宽限期内还了），但这会掩盖真实风险，需权衡。</w:t>
      </w:r>
    </w:p>
    <w:p w14:paraId="55B65A0E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自动化干预：对于刚入催（M1早期）的案件，优先使用短信或AI外呼，因为此时客户可能只是暂时遗忘，催回成本低。</w:t>
      </w:r>
    </w:p>
    <w:p w14:paraId="0CA4B426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分案逻辑：</w:t>
      </w:r>
    </w:p>
    <w:p w14:paraId="5EAE9BFB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高CRR案件（容易催）：优先分配给新人或AI催收，降低成本。</w:t>
      </w:r>
    </w:p>
    <w:p w14:paraId="2FB4FFAE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低CRR案件（难催）：分配给资深专家或委外律所，进行攻坚。</w:t>
      </w:r>
    </w:p>
    <w:p w14:paraId="7FE8E71A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时效性管理：CRR与催收介入时间高度相关。入催前3天（M1早期）的CRR通常最高，需集中火力“黄金72小时”。</w:t>
      </w:r>
    </w:p>
    <w:p w14:paraId="63F350F2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激励挂钩：催收员的提成应直接与CRR挂钩，而非仅仅看拨打量。</w:t>
      </w:r>
    </w:p>
    <w:p w14:paraId="441CDC26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黑名单清洗：对于CRR极低（如&lt;5%）的特定客群，直接停止催收，转为呆账核销或打包转卖，节省人力。</w:t>
      </w:r>
    </w:p>
    <w:p w14:paraId="0C833603">
      <w:pPr>
        <w:jc w:val="left"/>
      </w:pPr>
      <w:r>
        <w:rPr>
          <w:rFonts w:ascii="微软雅黑" w:hAnsi="微软雅黑" w:eastAsia="微软雅黑"/>
          <w:b/>
          <w:sz w:val="22"/>
        </w:rPr>
        <w:t>📊 分析维度</w:t>
      </w:r>
    </w:p>
    <w:p w14:paraId="3B7A185D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核销原因 / vintage / 产品维度 / 处置方式 / 回收情况</w:t>
      </w:r>
    </w:p>
    <w:p w14:paraId="5A36C436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逾期段位 / 催收方式 / 客户分群 / 时间趋势 / 经济周期</w:t>
      </w:r>
    </w:p>
    <w:p w14:paraId="47CB0F56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催收是消费金融风险管理的最后一道防线。本章指标衡量催收效率、客户触达能力和催收成本，帮助优化催收策略和资源配置。</w:t>
      </w:r>
    </w:p>
    <w:p w14:paraId="63DBD3B9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📊 本章指标概览</w:t>
      </w:r>
    </w:p>
    <w:p w14:paraId="38C8BD09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账龄维度：首期入催率 vs 复期入催率（老客户复借后的入催情况）。</w:t>
      </w:r>
    </w:p>
    <w:p w14:paraId="6174F39A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渠道维度：识别哪些渠道的客户容易“一逾期就入催”（即还款意愿差）。</w:t>
      </w:r>
    </w:p>
    <w:p w14:paraId="2C6B55F3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产品维度：不同期限产品的入催率对比。</w:t>
      </w:r>
    </w:p>
    <w:p w14:paraId="1EC74BD5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时间趋势：监控每日入催率波动，识别节假日或发薪日的影响。</w:t>
      </w:r>
    </w:p>
    <w:p w14:paraId="7DC8ABBA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账龄维度：M1 CRR、M2 CRR、M3+ CRR（通常随逾期时间增加而断崖式下跌）。</w:t>
      </w:r>
    </w:p>
    <w:p w14:paraId="6EAEC2C9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机构/团队维度：对比不同催收团队或外包公司的CRR，实行末位淘汰。</w:t>
      </w:r>
    </w:p>
    <w:p w14:paraId="09581A61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产品维度：现金贷CRR vs 分期贷CRR（通常小额分散的CRR较低，大额抵押的CRR较高）。</w:t>
      </w:r>
    </w:p>
    <w:p w14:paraId="63652F75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入催渠道：分析不同进件渠道的入催案件回收难度。</w:t>
      </w:r>
    </w:p>
    <w:p w14:paraId="027AEDBC">
      <w:r>
        <w:t>────────────────────────────────────────</w:t>
      </w:r>
    </w:p>
    <w:p w14:paraId="0CF4ACD7">
      <w:pPr>
        <w:jc w:val="left"/>
      </w:pPr>
      <w:r>
        <w:rPr>
          <w:rFonts w:ascii="微软雅黑" w:hAnsi="微软雅黑" w:eastAsia="微软雅黑"/>
          <w:b/>
          <w:sz w:val="28"/>
        </w:rPr>
        <w:t>3.</w:t>
      </w:r>
      <w:r>
        <w:rPr>
          <w:rFonts w:hint="eastAsia" w:ascii="微软雅黑" w:hAnsi="微软雅黑" w:eastAsia="微软雅黑"/>
          <w:b/>
          <w:sz w:val="28"/>
          <w:lang w:val="en-US" w:eastAsia="zh-CN"/>
        </w:rPr>
        <w:t>6</w:t>
      </w:r>
      <w:r>
        <w:rPr>
          <w:rFonts w:ascii="微软雅黑" w:hAnsi="微软雅黑" w:eastAsia="微软雅黑"/>
          <w:b/>
          <w:sz w:val="28"/>
        </w:rPr>
        <w:t xml:space="preserve">  不良贷款回收率</w:t>
      </w:r>
    </w:p>
    <w:p w14:paraId="2FA4636D">
      <w:pPr>
        <w:jc w:val="left"/>
      </w:pPr>
      <w:r>
        <w:rPr>
          <w:rFonts w:ascii="微软雅黑" w:hAnsi="微软雅黑" w:eastAsia="微软雅黑"/>
          <w:b w:val="0"/>
          <w:sz w:val="22"/>
        </w:rPr>
        <w:t>NPL Recovery Rate</w:t>
      </w:r>
    </w:p>
    <w:p w14:paraId="23F004B4">
      <w:r>
        <w:t>────────────────────────────────────────</w:t>
      </w:r>
    </w:p>
    <w:p w14:paraId="6E4172F2">
      <w:r>
        <w:br w:type="page"/>
      </w:r>
    </w:p>
    <w:p w14:paraId="48F82AD9">
      <w:pPr>
        <w:jc w:val="left"/>
      </w:pPr>
      <w:r>
        <w:rPr>
          <w:rFonts w:ascii="微软雅黑" w:hAnsi="微软雅黑" w:eastAsia="微软雅黑"/>
          <w:b/>
          <w:sz w:val="36"/>
        </w:rPr>
        <w:t>第四章  催收指标</w:t>
      </w:r>
    </w:p>
    <w:p w14:paraId="3E381B6A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催收是资产保全的最后防线。本章指标聚焦催收效率、成本和质量，帮助团队优化催收策略、提升回款效果。</w:t>
      </w:r>
    </w:p>
    <w:p w14:paraId="3EAC8AB7"/>
    <w:p w14:paraId="13ED6701">
      <w:pPr>
        <w:jc w:val="center"/>
      </w:pPr>
      <w:r>
        <w:rPr>
          <w:rFonts w:ascii="微软雅黑" w:hAnsi="微软雅黑" w:eastAsia="微软雅黑"/>
          <w:b/>
          <w:sz w:val="24"/>
        </w:rPr>
        <w:t>本章指标概览（共6个指标）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69972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1F4E79"/>
          </w:tcPr>
          <w:p w14:paraId="1D38E6B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序号</w:t>
            </w:r>
          </w:p>
        </w:tc>
        <w:tc>
          <w:tcPr>
            <w:tcW w:w="1440" w:type="dxa"/>
            <w:shd w:val="clear" w:color="auto" w:fill="1F4E79"/>
          </w:tcPr>
          <w:p w14:paraId="4D0EA89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指标名称</w:t>
            </w:r>
          </w:p>
        </w:tc>
        <w:tc>
          <w:tcPr>
            <w:tcW w:w="1440" w:type="dxa"/>
            <w:shd w:val="clear" w:color="auto" w:fill="1F4E79"/>
          </w:tcPr>
          <w:p w14:paraId="6B2AF6D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英文缩写</w:t>
            </w:r>
          </w:p>
        </w:tc>
        <w:tc>
          <w:tcPr>
            <w:tcW w:w="1440" w:type="dxa"/>
            <w:shd w:val="clear" w:color="auto" w:fill="1F4E79"/>
          </w:tcPr>
          <w:p w14:paraId="604AAAC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指标分类</w:t>
            </w:r>
          </w:p>
        </w:tc>
        <w:tc>
          <w:tcPr>
            <w:tcW w:w="1440" w:type="dxa"/>
            <w:shd w:val="clear" w:color="auto" w:fill="1F4E79"/>
          </w:tcPr>
          <w:p w14:paraId="45A390A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参考阈值</w:t>
            </w:r>
          </w:p>
        </w:tc>
        <w:tc>
          <w:tcPr>
            <w:tcW w:w="1440" w:type="dxa"/>
            <w:shd w:val="clear" w:color="auto" w:fill="1F4E79"/>
          </w:tcPr>
          <w:p w14:paraId="601E77F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数据频率</w:t>
            </w:r>
          </w:p>
        </w:tc>
      </w:tr>
      <w:tr w14:paraId="74493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A65B48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1440" w:type="dxa"/>
          </w:tcPr>
          <w:p w14:paraId="758A5FF5">
            <w:pPr>
              <w:spacing w:after="0" w:line="24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入催率</w:t>
            </w:r>
          </w:p>
        </w:tc>
        <w:tc>
          <w:tcPr>
            <w:tcW w:w="1440" w:type="dxa"/>
          </w:tcPr>
          <w:p w14:paraId="354A21C6">
            <w:pPr>
              <w:spacing w:after="0" w:line="24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Days Past Due1</w:t>
            </w:r>
          </w:p>
        </w:tc>
        <w:tc>
          <w:tcPr>
            <w:tcW w:w="1440" w:type="dxa"/>
          </w:tcPr>
          <w:p w14:paraId="4B4E9D2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催收效率</w:t>
            </w:r>
          </w:p>
        </w:tc>
        <w:tc>
          <w:tcPr>
            <w:tcW w:w="1440" w:type="dxa"/>
          </w:tcPr>
          <w:p w14:paraId="10786B0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&gt; 60%</w:t>
            </w:r>
          </w:p>
        </w:tc>
        <w:tc>
          <w:tcPr>
            <w:tcW w:w="1440" w:type="dxa"/>
          </w:tcPr>
          <w:p w14:paraId="6A3CD19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日/周/月</w:t>
            </w:r>
          </w:p>
        </w:tc>
      </w:tr>
      <w:tr w14:paraId="6F1A4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D6E4F0"/>
          </w:tcPr>
          <w:p w14:paraId="387B73F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1440" w:type="dxa"/>
            <w:shd w:val="clear" w:color="auto" w:fill="D6E4F0"/>
          </w:tcPr>
          <w:p w14:paraId="2E9EAF0D">
            <w:pPr>
              <w:spacing w:after="0"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催回率</w:t>
            </w:r>
          </w:p>
        </w:tc>
        <w:tc>
          <w:tcPr>
            <w:tcW w:w="1440" w:type="dxa"/>
            <w:shd w:val="clear" w:color="auto" w:fill="D6E4F0"/>
          </w:tcPr>
          <w:p w14:paraId="76D5DDD3">
            <w:pPr>
              <w:spacing w:after="0" w:line="24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sz w:val="18"/>
                <w:lang w:val="en-US" w:eastAsia="zh-CN"/>
              </w:rPr>
              <w:t>Collection Recovery rate</w:t>
            </w:r>
          </w:p>
        </w:tc>
        <w:tc>
          <w:tcPr>
            <w:tcW w:w="1440" w:type="dxa"/>
            <w:shd w:val="clear" w:color="auto" w:fill="D6E4F0"/>
          </w:tcPr>
          <w:p w14:paraId="2EF1A73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催收效率</w:t>
            </w:r>
          </w:p>
        </w:tc>
        <w:tc>
          <w:tcPr>
            <w:tcW w:w="1440" w:type="dxa"/>
            <w:shd w:val="clear" w:color="auto" w:fill="D6E4F0"/>
          </w:tcPr>
          <w:p w14:paraId="0A875D5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&gt; 40%</w:t>
            </w:r>
          </w:p>
        </w:tc>
        <w:tc>
          <w:tcPr>
            <w:tcW w:w="1440" w:type="dxa"/>
            <w:shd w:val="clear" w:color="auto" w:fill="D6E4F0"/>
          </w:tcPr>
          <w:p w14:paraId="1B642F1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月</w:t>
            </w:r>
          </w:p>
        </w:tc>
      </w:tr>
      <w:tr w14:paraId="24480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F73A80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1440" w:type="dxa"/>
          </w:tcPr>
          <w:p w14:paraId="260786B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催收时效</w:t>
            </w:r>
          </w:p>
        </w:tc>
        <w:tc>
          <w:tcPr>
            <w:tcW w:w="1440" w:type="dxa"/>
          </w:tcPr>
          <w:p w14:paraId="5F12257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Collection Timeliness</w:t>
            </w:r>
          </w:p>
        </w:tc>
        <w:tc>
          <w:tcPr>
            <w:tcW w:w="1440" w:type="dxa"/>
          </w:tcPr>
          <w:p w14:paraId="06309E8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催收效率</w:t>
            </w:r>
          </w:p>
        </w:tc>
        <w:tc>
          <w:tcPr>
            <w:tcW w:w="1440" w:type="dxa"/>
          </w:tcPr>
          <w:p w14:paraId="7FE6781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&lt; 3天</w:t>
            </w:r>
          </w:p>
        </w:tc>
        <w:tc>
          <w:tcPr>
            <w:tcW w:w="1440" w:type="dxa"/>
          </w:tcPr>
          <w:p w14:paraId="0488B23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日/周</w:t>
            </w:r>
          </w:p>
        </w:tc>
      </w:tr>
      <w:tr w14:paraId="7F11A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D6E4F0"/>
          </w:tcPr>
          <w:p w14:paraId="71E4D73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1440" w:type="dxa"/>
            <w:shd w:val="clear" w:color="auto" w:fill="D6E4F0"/>
          </w:tcPr>
          <w:p w14:paraId="3392A72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人均催收产能</w:t>
            </w:r>
          </w:p>
        </w:tc>
        <w:tc>
          <w:tcPr>
            <w:tcW w:w="1440" w:type="dxa"/>
            <w:shd w:val="clear" w:color="auto" w:fill="D6E4F0"/>
          </w:tcPr>
          <w:p w14:paraId="796417F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Per Capita Collection Output</w:t>
            </w:r>
          </w:p>
        </w:tc>
        <w:tc>
          <w:tcPr>
            <w:tcW w:w="1440" w:type="dxa"/>
            <w:shd w:val="clear" w:color="auto" w:fill="D6E4F0"/>
          </w:tcPr>
          <w:p w14:paraId="5769FE2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催收效率</w:t>
            </w:r>
          </w:p>
        </w:tc>
        <w:tc>
          <w:tcPr>
            <w:tcW w:w="1440" w:type="dxa"/>
            <w:shd w:val="clear" w:color="auto" w:fill="D6E4F0"/>
          </w:tcPr>
          <w:p w14:paraId="6EC808D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参考同业</w:t>
            </w:r>
          </w:p>
        </w:tc>
        <w:tc>
          <w:tcPr>
            <w:tcW w:w="1440" w:type="dxa"/>
            <w:shd w:val="clear" w:color="auto" w:fill="D6E4F0"/>
          </w:tcPr>
          <w:p w14:paraId="1F2EB1F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月</w:t>
            </w:r>
          </w:p>
        </w:tc>
      </w:tr>
      <w:tr w14:paraId="3B2CA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217A27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1440" w:type="dxa"/>
          </w:tcPr>
          <w:p w14:paraId="01ECEAF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委外催收回收率</w:t>
            </w:r>
          </w:p>
        </w:tc>
        <w:tc>
          <w:tcPr>
            <w:tcW w:w="1440" w:type="dxa"/>
          </w:tcPr>
          <w:p w14:paraId="158E6AA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Outsourced Collection Rate</w:t>
            </w:r>
          </w:p>
        </w:tc>
        <w:tc>
          <w:tcPr>
            <w:tcW w:w="1440" w:type="dxa"/>
          </w:tcPr>
          <w:p w14:paraId="2AF71C3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委外管理</w:t>
            </w:r>
          </w:p>
        </w:tc>
        <w:tc>
          <w:tcPr>
            <w:tcW w:w="1440" w:type="dxa"/>
          </w:tcPr>
          <w:p w14:paraId="39C5EF8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&gt; 25%</w:t>
            </w:r>
          </w:p>
        </w:tc>
        <w:tc>
          <w:tcPr>
            <w:tcW w:w="1440" w:type="dxa"/>
          </w:tcPr>
          <w:p w14:paraId="622A0AE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月/季</w:t>
            </w:r>
          </w:p>
        </w:tc>
      </w:tr>
      <w:tr w14:paraId="0D270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D6E4F0"/>
          </w:tcPr>
          <w:p w14:paraId="414F496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1440" w:type="dxa"/>
            <w:shd w:val="clear" w:color="auto" w:fill="D6E4F0"/>
          </w:tcPr>
          <w:p w14:paraId="272022D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催收投诉率</w:t>
            </w:r>
          </w:p>
        </w:tc>
        <w:tc>
          <w:tcPr>
            <w:tcW w:w="1440" w:type="dxa"/>
            <w:shd w:val="clear" w:color="auto" w:fill="D6E4F0"/>
          </w:tcPr>
          <w:p w14:paraId="0CC9DC4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Collection Complaint Rate</w:t>
            </w:r>
          </w:p>
        </w:tc>
        <w:tc>
          <w:tcPr>
            <w:tcW w:w="1440" w:type="dxa"/>
            <w:shd w:val="clear" w:color="auto" w:fill="D6E4F0"/>
          </w:tcPr>
          <w:p w14:paraId="2DC9D9E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催收质量</w:t>
            </w:r>
          </w:p>
        </w:tc>
        <w:tc>
          <w:tcPr>
            <w:tcW w:w="1440" w:type="dxa"/>
            <w:shd w:val="clear" w:color="auto" w:fill="D6E4F0"/>
          </w:tcPr>
          <w:p w14:paraId="66CF69C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&lt; 1%</w:t>
            </w:r>
          </w:p>
        </w:tc>
        <w:tc>
          <w:tcPr>
            <w:tcW w:w="1440" w:type="dxa"/>
            <w:shd w:val="clear" w:color="auto" w:fill="D6E4F0"/>
          </w:tcPr>
          <w:p w14:paraId="3C9E573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月</w:t>
            </w:r>
          </w:p>
        </w:tc>
      </w:tr>
    </w:tbl>
    <w:p w14:paraId="36D7089A"/>
    <w:p w14:paraId="68DD4988">
      <w:pPr>
        <w:jc w:val="left"/>
        <w:rPr>
          <w:rFonts w:hint="eastAsia" w:eastAsia="微软雅黑"/>
          <w:lang w:val="en-US" w:eastAsia="zh-CN"/>
        </w:rPr>
      </w:pPr>
      <w:r>
        <w:rPr>
          <w:rFonts w:ascii="微软雅黑" w:hAnsi="微软雅黑" w:eastAsia="微软雅黑"/>
          <w:b/>
          <w:sz w:val="28"/>
        </w:rPr>
        <w:t xml:space="preserve">4.1  </w:t>
      </w:r>
      <w:r>
        <w:rPr>
          <w:rFonts w:hint="eastAsia" w:ascii="微软雅黑" w:hAnsi="微软雅黑" w:eastAsia="微软雅黑"/>
          <w:b/>
          <w:sz w:val="28"/>
          <w:lang w:val="en-US" w:eastAsia="zh-CN"/>
        </w:rPr>
        <w:t>入催率</w:t>
      </w:r>
    </w:p>
    <w:p w14:paraId="0A0C5D02">
      <w:pPr>
        <w:rPr>
          <w:rFonts w:hint="eastAsia" w:ascii="微软雅黑" w:hAnsi="微软雅黑" w:eastAsia="微软雅黑"/>
          <w:b w:val="0"/>
          <w:sz w:val="22"/>
          <w:lang w:val="en-US" w:eastAsia="zh-CN"/>
        </w:rPr>
      </w:pP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Days Past due1</w:t>
      </w:r>
    </w:p>
    <w:p w14:paraId="6704BFEA">
      <w:pPr>
        <w:rPr>
          <w:rFonts w:hint="eastAsia" w:ascii="微软雅黑" w:hAnsi="微软雅黑" w:eastAsia="微软雅黑"/>
          <w:b w:val="0"/>
          <w:sz w:val="22"/>
          <w:lang w:val="en-US" w:eastAsia="zh-CN"/>
        </w:rPr>
      </w:pP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入催率 = 到期逾期总额 / 到期总金额 x 100%</w:t>
      </w:r>
    </w:p>
    <w:p w14:paraId="7527396A">
      <w:r>
        <w:t>────────────────────────────────────────</w:t>
      </w:r>
    </w:p>
    <w:p w14:paraId="4F78D875">
      <w:pPr>
        <w:jc w:val="left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b/>
          <w:sz w:val="28"/>
        </w:rPr>
        <w:t xml:space="preserve">4.2  </w:t>
      </w:r>
      <w:r>
        <w:rPr>
          <w:rFonts w:hint="eastAsia" w:ascii="微软雅黑" w:hAnsi="微软雅黑" w:eastAsia="微软雅黑"/>
          <w:b/>
          <w:sz w:val="28"/>
          <w:lang w:val="en-US" w:eastAsia="zh-CN"/>
        </w:rPr>
        <w:t>催回率(Collection Recovery Rate)</w:t>
      </w:r>
    </w:p>
    <w:p w14:paraId="22416DEC">
      <w:pPr>
        <w:jc w:val="left"/>
        <w:rPr>
          <w:rFonts w:hint="eastAsia" w:ascii="微软雅黑" w:hAnsi="微软雅黑" w:eastAsia="微软雅黑"/>
          <w:b w:val="0"/>
          <w:sz w:val="22"/>
          <w:lang w:val="en-US" w:eastAsia="zh-CN"/>
        </w:rPr>
      </w:pP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Collection Recovery Rate</w:t>
      </w:r>
    </w:p>
    <w:p w14:paraId="157A0618">
      <w:pPr>
        <w:jc w:val="left"/>
        <w:rPr>
          <w:rFonts w:hint="default" w:ascii="微软雅黑" w:hAnsi="微软雅黑" w:eastAsia="微软雅黑"/>
          <w:b w:val="0"/>
          <w:sz w:val="22"/>
          <w:lang w:val="en-US" w:eastAsia="zh-CN"/>
        </w:rPr>
      </w:pPr>
      <w:r>
        <w:rPr>
          <w:rFonts w:hint="default" w:ascii="微软雅黑" w:hAnsi="微软雅黑" w:eastAsia="微软雅黑"/>
          <w:b w:val="0"/>
          <w:sz w:val="22"/>
          <w:lang w:val="en-US" w:eastAsia="zh-CN"/>
        </w:rPr>
        <w:t>CRR</w:t>
      </w: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 xml:space="preserve"> N</w:t>
      </w:r>
      <w:r>
        <w:rPr>
          <w:rFonts w:hint="default" w:ascii="微软雅黑" w:hAnsi="微软雅黑" w:eastAsia="微软雅黑"/>
          <w:b w:val="0"/>
          <w:sz w:val="22"/>
          <w:lang w:val="en-US" w:eastAsia="zh-CN"/>
        </w:rPr>
        <w:t>= 逾期</w:t>
      </w: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N</w:t>
      </w:r>
      <w:r>
        <w:rPr>
          <w:rFonts w:hint="default" w:ascii="微软雅黑" w:hAnsi="微软雅黑" w:eastAsia="微软雅黑"/>
          <w:b w:val="0"/>
          <w:sz w:val="22"/>
          <w:lang w:val="en-US" w:eastAsia="zh-CN"/>
        </w:rPr>
        <w:t xml:space="preserve">天内回收总额 / </w:t>
      </w: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入催</w:t>
      </w:r>
      <w:r>
        <w:rPr>
          <w:rFonts w:hint="default" w:ascii="微软雅黑" w:hAnsi="微软雅黑" w:eastAsia="微软雅黑"/>
          <w:b w:val="0"/>
          <w:sz w:val="22"/>
          <w:lang w:val="en-US" w:eastAsia="zh-CN"/>
        </w:rPr>
        <w:t>金额*100%</w:t>
      </w:r>
    </w:p>
    <w:p w14:paraId="3FC93611">
      <w:r>
        <w:t>────────────────────────────────────────</w:t>
      </w:r>
    </w:p>
    <w:p w14:paraId="4D15B151">
      <w:pPr>
        <w:jc w:val="left"/>
      </w:pPr>
      <w:r>
        <w:rPr>
          <w:rFonts w:ascii="微软雅黑" w:hAnsi="微软雅黑" w:eastAsia="微软雅黑"/>
          <w:b/>
          <w:sz w:val="28"/>
        </w:rPr>
        <w:t>4.3  催收时效</w:t>
      </w:r>
    </w:p>
    <w:p w14:paraId="5278F760">
      <w:pPr>
        <w:jc w:val="left"/>
      </w:pPr>
      <w:r>
        <w:rPr>
          <w:rFonts w:ascii="微软雅黑" w:hAnsi="微软雅黑" w:eastAsia="微软雅黑"/>
          <w:b w:val="0"/>
          <w:sz w:val="22"/>
        </w:rPr>
        <w:t>Collection Timeliness</w:t>
      </w:r>
    </w:p>
    <w:p w14:paraId="4E474F6E">
      <w:r>
        <w:t>────────────────────────────────────────</w:t>
      </w:r>
    </w:p>
    <w:p w14:paraId="7E9F4535">
      <w:pPr>
        <w:jc w:val="left"/>
      </w:pPr>
      <w:r>
        <w:rPr>
          <w:rFonts w:ascii="微软雅黑" w:hAnsi="微软雅黑" w:eastAsia="微软雅黑"/>
          <w:b/>
          <w:sz w:val="28"/>
        </w:rPr>
        <w:t>4.4  人均催收产能</w:t>
      </w:r>
    </w:p>
    <w:p w14:paraId="6AA0F7C3">
      <w:pPr>
        <w:jc w:val="left"/>
      </w:pPr>
      <w:r>
        <w:rPr>
          <w:rFonts w:ascii="微软雅黑" w:hAnsi="微软雅黑" w:eastAsia="微软雅黑"/>
          <w:b w:val="0"/>
          <w:sz w:val="22"/>
        </w:rPr>
        <w:t>Per Capita Collection Output</w:t>
      </w:r>
    </w:p>
    <w:p w14:paraId="5DAF3596">
      <w:r>
        <w:t>────────────────────────────────────────</w:t>
      </w:r>
    </w:p>
    <w:p w14:paraId="4217A248">
      <w:pPr>
        <w:jc w:val="left"/>
      </w:pPr>
      <w:r>
        <w:rPr>
          <w:rFonts w:ascii="微软雅黑" w:hAnsi="微软雅黑" w:eastAsia="微软雅黑"/>
          <w:b/>
          <w:sz w:val="28"/>
        </w:rPr>
        <w:t>4.5  委外催收回收率</w:t>
      </w:r>
    </w:p>
    <w:p w14:paraId="06062A81">
      <w:pPr>
        <w:jc w:val="left"/>
      </w:pPr>
      <w:r>
        <w:rPr>
          <w:rFonts w:ascii="微软雅黑" w:hAnsi="微软雅黑" w:eastAsia="微软雅黑"/>
          <w:b w:val="0"/>
          <w:sz w:val="22"/>
        </w:rPr>
        <w:t>Outsourced Collection Rate</w:t>
      </w:r>
    </w:p>
    <w:p w14:paraId="7EEEA01F">
      <w:pPr>
        <w:jc w:val="left"/>
      </w:pPr>
      <w:r>
        <w:rPr>
          <w:rFonts w:ascii="微软雅黑" w:hAnsi="微软雅黑" w:eastAsia="微软雅黑"/>
          <w:b/>
          <w:sz w:val="22"/>
        </w:rPr>
        <w:t>💡 作用与意义</w:t>
      </w:r>
    </w:p>
    <w:p w14:paraId="5485A4CD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委外催收是内部催收资源的补充，主要用于中后期逾期（M4+）的处置。</w:t>
      </w:r>
    </w:p>
    <w:p w14:paraId="641E79CE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委外回收率直接影响委外策略的投入产出决策。</w:t>
      </w:r>
    </w:p>
    <w:p w14:paraId="5617A567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委外成本收益比是评估委外合作方性价比的核心指标。</w:t>
      </w:r>
    </w:p>
    <w:p w14:paraId="43191F13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不同委外机构的回收率差异很大，需定期评估和优胜劣汰。</w:t>
      </w:r>
    </w:p>
    <w:p w14:paraId="7A6E67B3">
      <w:pPr>
        <w:jc w:val="left"/>
      </w:pPr>
      <w:r>
        <w:rPr>
          <w:rFonts w:ascii="微软雅黑" w:hAnsi="微软雅黑" w:eastAsia="微软雅黑"/>
          <w:b/>
          <w:sz w:val="22"/>
        </w:rPr>
        <w:t>🎯 业务指导</w:t>
      </w:r>
    </w:p>
    <w:p w14:paraId="76B8D42F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建立委外催收机构评级体系，从回收率、合规性、投诉率、时效四个维度综合评估。</w:t>
      </w:r>
    </w:p>
    <w:p w14:paraId="69789D77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设定委外催收的"转委标准"：通常M4+或自催3次无效后转入委外。</w:t>
      </w:r>
    </w:p>
    <w:p w14:paraId="13AEEECA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定期进行委外vs自催的回收率对比，确保委外策略的合理性。</w:t>
      </w:r>
    </w:p>
    <w:p w14:paraId="6AB4854F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委外费用采用"基础佣金+绩效分成"模式，激励合作方提高回收率。</w:t>
      </w:r>
    </w:p>
    <w:p w14:paraId="06EA004B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每月对委外机构进行排名，末位淘汰或减少委托量。</w:t>
      </w:r>
    </w:p>
    <w:p w14:paraId="76FBE3C0">
      <w:pPr>
        <w:jc w:val="left"/>
      </w:pPr>
      <w:r>
        <w:rPr>
          <w:rFonts w:ascii="微软雅黑" w:hAnsi="微软雅黑" w:eastAsia="微软雅黑"/>
          <w:b/>
          <w:sz w:val="22"/>
        </w:rPr>
        <w:t>📊 分析维度</w:t>
      </w:r>
    </w:p>
    <w:p w14:paraId="75142D91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委外机构对比 / 逾期段位 / 费用结构 / 时间趋势 / 合规评分</w:t>
      </w:r>
    </w:p>
    <w:p w14:paraId="475D5A2B">
      <w:r>
        <w:t>────────────────────────────────────────</w:t>
      </w:r>
    </w:p>
    <w:p w14:paraId="76D37A77">
      <w:pPr>
        <w:jc w:val="left"/>
      </w:pPr>
      <w:r>
        <w:rPr>
          <w:rFonts w:ascii="微软雅黑" w:hAnsi="微软雅黑" w:eastAsia="微软雅黑"/>
          <w:b/>
          <w:sz w:val="28"/>
        </w:rPr>
        <w:t>4.6  催收投诉率</w:t>
      </w:r>
    </w:p>
    <w:p w14:paraId="7D3C6FFC">
      <w:pPr>
        <w:jc w:val="left"/>
      </w:pPr>
      <w:r>
        <w:rPr>
          <w:rFonts w:ascii="微软雅黑" w:hAnsi="微软雅黑" w:eastAsia="微软雅黑"/>
          <w:b w:val="0"/>
          <w:sz w:val="22"/>
        </w:rPr>
        <w:t>Collection Complaint Rate</w:t>
      </w:r>
    </w:p>
    <w:p w14:paraId="322DAC20">
      <w:pPr>
        <w:jc w:val="left"/>
      </w:pPr>
      <w:r>
        <w:rPr>
          <w:rFonts w:ascii="微软雅黑" w:hAnsi="微软雅黑" w:eastAsia="微软雅黑"/>
          <w:b/>
          <w:sz w:val="22"/>
        </w:rPr>
        <w:t>🎯 业务指导</w:t>
      </w:r>
    </w:p>
    <w:p w14:paraId="46029A78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建立催收录音质检体系，按比例抽查催收通话，重点检查话术合规性。</w:t>
      </w:r>
    </w:p>
    <w:p w14:paraId="535CEB8A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设定投诉率的"零容忍"红线：暴力催收、威胁恐吓、骚扰第三方等行为一经发现立即停岗处理。</w:t>
      </w:r>
    </w:p>
    <w:p w14:paraId="0E2C2245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投诉数据分类分析：态度问题、频率问题、信息泄露、违规时段等。</w:t>
      </w:r>
    </w:p>
    <w:p w14:paraId="35362248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将投诉率纳入催收员绩效考核，与奖金挂钩。</w:t>
      </w:r>
    </w:p>
    <w:p w14:paraId="43359E26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定期向合规部门报送投诉数据和整改措施。</w:t>
      </w:r>
    </w:p>
    <w:p w14:paraId="73C7FBE9">
      <w:pPr>
        <w:jc w:val="left"/>
      </w:pPr>
      <w:r>
        <w:rPr>
          <w:rFonts w:ascii="微软雅黑" w:hAnsi="微软雅黑" w:eastAsia="微软雅黑"/>
          <w:b/>
          <w:sz w:val="22"/>
        </w:rPr>
        <w:t>📊 分析维度</w:t>
      </w:r>
    </w:p>
    <w:p w14:paraId="75F2819D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投诉类型 / 催收员 / 催收方式 / 时间趋势 / 监管对标</w:t>
      </w:r>
    </w:p>
    <w:p w14:paraId="742BE09B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业务规模指标是公司运营的"仪表盘"，反映放贷业务的体量、增长速度和运营效率，是制定战略规划和资源配置的基础。</w:t>
      </w:r>
    </w:p>
    <w:p w14:paraId="1337095E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📊 本章指标概览</w:t>
      </w:r>
    </w:p>
    <w:p w14:paraId="09AC5163">
      <w:r>
        <w:t>────────────────────────────────────────</w:t>
      </w:r>
    </w:p>
    <w:p w14:paraId="36D61FF5">
      <w:r>
        <w:br w:type="page"/>
      </w:r>
    </w:p>
    <w:p w14:paraId="323CAFB2">
      <w:pPr>
        <w:jc w:val="left"/>
      </w:pPr>
      <w:r>
        <w:rPr>
          <w:rFonts w:ascii="微软雅黑" w:hAnsi="微软雅黑" w:eastAsia="微软雅黑"/>
          <w:b/>
          <w:sz w:val="36"/>
        </w:rPr>
        <w:t>第五章  业务规模指标</w:t>
      </w:r>
    </w:p>
    <w:p w14:paraId="52A6C1BF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业务规模指标反映的是业务发展的健康程度。本章指标聚焦放款、余额和客户活跃度，帮助团队平衡规模增长与风险控制。</w:t>
      </w:r>
    </w:p>
    <w:p w14:paraId="7E8B4525"/>
    <w:p w14:paraId="6DD52A22">
      <w:pPr>
        <w:jc w:val="center"/>
      </w:pPr>
      <w:r>
        <w:rPr>
          <w:rFonts w:ascii="微软雅黑" w:hAnsi="微软雅黑" w:eastAsia="微软雅黑"/>
          <w:b/>
          <w:sz w:val="24"/>
        </w:rPr>
        <w:t>本章指标概览（共5个指标）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26248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1F4E79"/>
          </w:tcPr>
          <w:p w14:paraId="26DB6BB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序号</w:t>
            </w:r>
          </w:p>
        </w:tc>
        <w:tc>
          <w:tcPr>
            <w:tcW w:w="1440" w:type="dxa"/>
            <w:shd w:val="clear" w:color="auto" w:fill="1F4E79"/>
          </w:tcPr>
          <w:p w14:paraId="4111C40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指标名称</w:t>
            </w:r>
          </w:p>
        </w:tc>
        <w:tc>
          <w:tcPr>
            <w:tcW w:w="1440" w:type="dxa"/>
            <w:shd w:val="clear" w:color="auto" w:fill="1F4E79"/>
          </w:tcPr>
          <w:p w14:paraId="09C2C7D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英文缩写</w:t>
            </w:r>
          </w:p>
        </w:tc>
        <w:tc>
          <w:tcPr>
            <w:tcW w:w="1440" w:type="dxa"/>
            <w:shd w:val="clear" w:color="auto" w:fill="1F4E79"/>
          </w:tcPr>
          <w:p w14:paraId="2F045FF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指标分类</w:t>
            </w:r>
          </w:p>
        </w:tc>
        <w:tc>
          <w:tcPr>
            <w:tcW w:w="1440" w:type="dxa"/>
            <w:shd w:val="clear" w:color="auto" w:fill="1F4E79"/>
          </w:tcPr>
          <w:p w14:paraId="1E0929B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参考阈值</w:t>
            </w:r>
          </w:p>
        </w:tc>
        <w:tc>
          <w:tcPr>
            <w:tcW w:w="1440" w:type="dxa"/>
            <w:shd w:val="clear" w:color="auto" w:fill="1F4E79"/>
          </w:tcPr>
          <w:p w14:paraId="24419A3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数据频率</w:t>
            </w:r>
          </w:p>
        </w:tc>
      </w:tr>
      <w:tr w14:paraId="637A7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F1A837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1440" w:type="dxa"/>
          </w:tcPr>
          <w:p w14:paraId="02FE89E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放款金额</w:t>
            </w:r>
          </w:p>
        </w:tc>
        <w:tc>
          <w:tcPr>
            <w:tcW w:w="1440" w:type="dxa"/>
          </w:tcPr>
          <w:p w14:paraId="38D1059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Loan Amount</w:t>
            </w:r>
          </w:p>
        </w:tc>
        <w:tc>
          <w:tcPr>
            <w:tcW w:w="1440" w:type="dxa"/>
          </w:tcPr>
          <w:p w14:paraId="71F465D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业务规模</w:t>
            </w:r>
          </w:p>
        </w:tc>
        <w:tc>
          <w:tcPr>
            <w:tcW w:w="1440" w:type="dxa"/>
          </w:tcPr>
          <w:p w14:paraId="4A1C490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按计划达成</w:t>
            </w:r>
          </w:p>
        </w:tc>
        <w:tc>
          <w:tcPr>
            <w:tcW w:w="1440" w:type="dxa"/>
          </w:tcPr>
          <w:p w14:paraId="525D47A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日/月</w:t>
            </w:r>
          </w:p>
        </w:tc>
      </w:tr>
      <w:tr w14:paraId="1E7A8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D6E4F0"/>
          </w:tcPr>
          <w:p w14:paraId="743615D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1440" w:type="dxa"/>
            <w:shd w:val="clear" w:color="auto" w:fill="D6E4F0"/>
          </w:tcPr>
          <w:p w14:paraId="2877E07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在贷余额(</w:t>
            </w:r>
            <w:r>
              <w:rPr>
                <w:rFonts w:hint="eastAsia" w:ascii="微软雅黑" w:hAnsi="微软雅黑" w:eastAsia="微软雅黑"/>
                <w:b w:val="0"/>
                <w:sz w:val="18"/>
                <w:lang w:val="en-US" w:eastAsia="zh-CN"/>
              </w:rPr>
              <w:t>OS</w:t>
            </w:r>
            <w:r>
              <w:rPr>
                <w:rFonts w:ascii="微软雅黑" w:hAnsi="微软雅黑" w:eastAsia="微软雅黑"/>
                <w:b w:val="0"/>
                <w:sz w:val="18"/>
              </w:rPr>
              <w:t>)</w:t>
            </w:r>
          </w:p>
        </w:tc>
        <w:tc>
          <w:tcPr>
            <w:tcW w:w="1440" w:type="dxa"/>
            <w:shd w:val="clear" w:color="auto" w:fill="D6E4F0"/>
          </w:tcPr>
          <w:p w14:paraId="347D9618">
            <w:pPr>
              <w:spacing w:after="0" w:line="24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Outstanding Balance</w:t>
            </w:r>
          </w:p>
        </w:tc>
        <w:tc>
          <w:tcPr>
            <w:tcW w:w="1440" w:type="dxa"/>
            <w:shd w:val="clear" w:color="auto" w:fill="D6E4F0"/>
          </w:tcPr>
          <w:p w14:paraId="6D03ECE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业务规模</w:t>
            </w:r>
          </w:p>
        </w:tc>
        <w:tc>
          <w:tcPr>
            <w:tcW w:w="1440" w:type="dxa"/>
            <w:shd w:val="clear" w:color="auto" w:fill="D6E4F0"/>
          </w:tcPr>
          <w:p w14:paraId="2539F85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持续增长</w:t>
            </w:r>
          </w:p>
        </w:tc>
        <w:tc>
          <w:tcPr>
            <w:tcW w:w="1440" w:type="dxa"/>
            <w:shd w:val="clear" w:color="auto" w:fill="D6E4F0"/>
          </w:tcPr>
          <w:p w14:paraId="61F7368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日/月</w:t>
            </w:r>
          </w:p>
        </w:tc>
      </w:tr>
      <w:tr w14:paraId="19DA1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DFF917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1440" w:type="dxa"/>
          </w:tcPr>
          <w:p w14:paraId="6B97982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笔均放款金额</w:t>
            </w:r>
          </w:p>
        </w:tc>
        <w:tc>
          <w:tcPr>
            <w:tcW w:w="1440" w:type="dxa"/>
          </w:tcPr>
          <w:p w14:paraId="4471DAD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Avg Loan Amount</w:t>
            </w:r>
          </w:p>
        </w:tc>
        <w:tc>
          <w:tcPr>
            <w:tcW w:w="1440" w:type="dxa"/>
          </w:tcPr>
          <w:p w14:paraId="432E95E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业务结构</w:t>
            </w:r>
          </w:p>
        </w:tc>
        <w:tc>
          <w:tcPr>
            <w:tcW w:w="1440" w:type="dxa"/>
          </w:tcPr>
          <w:p w14:paraId="20D8511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根据产品定位</w:t>
            </w:r>
          </w:p>
        </w:tc>
        <w:tc>
          <w:tcPr>
            <w:tcW w:w="1440" w:type="dxa"/>
          </w:tcPr>
          <w:p w14:paraId="6028633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月</w:t>
            </w:r>
          </w:p>
        </w:tc>
      </w:tr>
      <w:tr w14:paraId="3F5E4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D6E4F0"/>
          </w:tcPr>
          <w:p w14:paraId="678C03E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1440" w:type="dxa"/>
            <w:shd w:val="clear" w:color="auto" w:fill="D6E4F0"/>
          </w:tcPr>
          <w:p w14:paraId="2BDEBA9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提前还款率</w:t>
            </w:r>
          </w:p>
        </w:tc>
        <w:tc>
          <w:tcPr>
            <w:tcW w:w="1440" w:type="dxa"/>
            <w:shd w:val="clear" w:color="auto" w:fill="D6E4F0"/>
          </w:tcPr>
          <w:p w14:paraId="4448FC5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Prepayment Rate</w:t>
            </w:r>
          </w:p>
        </w:tc>
        <w:tc>
          <w:tcPr>
            <w:tcW w:w="1440" w:type="dxa"/>
            <w:shd w:val="clear" w:color="auto" w:fill="D6E4F0"/>
          </w:tcPr>
          <w:p w14:paraId="5099AAE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业务效率</w:t>
            </w:r>
          </w:p>
        </w:tc>
        <w:tc>
          <w:tcPr>
            <w:tcW w:w="1440" w:type="dxa"/>
            <w:shd w:val="clear" w:color="auto" w:fill="D6E4F0"/>
          </w:tcPr>
          <w:p w14:paraId="76AADD3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5%~15%</w:t>
            </w:r>
          </w:p>
        </w:tc>
        <w:tc>
          <w:tcPr>
            <w:tcW w:w="1440" w:type="dxa"/>
            <w:shd w:val="clear" w:color="auto" w:fill="D6E4F0"/>
          </w:tcPr>
          <w:p w14:paraId="2B376B9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月</w:t>
            </w:r>
          </w:p>
        </w:tc>
      </w:tr>
      <w:tr w14:paraId="6559F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32B7F7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1440" w:type="dxa"/>
          </w:tcPr>
          <w:p w14:paraId="05CCBCB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客户活跃度</w:t>
            </w:r>
          </w:p>
        </w:tc>
        <w:tc>
          <w:tcPr>
            <w:tcW w:w="1440" w:type="dxa"/>
          </w:tcPr>
          <w:p w14:paraId="2ABD2B5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Customer Activity Rate</w:t>
            </w:r>
          </w:p>
        </w:tc>
        <w:tc>
          <w:tcPr>
            <w:tcW w:w="1440" w:type="dxa"/>
          </w:tcPr>
          <w:p w14:paraId="4B76002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客户运营</w:t>
            </w:r>
          </w:p>
        </w:tc>
        <w:tc>
          <w:tcPr>
            <w:tcW w:w="1440" w:type="dxa"/>
          </w:tcPr>
          <w:p w14:paraId="72235B7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&gt; 30%</w:t>
            </w:r>
          </w:p>
        </w:tc>
        <w:tc>
          <w:tcPr>
            <w:tcW w:w="1440" w:type="dxa"/>
          </w:tcPr>
          <w:p w14:paraId="712EF02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月</w:t>
            </w:r>
          </w:p>
        </w:tc>
      </w:tr>
    </w:tbl>
    <w:p w14:paraId="4399A80D"/>
    <w:p w14:paraId="4DA3703C">
      <w:pPr>
        <w:jc w:val="left"/>
      </w:pPr>
      <w:r>
        <w:rPr>
          <w:rFonts w:ascii="微软雅黑" w:hAnsi="微软雅黑" w:eastAsia="微软雅黑"/>
          <w:b/>
          <w:sz w:val="28"/>
        </w:rPr>
        <w:t>5.1  放款金额</w:t>
      </w:r>
    </w:p>
    <w:p w14:paraId="7FE81D58">
      <w:pPr>
        <w:jc w:val="left"/>
      </w:pPr>
      <w:r>
        <w:rPr>
          <w:rFonts w:ascii="微软雅黑" w:hAnsi="微软雅黑" w:eastAsia="微软雅黑"/>
          <w:b w:val="0"/>
          <w:sz w:val="22"/>
        </w:rPr>
        <w:t>Loan Amount</w:t>
      </w:r>
    </w:p>
    <w:p w14:paraId="2A62B3B6">
      <w:pPr>
        <w:jc w:val="left"/>
      </w:pPr>
      <w:r>
        <w:rPr>
          <w:rFonts w:ascii="微软雅黑" w:hAnsi="微软雅黑" w:eastAsia="微软雅黑"/>
          <w:b/>
          <w:sz w:val="22"/>
        </w:rPr>
        <w:t>💡 作用与意义</w:t>
      </w:r>
    </w:p>
    <w:p w14:paraId="247F0C48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笔均金额反映客群的消费能力和产品定位。</w:t>
      </w:r>
    </w:p>
    <w:p w14:paraId="273BF7DD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笔均金额异常变化可能暗示客群结构变化（下沉或上浮）。</w:t>
      </w:r>
    </w:p>
    <w:p w14:paraId="6E80DEE3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笔均金额与件均授信额度的差值反映授信额度的实际利用率。</w:t>
      </w:r>
    </w:p>
    <w:p w14:paraId="7E501EE2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笔均金额的分布情况有助于优化产品设计和定价策略。</w:t>
      </w:r>
    </w:p>
    <w:p w14:paraId="3DECFC05">
      <w:pPr>
        <w:jc w:val="left"/>
      </w:pPr>
      <w:r>
        <w:rPr>
          <w:rFonts w:ascii="微软雅黑" w:hAnsi="微软雅黑" w:eastAsia="微软雅黑"/>
          <w:b/>
          <w:sz w:val="22"/>
        </w:rPr>
        <w:t>🎯 业务指导</w:t>
      </w:r>
    </w:p>
    <w:p w14:paraId="488D46F1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监控笔均金额的分布变化，警惕客群异常下沉。</w:t>
      </w:r>
    </w:p>
    <w:p w14:paraId="260D8F21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笔均金额持续下降时评估是否需要调整产品策略或渠道策略。</w:t>
      </w:r>
    </w:p>
    <w:p w14:paraId="7E21524A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将笔均金额与客户收入水平做匹配度分析，避免过度授信。</w:t>
      </w:r>
    </w:p>
    <w:p w14:paraId="7E0CEE3C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不同渠道的笔均金额应保持合理差异，差异过大需排查原因。</w:t>
      </w:r>
    </w:p>
    <w:p w14:paraId="5CB24F3A">
      <w:pPr>
        <w:jc w:val="left"/>
      </w:pPr>
      <w:r>
        <w:rPr>
          <w:rFonts w:ascii="微软雅黑" w:hAnsi="微软雅黑" w:eastAsia="微软雅黑"/>
          <w:b/>
          <w:sz w:val="22"/>
        </w:rPr>
        <w:t>📊 分析维度</w:t>
      </w:r>
    </w:p>
    <w:p w14:paraId="53831F6A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时间趋势 / 渠道维度 / 产品维度 / 客群收入匹配</w:t>
      </w:r>
    </w:p>
    <w:p w14:paraId="176DFA6B">
      <w:r>
        <w:t>────────────────────────────────────────</w:t>
      </w:r>
    </w:p>
    <w:p w14:paraId="76419F4D">
      <w:pPr>
        <w:jc w:val="left"/>
      </w:pPr>
      <w:r>
        <w:rPr>
          <w:rFonts w:ascii="微软雅黑" w:hAnsi="微软雅黑" w:eastAsia="微软雅黑"/>
          <w:b/>
          <w:sz w:val="28"/>
        </w:rPr>
        <w:t>5.2  在贷余额(</w:t>
      </w:r>
      <w:r>
        <w:rPr>
          <w:rFonts w:hint="eastAsia" w:ascii="微软雅黑" w:hAnsi="微软雅黑" w:eastAsia="微软雅黑"/>
          <w:b/>
          <w:sz w:val="28"/>
          <w:lang w:val="en-US" w:eastAsia="zh-CN"/>
        </w:rPr>
        <w:t>OS</w:t>
      </w:r>
      <w:r>
        <w:rPr>
          <w:rFonts w:ascii="微软雅黑" w:hAnsi="微软雅黑" w:eastAsia="微软雅黑"/>
          <w:b/>
          <w:sz w:val="28"/>
        </w:rPr>
        <w:t>)</w:t>
      </w:r>
    </w:p>
    <w:p w14:paraId="5959B0AF">
      <w:pPr>
        <w:jc w:val="left"/>
        <w:rPr>
          <w:rFonts w:hint="default" w:eastAsia="微软雅黑"/>
          <w:lang w:val="en-US" w:eastAsia="zh-CN"/>
        </w:rPr>
      </w:pP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Outstanding Balance</w:t>
      </w:r>
    </w:p>
    <w:p w14:paraId="02CF1E0E">
      <w:r>
        <w:t>────────────────────────────────────────</w:t>
      </w:r>
    </w:p>
    <w:p w14:paraId="6E7AC9D9">
      <w:pPr>
        <w:jc w:val="left"/>
      </w:pPr>
      <w:r>
        <w:rPr>
          <w:rFonts w:ascii="微软雅黑" w:hAnsi="微软雅黑" w:eastAsia="微软雅黑"/>
          <w:b/>
          <w:sz w:val="28"/>
        </w:rPr>
        <w:t>5.3  笔均放款金额</w:t>
      </w:r>
    </w:p>
    <w:p w14:paraId="7856C460">
      <w:pPr>
        <w:jc w:val="left"/>
      </w:pPr>
      <w:r>
        <w:rPr>
          <w:rFonts w:ascii="微软雅黑" w:hAnsi="微软雅黑" w:eastAsia="微软雅黑"/>
          <w:b w:val="0"/>
          <w:sz w:val="22"/>
        </w:rPr>
        <w:t>Avg Loan Amount</w:t>
      </w:r>
    </w:p>
    <w:p w14:paraId="5F391315">
      <w:r>
        <w:t>────────────────────────────────────────</w:t>
      </w:r>
    </w:p>
    <w:p w14:paraId="6F328920">
      <w:pPr>
        <w:jc w:val="left"/>
      </w:pPr>
      <w:r>
        <w:rPr>
          <w:rFonts w:ascii="微软雅黑" w:hAnsi="微软雅黑" w:eastAsia="微软雅黑"/>
          <w:b/>
          <w:sz w:val="28"/>
        </w:rPr>
        <w:t>5.4  提前还款率</w:t>
      </w:r>
    </w:p>
    <w:p w14:paraId="1ED37A27">
      <w:pPr>
        <w:jc w:val="left"/>
      </w:pPr>
      <w:r>
        <w:rPr>
          <w:rFonts w:ascii="微软雅黑" w:hAnsi="微软雅黑" w:eastAsia="微软雅黑"/>
          <w:b w:val="0"/>
          <w:sz w:val="22"/>
        </w:rPr>
        <w:t>Prepayment Rate</w:t>
      </w:r>
    </w:p>
    <w:p w14:paraId="43256066">
      <w:pPr>
        <w:jc w:val="left"/>
      </w:pPr>
      <w:r>
        <w:rPr>
          <w:rFonts w:ascii="微软雅黑" w:hAnsi="微软雅黑" w:eastAsia="微软雅黑"/>
          <w:b/>
          <w:sz w:val="22"/>
        </w:rPr>
        <w:t>📊 分析维度</w:t>
      </w:r>
    </w:p>
    <w:p w14:paraId="5CB2BF0D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时间趋势 / 客户画像 / 产品维度 / 竞品利率关联</w:t>
      </w:r>
    </w:p>
    <w:p w14:paraId="13E91B70">
      <w:r>
        <w:t>────────────────────────────────────────</w:t>
      </w:r>
    </w:p>
    <w:p w14:paraId="72203AF1">
      <w:pPr>
        <w:jc w:val="left"/>
      </w:pPr>
      <w:r>
        <w:rPr>
          <w:rFonts w:ascii="微软雅黑" w:hAnsi="微软雅黑" w:eastAsia="微软雅黑"/>
          <w:b/>
          <w:sz w:val="28"/>
        </w:rPr>
        <w:t>5.5  客户活跃度</w:t>
      </w:r>
    </w:p>
    <w:p w14:paraId="62A503B9">
      <w:pPr>
        <w:jc w:val="left"/>
      </w:pPr>
      <w:r>
        <w:rPr>
          <w:rFonts w:ascii="微软雅黑" w:hAnsi="微软雅黑" w:eastAsia="微软雅黑"/>
          <w:b w:val="0"/>
          <w:sz w:val="22"/>
        </w:rPr>
        <w:t>Customer Activity Rate</w:t>
      </w:r>
    </w:p>
    <w:p w14:paraId="58C410F6">
      <w:pPr>
        <w:jc w:val="left"/>
      </w:pPr>
      <w:r>
        <w:rPr>
          <w:rFonts w:ascii="微软雅黑" w:hAnsi="微软雅黑" w:eastAsia="微软雅黑"/>
          <w:b/>
          <w:sz w:val="22"/>
        </w:rPr>
        <w:t>📐 计算口径</w:t>
      </w:r>
    </w:p>
    <w:p w14:paraId="2717CA4D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CAC = （营销推广费用 + 渠道佣金 + 人工获客成本）/ 新获客人数</w:t>
      </w:r>
    </w:p>
    <w:p w14:paraId="1217FE67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CAC回收期 = CAC / 客户月均贡献利润 LTV/CAC比值 = 客户生命周期价值 / 获客成本</w:t>
      </w:r>
    </w:p>
    <w:p w14:paraId="0FAD5130">
      <w:pPr>
        <w:jc w:val="left"/>
      </w:pPr>
      <w:r>
        <w:rPr>
          <w:rFonts w:ascii="微软雅黑" w:hAnsi="微软雅黑" w:eastAsia="微软雅黑"/>
          <w:b/>
          <w:sz w:val="22"/>
        </w:rPr>
        <w:t>💡 作用与意义</w:t>
      </w:r>
    </w:p>
    <w:p w14:paraId="7DE8D171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CAC是评估获客效率的核心指标，直接影响业务的经济可行性。</w:t>
      </w:r>
    </w:p>
    <w:p w14:paraId="6A25AFD6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CAC过高意味着获客投入产出比不合理，业务可能在"烧钱获客"。</w:t>
      </w:r>
    </w:p>
    <w:p w14:paraId="091011BB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CAC必须与LTV联合分析：LTV/CAC &gt; 3 是健康业务的标志。</w:t>
      </w:r>
    </w:p>
    <w:p w14:paraId="6D4ACF5F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不同渠道的CAC差异巨大，是渠道选择和预算分配的关键依据。</w:t>
      </w:r>
    </w:p>
    <w:p w14:paraId="79460F20">
      <w:pPr>
        <w:jc w:val="left"/>
      </w:pPr>
      <w:r>
        <w:rPr>
          <w:rFonts w:ascii="微软雅黑" w:hAnsi="微软雅黑" w:eastAsia="微软雅黑"/>
          <w:b/>
          <w:sz w:val="22"/>
        </w:rPr>
        <w:t>🎯 业务指导</w:t>
      </w:r>
    </w:p>
    <w:p w14:paraId="798B58A3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按渠道分别计算CAC，优先投入低CAC高LTV的渠道。</w:t>
      </w:r>
    </w:p>
    <w:p w14:paraId="68FF4E0A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建立CAC趋势监控，CAC连续上升超过20%需排查原因（竞争加剧、渠道涨价、广告效率下降等）。</w:t>
      </w:r>
    </w:p>
    <w:p w14:paraId="314A0F79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优化获客漏斗：从曝光→点击→申请→授信→放款，找到流失率最高的环节并优化。</w:t>
      </w:r>
    </w:p>
    <w:p w14:paraId="22E2412A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将CAC与首笔交易金额、早期风险表现做交叉分析，识别"高成本高风险"的渠道。</w:t>
      </w:r>
    </w:p>
    <w:p w14:paraId="3949FFC7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探索低成本获客方式：转介绍、存量客户交叉销售、内容营销等。</w:t>
      </w:r>
    </w:p>
    <w:p w14:paraId="09A8AD00">
      <w:pPr>
        <w:jc w:val="left"/>
      </w:pPr>
      <w:r>
        <w:rPr>
          <w:rFonts w:ascii="微软雅黑" w:hAnsi="微软雅黑" w:eastAsia="微软雅黑"/>
          <w:b/>
          <w:sz w:val="22"/>
        </w:rPr>
        <w:t>📊 分析维度</w:t>
      </w:r>
    </w:p>
    <w:p w14:paraId="6BBA59F4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活跃/沉睡分层 / 复贷率 / 客户分群 / 时间趋势</w:t>
      </w:r>
    </w:p>
    <w:p w14:paraId="1D478798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消费金融的本质是"承担风险获取收益"。本章指标衡量业务的盈利能力、运营效率和资本使用效率，是经营决策和战略调整的核心依据。</w:t>
      </w:r>
    </w:p>
    <w:p w14:paraId="4AF9BEFD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📊 本章指标概览</w:t>
      </w:r>
    </w:p>
    <w:p w14:paraId="3C2CA0EA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渠道维度 / 时间趋势 / LTV比值 / 漏斗转化 / 同业对标</w:t>
      </w:r>
    </w:p>
    <w:p w14:paraId="4A9C7D3A">
      <w:r>
        <w:t>────────────────────────────────────────</w:t>
      </w:r>
    </w:p>
    <w:p w14:paraId="21A118A5">
      <w:r>
        <w:br w:type="page"/>
      </w:r>
    </w:p>
    <w:p w14:paraId="11113533">
      <w:pPr>
        <w:jc w:val="left"/>
      </w:pPr>
      <w:r>
        <w:rPr>
          <w:rFonts w:ascii="微软雅黑" w:hAnsi="微软雅黑" w:eastAsia="微软雅黑"/>
          <w:b/>
          <w:sz w:val="36"/>
        </w:rPr>
        <w:t>第六章  盈利与效率指标</w:t>
      </w:r>
    </w:p>
    <w:p w14:paraId="0380EC75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盈利与效率指标是风控的终极目标。本章指标聚焦获客成本、运营效率和盈利能力，帮助团队验证风控策略的商业价值。</w:t>
      </w:r>
    </w:p>
    <w:p w14:paraId="7A63DDB2"/>
    <w:p w14:paraId="4A462CF0">
      <w:pPr>
        <w:jc w:val="center"/>
      </w:pPr>
      <w:r>
        <w:rPr>
          <w:rFonts w:ascii="微软雅黑" w:hAnsi="微软雅黑" w:eastAsia="微软雅黑"/>
          <w:b/>
          <w:sz w:val="24"/>
        </w:rPr>
        <w:t>本章指标概览（共7个指标）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11833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1F4E79"/>
          </w:tcPr>
          <w:p w14:paraId="146CE16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序号</w:t>
            </w:r>
          </w:p>
        </w:tc>
        <w:tc>
          <w:tcPr>
            <w:tcW w:w="1440" w:type="dxa"/>
            <w:shd w:val="clear" w:color="auto" w:fill="1F4E79"/>
          </w:tcPr>
          <w:p w14:paraId="1E18E14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指标名称</w:t>
            </w:r>
          </w:p>
        </w:tc>
        <w:tc>
          <w:tcPr>
            <w:tcW w:w="1440" w:type="dxa"/>
            <w:shd w:val="clear" w:color="auto" w:fill="1F4E79"/>
          </w:tcPr>
          <w:p w14:paraId="4E3D177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英文缩写</w:t>
            </w:r>
          </w:p>
        </w:tc>
        <w:tc>
          <w:tcPr>
            <w:tcW w:w="1440" w:type="dxa"/>
            <w:shd w:val="clear" w:color="auto" w:fill="1F4E79"/>
          </w:tcPr>
          <w:p w14:paraId="0B02DA5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指标分类</w:t>
            </w:r>
          </w:p>
        </w:tc>
        <w:tc>
          <w:tcPr>
            <w:tcW w:w="1440" w:type="dxa"/>
            <w:shd w:val="clear" w:color="auto" w:fill="1F4E79"/>
          </w:tcPr>
          <w:p w14:paraId="0EF8659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参考阈值</w:t>
            </w:r>
          </w:p>
        </w:tc>
        <w:tc>
          <w:tcPr>
            <w:tcW w:w="1440" w:type="dxa"/>
            <w:shd w:val="clear" w:color="auto" w:fill="1F4E79"/>
          </w:tcPr>
          <w:p w14:paraId="3E06906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数据频率</w:t>
            </w:r>
          </w:p>
        </w:tc>
      </w:tr>
      <w:tr w14:paraId="47D02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DBCC07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1440" w:type="dxa"/>
          </w:tcPr>
          <w:p w14:paraId="0D134EF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获客成本(CAC)</w:t>
            </w:r>
          </w:p>
        </w:tc>
        <w:tc>
          <w:tcPr>
            <w:tcW w:w="1440" w:type="dxa"/>
          </w:tcPr>
          <w:p w14:paraId="4DCDA38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Customer Acquisition Cost</w:t>
            </w:r>
          </w:p>
        </w:tc>
        <w:tc>
          <w:tcPr>
            <w:tcW w:w="1440" w:type="dxa"/>
          </w:tcPr>
          <w:p w14:paraId="59AA53E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获客效率</w:t>
            </w:r>
          </w:p>
        </w:tc>
        <w:tc>
          <w:tcPr>
            <w:tcW w:w="1440" w:type="dxa"/>
          </w:tcPr>
          <w:p w14:paraId="3FF78AE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LTV/CAC&gt;3</w:t>
            </w:r>
          </w:p>
        </w:tc>
        <w:tc>
          <w:tcPr>
            <w:tcW w:w="1440" w:type="dxa"/>
          </w:tcPr>
          <w:p w14:paraId="1630399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月/季</w:t>
            </w:r>
          </w:p>
        </w:tc>
      </w:tr>
      <w:tr w14:paraId="2A743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D6E4F0"/>
          </w:tcPr>
          <w:p w14:paraId="5012392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1440" w:type="dxa"/>
            <w:shd w:val="clear" w:color="auto" w:fill="D6E4F0"/>
          </w:tcPr>
          <w:p w14:paraId="05311C5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运营成本率</w:t>
            </w:r>
          </w:p>
        </w:tc>
        <w:tc>
          <w:tcPr>
            <w:tcW w:w="1440" w:type="dxa"/>
            <w:shd w:val="clear" w:color="auto" w:fill="D6E4F0"/>
          </w:tcPr>
          <w:p w14:paraId="72F1975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Operating Cost Ratio</w:t>
            </w:r>
          </w:p>
        </w:tc>
        <w:tc>
          <w:tcPr>
            <w:tcW w:w="1440" w:type="dxa"/>
            <w:shd w:val="clear" w:color="auto" w:fill="D6E4F0"/>
          </w:tcPr>
          <w:p w14:paraId="3A6B78E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运营效率</w:t>
            </w:r>
          </w:p>
        </w:tc>
        <w:tc>
          <w:tcPr>
            <w:tcW w:w="1440" w:type="dxa"/>
            <w:shd w:val="clear" w:color="auto" w:fill="D6E4F0"/>
          </w:tcPr>
          <w:p w14:paraId="06DF131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&lt; 15%</w:t>
            </w:r>
          </w:p>
        </w:tc>
        <w:tc>
          <w:tcPr>
            <w:tcW w:w="1440" w:type="dxa"/>
            <w:shd w:val="clear" w:color="auto" w:fill="D6E4F0"/>
          </w:tcPr>
          <w:p w14:paraId="4CC48E4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月/季</w:t>
            </w:r>
          </w:p>
        </w:tc>
      </w:tr>
      <w:tr w14:paraId="0EFF2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B7AE8F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1440" w:type="dxa"/>
          </w:tcPr>
          <w:p w14:paraId="1A012F3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净息差(NIM)</w:t>
            </w:r>
          </w:p>
        </w:tc>
        <w:tc>
          <w:tcPr>
            <w:tcW w:w="1440" w:type="dxa"/>
          </w:tcPr>
          <w:p w14:paraId="37610DC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Net Interest Margin</w:t>
            </w:r>
          </w:p>
        </w:tc>
        <w:tc>
          <w:tcPr>
            <w:tcW w:w="1440" w:type="dxa"/>
          </w:tcPr>
          <w:p w14:paraId="1B3E340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盈利能力</w:t>
            </w:r>
          </w:p>
        </w:tc>
        <w:tc>
          <w:tcPr>
            <w:tcW w:w="1440" w:type="dxa"/>
          </w:tcPr>
          <w:p w14:paraId="61F8FD2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&gt; 8%</w:t>
            </w:r>
          </w:p>
        </w:tc>
        <w:tc>
          <w:tcPr>
            <w:tcW w:w="1440" w:type="dxa"/>
          </w:tcPr>
          <w:p w14:paraId="614B3AF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月/季</w:t>
            </w:r>
          </w:p>
        </w:tc>
      </w:tr>
      <w:tr w14:paraId="07A40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D6E4F0"/>
          </w:tcPr>
          <w:p w14:paraId="691431D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1440" w:type="dxa"/>
            <w:shd w:val="clear" w:color="auto" w:fill="D6E4F0"/>
          </w:tcPr>
          <w:p w14:paraId="6C07C00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RAROC</w:t>
            </w:r>
          </w:p>
        </w:tc>
        <w:tc>
          <w:tcPr>
            <w:tcW w:w="1440" w:type="dxa"/>
            <w:shd w:val="clear" w:color="auto" w:fill="D6E4F0"/>
          </w:tcPr>
          <w:p w14:paraId="7D7123D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Risk-Adjusted Return on Capital</w:t>
            </w:r>
          </w:p>
        </w:tc>
        <w:tc>
          <w:tcPr>
            <w:tcW w:w="1440" w:type="dxa"/>
            <w:shd w:val="clear" w:color="auto" w:fill="D6E4F0"/>
          </w:tcPr>
          <w:p w14:paraId="6D56800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盈利能力</w:t>
            </w:r>
          </w:p>
        </w:tc>
        <w:tc>
          <w:tcPr>
            <w:tcW w:w="1440" w:type="dxa"/>
            <w:shd w:val="clear" w:color="auto" w:fill="D6E4F0"/>
          </w:tcPr>
          <w:p w14:paraId="477CA74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&gt; 15%</w:t>
            </w:r>
          </w:p>
        </w:tc>
        <w:tc>
          <w:tcPr>
            <w:tcW w:w="1440" w:type="dxa"/>
            <w:shd w:val="clear" w:color="auto" w:fill="D6E4F0"/>
          </w:tcPr>
          <w:p w14:paraId="0D419B7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季</w:t>
            </w:r>
          </w:p>
        </w:tc>
      </w:tr>
      <w:tr w14:paraId="0EFEA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0AA370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1440" w:type="dxa"/>
          </w:tcPr>
          <w:p w14:paraId="0BF87F3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资产收益率(ROA)</w:t>
            </w:r>
          </w:p>
        </w:tc>
        <w:tc>
          <w:tcPr>
            <w:tcW w:w="1440" w:type="dxa"/>
          </w:tcPr>
          <w:p w14:paraId="3B60F2F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Return on Assets</w:t>
            </w:r>
          </w:p>
        </w:tc>
        <w:tc>
          <w:tcPr>
            <w:tcW w:w="1440" w:type="dxa"/>
          </w:tcPr>
          <w:p w14:paraId="0333B37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盈利能力</w:t>
            </w:r>
          </w:p>
        </w:tc>
        <w:tc>
          <w:tcPr>
            <w:tcW w:w="1440" w:type="dxa"/>
          </w:tcPr>
          <w:p w14:paraId="55DA91B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&gt; 2%</w:t>
            </w:r>
          </w:p>
        </w:tc>
        <w:tc>
          <w:tcPr>
            <w:tcW w:w="1440" w:type="dxa"/>
          </w:tcPr>
          <w:p w14:paraId="56449D9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季</w:t>
            </w:r>
          </w:p>
        </w:tc>
      </w:tr>
      <w:tr w14:paraId="3D062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D6E4F0"/>
          </w:tcPr>
          <w:p w14:paraId="04EB3E4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1440" w:type="dxa"/>
            <w:shd w:val="clear" w:color="auto" w:fill="D6E4F0"/>
          </w:tcPr>
          <w:p w14:paraId="6515441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UE%(单位经济模型)</w:t>
            </w:r>
          </w:p>
        </w:tc>
        <w:tc>
          <w:tcPr>
            <w:tcW w:w="1440" w:type="dxa"/>
            <w:shd w:val="clear" w:color="auto" w:fill="D6E4F0"/>
          </w:tcPr>
          <w:p w14:paraId="5F5A45F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Unit Economics</w:t>
            </w:r>
          </w:p>
        </w:tc>
        <w:tc>
          <w:tcPr>
            <w:tcW w:w="1440" w:type="dxa"/>
            <w:shd w:val="clear" w:color="auto" w:fill="D6E4F0"/>
          </w:tcPr>
          <w:p w14:paraId="095B199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商业验证</w:t>
            </w:r>
          </w:p>
        </w:tc>
        <w:tc>
          <w:tcPr>
            <w:tcW w:w="1440" w:type="dxa"/>
            <w:shd w:val="clear" w:color="auto" w:fill="D6E4F0"/>
          </w:tcPr>
          <w:p w14:paraId="11E2C70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转正</w:t>
            </w:r>
          </w:p>
        </w:tc>
        <w:tc>
          <w:tcPr>
            <w:tcW w:w="1440" w:type="dxa"/>
            <w:shd w:val="clear" w:color="auto" w:fill="D6E4F0"/>
          </w:tcPr>
          <w:p w14:paraId="1F6E0B1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月/季</w:t>
            </w:r>
          </w:p>
        </w:tc>
      </w:tr>
      <w:tr w14:paraId="5027D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6CDF35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1440" w:type="dxa"/>
          </w:tcPr>
          <w:p w14:paraId="0E45087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CLTV</w:t>
            </w:r>
          </w:p>
        </w:tc>
        <w:tc>
          <w:tcPr>
            <w:tcW w:w="1440" w:type="dxa"/>
          </w:tcPr>
          <w:p w14:paraId="5859325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Customer Lifetime Value</w:t>
            </w:r>
          </w:p>
        </w:tc>
        <w:tc>
          <w:tcPr>
            <w:tcW w:w="1440" w:type="dxa"/>
          </w:tcPr>
          <w:p w14:paraId="355C738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客户价值</w:t>
            </w:r>
          </w:p>
        </w:tc>
        <w:tc>
          <w:tcPr>
            <w:tcW w:w="1440" w:type="dxa"/>
          </w:tcPr>
          <w:p w14:paraId="299E4B1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LTV/CAC&gt;3</w:t>
            </w:r>
          </w:p>
        </w:tc>
        <w:tc>
          <w:tcPr>
            <w:tcW w:w="1440" w:type="dxa"/>
          </w:tcPr>
          <w:p w14:paraId="0A869DD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月/季</w:t>
            </w:r>
          </w:p>
        </w:tc>
      </w:tr>
    </w:tbl>
    <w:p w14:paraId="586BF4EF"/>
    <w:p w14:paraId="1899D79D">
      <w:pPr>
        <w:jc w:val="left"/>
      </w:pPr>
      <w:r>
        <w:rPr>
          <w:rFonts w:ascii="微软雅黑" w:hAnsi="微软雅黑" w:eastAsia="微软雅黑"/>
          <w:b/>
          <w:sz w:val="28"/>
        </w:rPr>
        <w:t>6.1  获客成本(CAC)</w:t>
      </w:r>
    </w:p>
    <w:p w14:paraId="57F51B13">
      <w:pPr>
        <w:jc w:val="left"/>
      </w:pPr>
      <w:r>
        <w:rPr>
          <w:rFonts w:ascii="微软雅黑" w:hAnsi="微软雅黑" w:eastAsia="微软雅黑"/>
          <w:b w:val="0"/>
          <w:sz w:val="22"/>
        </w:rPr>
        <w:t>Customer Acquisition Cost</w:t>
      </w:r>
    </w:p>
    <w:p w14:paraId="6712504E">
      <w:r>
        <w:t>────────────────────────────────────────</w:t>
      </w:r>
    </w:p>
    <w:p w14:paraId="037CFAF6">
      <w:pPr>
        <w:jc w:val="left"/>
      </w:pPr>
      <w:r>
        <w:rPr>
          <w:rFonts w:ascii="微软雅黑" w:hAnsi="微软雅黑" w:eastAsia="微软雅黑"/>
          <w:b/>
          <w:sz w:val="28"/>
        </w:rPr>
        <w:t>6.2  运营成本率</w:t>
      </w:r>
    </w:p>
    <w:p w14:paraId="534EF62E">
      <w:pPr>
        <w:jc w:val="left"/>
      </w:pPr>
      <w:r>
        <w:rPr>
          <w:rFonts w:ascii="微软雅黑" w:hAnsi="微软雅黑" w:eastAsia="微软雅黑"/>
          <w:b w:val="0"/>
          <w:sz w:val="22"/>
        </w:rPr>
        <w:t>Operating Cost Ratio</w:t>
      </w:r>
    </w:p>
    <w:p w14:paraId="78D6D207">
      <w:pPr>
        <w:jc w:val="left"/>
      </w:pPr>
      <w:r>
        <w:rPr>
          <w:rFonts w:ascii="微软雅黑" w:hAnsi="微软雅黑" w:eastAsia="微软雅黑"/>
          <w:b/>
          <w:sz w:val="22"/>
        </w:rPr>
        <w:t>📐 计算口径</w:t>
      </w:r>
    </w:p>
    <w:p w14:paraId="2D522202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UE% = （收入 - 成本)/GMV</w:t>
      </w:r>
    </w:p>
    <w:p w14:paraId="2DF11476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= (利息收入 + 罚息 + 其他收入 - 坏账 - 资金成本 - 运营成本 - 其他成本)/GMV</w:t>
      </w:r>
    </w:p>
    <w:p w14:paraId="758BF5E0">
      <w:pPr>
        <w:jc w:val="left"/>
      </w:pPr>
      <w:r>
        <w:rPr>
          <w:rFonts w:ascii="微软雅黑" w:hAnsi="微软雅黑" w:eastAsia="微软雅黑"/>
          <w:b/>
          <w:sz w:val="22"/>
        </w:rPr>
        <w:t>💡 作用与意义</w:t>
      </w:r>
    </w:p>
    <w:p w14:paraId="51C8C029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商业模式可行性验证：UE% &gt; 0 是企业生存的底线。如果UE%为负，规模越大亏损越严重（伪需求）</w:t>
      </w:r>
    </w:p>
    <w:p w14:paraId="5E18EAB2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衡量增长质量：区分“烧钱换来的增长”和“有价值的增长”。</w:t>
      </w:r>
    </w:p>
    <w:p w14:paraId="736BD393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定价与成本平衡：反映定价策略是否覆盖了风险与资金成本。</w:t>
      </w:r>
    </w:p>
    <w:p w14:paraId="245E5DEF">
      <w:pPr>
        <w:jc w:val="left"/>
      </w:pPr>
      <w:r>
        <w:rPr>
          <w:rFonts w:ascii="微软雅黑" w:hAnsi="微软雅黑" w:eastAsia="微软雅黑"/>
          <w:b/>
          <w:sz w:val="22"/>
        </w:rPr>
        <w:t>🎯 业务指导</w:t>
      </w:r>
    </w:p>
    <w:p w14:paraId="704BFBC6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建立ROA的杜邦分解模型：ROA = 净利润率 × 资产周转率。</w:t>
      </w:r>
    </w:p>
    <w:p w14:paraId="4037388E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每季度进行ROA趋势分析和同业对标。</w:t>
      </w:r>
    </w:p>
    <w:p w14:paraId="105481D7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当ROA下降时，从利润表和资产负债表两端做归因分析。</w:t>
      </w:r>
    </w:p>
    <w:p w14:paraId="06E3161E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ROA目标应纳入公司年度战略规划和预算管理。</w:t>
      </w:r>
    </w:p>
    <w:p w14:paraId="44E3BDE4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将ROA改善目标分解到各业务条线，形成全员利润意识。</w:t>
      </w:r>
    </w:p>
    <w:p w14:paraId="24B15BE0">
      <w:pPr>
        <w:jc w:val="left"/>
      </w:pPr>
      <w:r>
        <w:rPr>
          <w:rFonts w:ascii="微软雅黑" w:hAnsi="微软雅黑" w:eastAsia="微软雅黑"/>
          <w:b/>
          <w:sz w:val="22"/>
        </w:rPr>
        <w:t>📊 分析维度</w:t>
      </w:r>
    </w:p>
    <w:p w14:paraId="249971DB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时间趋势 / 杜邦分解 / 同业对标 / 利润表归因</w:t>
      </w:r>
    </w:p>
    <w:p w14:paraId="48B17AB9">
      <w:r>
        <w:t>────────────────────────────────────────</w:t>
      </w:r>
    </w:p>
    <w:p w14:paraId="675DB88A">
      <w:pPr>
        <w:jc w:val="left"/>
      </w:pPr>
      <w:r>
        <w:rPr>
          <w:rFonts w:ascii="微软雅黑" w:hAnsi="微软雅黑" w:eastAsia="微软雅黑"/>
          <w:b/>
          <w:sz w:val="28"/>
        </w:rPr>
        <w:t>6.3  净息差(NIM)</w:t>
      </w:r>
    </w:p>
    <w:p w14:paraId="17399C17">
      <w:pPr>
        <w:jc w:val="left"/>
      </w:pPr>
      <w:r>
        <w:rPr>
          <w:rFonts w:ascii="微软雅黑" w:hAnsi="微软雅黑" w:eastAsia="微软雅黑"/>
          <w:b w:val="0"/>
          <w:sz w:val="22"/>
        </w:rPr>
        <w:t>Net Interest Margin</w:t>
      </w:r>
    </w:p>
    <w:p w14:paraId="5A5BE0B6">
      <w:r>
        <w:t>────────────────────────────────────────</w:t>
      </w:r>
    </w:p>
    <w:p w14:paraId="6E2B2E9D">
      <w:pPr>
        <w:jc w:val="left"/>
      </w:pPr>
      <w:r>
        <w:rPr>
          <w:rFonts w:ascii="微软雅黑" w:hAnsi="微软雅黑" w:eastAsia="微软雅黑"/>
          <w:b/>
          <w:sz w:val="28"/>
        </w:rPr>
        <w:t>6.4  RAROC</w:t>
      </w:r>
    </w:p>
    <w:p w14:paraId="19F06BA4">
      <w:pPr>
        <w:jc w:val="left"/>
      </w:pPr>
      <w:r>
        <w:rPr>
          <w:rFonts w:ascii="微软雅黑" w:hAnsi="微软雅黑" w:eastAsia="微软雅黑"/>
          <w:b w:val="0"/>
          <w:sz w:val="22"/>
        </w:rPr>
        <w:t>Risk-Adjusted Return on Capital</w:t>
      </w:r>
    </w:p>
    <w:p w14:paraId="026BD767">
      <w:pPr>
        <w:jc w:val="left"/>
      </w:pPr>
      <w:r>
        <w:rPr>
          <w:rFonts w:ascii="微软雅黑" w:hAnsi="微软雅黑" w:eastAsia="微软雅黑"/>
          <w:b/>
          <w:sz w:val="22"/>
        </w:rPr>
        <w:t>📐 计算口径</w:t>
      </w:r>
    </w:p>
    <w:p w14:paraId="2B0531A5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ROA = （净利润 / 平均总资产）× 100%</w:t>
      </w:r>
    </w:p>
    <w:p w14:paraId="6FD5653E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平均总资产 = （期初总资产 + 期末总资产）/ 2</w:t>
      </w:r>
    </w:p>
    <w:p w14:paraId="03C68717">
      <w:pPr>
        <w:jc w:val="left"/>
      </w:pPr>
      <w:r>
        <w:rPr>
          <w:rFonts w:ascii="微软雅黑" w:hAnsi="微软雅黑" w:eastAsia="微软雅黑"/>
          <w:b/>
          <w:sz w:val="22"/>
        </w:rPr>
        <w:t>💡 作用与意义</w:t>
      </w:r>
    </w:p>
    <w:p w14:paraId="39E6F0EA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ROA是衡量消费金融机构整体盈利能力的终极指标。</w:t>
      </w:r>
    </w:p>
    <w:p w14:paraId="3BB143F1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ROA综合反映了收入能力、成本控制、风险管理等多维度的经营效果。</w:t>
      </w:r>
    </w:p>
    <w:p w14:paraId="587B14B5">
      <w:pPr>
        <w:jc w:val="left"/>
      </w:pPr>
      <w:r>
        <w:rPr>
          <w:rFonts w:ascii="微软雅黑" w:hAnsi="微软雅黑" w:eastAsia="微软雅黑"/>
          <w:b/>
          <w:sz w:val="22"/>
        </w:rPr>
        <w:t>📊 分析维度</w:t>
      </w:r>
    </w:p>
    <w:p w14:paraId="1B0A746D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产品维度 / 渠道维度 / 客群分层 / 时间趋势 / 资本成本对标</w:t>
      </w:r>
    </w:p>
    <w:p w14:paraId="2328DBD5">
      <w:r>
        <w:t>────────────────────────────────────────</w:t>
      </w:r>
    </w:p>
    <w:p w14:paraId="5310020F">
      <w:pPr>
        <w:jc w:val="left"/>
      </w:pPr>
      <w:r>
        <w:rPr>
          <w:rFonts w:ascii="微软雅黑" w:hAnsi="微软雅黑" w:eastAsia="微软雅黑"/>
          <w:b/>
          <w:sz w:val="28"/>
        </w:rPr>
        <w:t>6.5  资产收益率(ROA)</w:t>
      </w:r>
    </w:p>
    <w:p w14:paraId="222BE87C">
      <w:pPr>
        <w:jc w:val="left"/>
      </w:pPr>
      <w:r>
        <w:rPr>
          <w:rFonts w:ascii="微软雅黑" w:hAnsi="微软雅黑" w:eastAsia="微软雅黑"/>
          <w:b w:val="0"/>
          <w:sz w:val="22"/>
        </w:rPr>
        <w:t>Return on Assets</w:t>
      </w:r>
    </w:p>
    <w:p w14:paraId="57865779">
      <w:r>
        <w:t>────────────────────────────────────────</w:t>
      </w:r>
    </w:p>
    <w:p w14:paraId="268EA415">
      <w:pPr>
        <w:jc w:val="left"/>
      </w:pPr>
      <w:r>
        <w:rPr>
          <w:rFonts w:ascii="微软雅黑" w:hAnsi="微软雅黑" w:eastAsia="微软雅黑"/>
          <w:b/>
          <w:sz w:val="28"/>
        </w:rPr>
        <w:t>6.6  UE%(单位经济模型)</w:t>
      </w:r>
    </w:p>
    <w:p w14:paraId="27E60A33">
      <w:pPr>
        <w:jc w:val="left"/>
      </w:pPr>
      <w:r>
        <w:rPr>
          <w:rFonts w:ascii="微软雅黑" w:hAnsi="微软雅黑" w:eastAsia="微软雅黑"/>
          <w:b w:val="0"/>
          <w:sz w:val="22"/>
        </w:rPr>
        <w:t>Unit Economics</w:t>
      </w:r>
    </w:p>
    <w:p w14:paraId="022313D3">
      <w:r>
        <w:t>────────────────────────────────────────</w:t>
      </w:r>
    </w:p>
    <w:p w14:paraId="04AA8F3F">
      <w:pPr>
        <w:jc w:val="left"/>
      </w:pPr>
      <w:r>
        <w:rPr>
          <w:rFonts w:ascii="微软雅黑" w:hAnsi="微软雅黑" w:eastAsia="微软雅黑"/>
          <w:b/>
          <w:sz w:val="28"/>
        </w:rPr>
        <w:t>6.7  CLTV</w:t>
      </w:r>
    </w:p>
    <w:p w14:paraId="2FC14EC0">
      <w:pPr>
        <w:jc w:val="left"/>
      </w:pPr>
      <w:r>
        <w:rPr>
          <w:rFonts w:ascii="微软雅黑" w:hAnsi="微软雅黑" w:eastAsia="微软雅黑"/>
          <w:b w:val="0"/>
          <w:sz w:val="22"/>
        </w:rPr>
        <w:t>Customer Lifetime Value</w:t>
      </w:r>
    </w:p>
    <w:p w14:paraId="641B884D">
      <w:pPr>
        <w:jc w:val="left"/>
      </w:pPr>
      <w:r>
        <w:rPr>
          <w:rFonts w:ascii="微软雅黑" w:hAnsi="微软雅黑" w:eastAsia="微软雅黑"/>
          <w:b/>
          <w:sz w:val="22"/>
        </w:rPr>
        <w:t>💡 作用与意义</w:t>
      </w:r>
    </w:p>
    <w:p w14:paraId="1344A34E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决定获客成本上限：LTV是你的“钱包厚度”，它决定了你最多能花多少钱（CAC）去买一个用户。</w:t>
      </w:r>
    </w:p>
    <w:p w14:paraId="49ED5F7D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评估客户质量：LTV高说明客户留存久、贡献多、风险低。</w:t>
      </w:r>
    </w:p>
    <w:p w14:paraId="65DAC771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商业模式试金石：如果 LTV&lt;CAC ，说明商业模式不成立，必须重构。</w:t>
      </w:r>
    </w:p>
    <w:p w14:paraId="3EFEFEC6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户分层依据：识别“超级用户”，指导资源向高LTV用户倾斜。a</w:t>
      </w:r>
    </w:p>
    <w:p w14:paraId="07857A34">
      <w:pPr>
        <w:jc w:val="left"/>
      </w:pPr>
      <w:r>
        <w:rPr>
          <w:rFonts w:ascii="微软雅黑" w:hAnsi="微软雅黑" w:eastAsia="微软雅黑"/>
          <w:b/>
          <w:sz w:val="22"/>
        </w:rPr>
        <w:t>🎯 业务指导</w:t>
      </w:r>
    </w:p>
    <w:p w14:paraId="05824B27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LTV/CAC 黄金法则：</w:t>
      </w:r>
    </w:p>
    <w:p w14:paraId="0A175D14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LTV/CAC&gt;3 ：非常健康，可以大胆投放。</w:t>
      </w:r>
    </w:p>
    <w:p w14:paraId="2C1E4C1E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1&lt;LTV/CAC&lt;3 ：有盈利空间，但需优化效率。</w:t>
      </w:r>
    </w:p>
    <w:p w14:paraId="08D0CF29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LTV/CAC&lt;1 ：卖一单亏一单，立即停止投放。</w:t>
      </w:r>
    </w:p>
    <w:p w14:paraId="52B24878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提升LTV的三驾马车：</w:t>
      </w:r>
    </w:p>
    <w:p w14:paraId="18F64359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提升ARPU：通过交叉销售、提额降息刺激支用。</w:t>
      </w:r>
    </w:p>
    <w:p w14:paraId="2ADA1CA1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延长生命周期：通过精细化运营、会员体系降低流失率。</w:t>
      </w:r>
    </w:p>
    <w:p w14:paraId="2ABFD2CF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降低风险成本：优化风控模型，减少坏账对净收入的侵蚀。</w:t>
      </w:r>
    </w:p>
    <w:p w14:paraId="71F975C6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早期预测：不要等用户流失了再算LTV。利用前3个月的数据（如FPD、首逾率、早期还款行为）建立回归模型，预测全生命周期LTV。</w:t>
      </w:r>
    </w:p>
    <w:p w14:paraId="520268CC">
      <w:pPr>
        <w:jc w:val="left"/>
      </w:pPr>
      <w:r>
        <w:rPr>
          <w:rFonts w:ascii="微软雅黑" w:hAnsi="微软雅黑" w:eastAsia="微软雅黑"/>
          <w:b/>
          <w:sz w:val="22"/>
        </w:rPr>
        <w:t>📊 分析维度</w:t>
      </w:r>
    </w:p>
    <w:p w14:paraId="4A2BE586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渠道LTV对比：对比信息流广告、应用商店、裂变渠道的LTV，指导预算分配。</w:t>
      </w:r>
    </w:p>
    <w:p w14:paraId="435AF0E9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风险分层LTV：A类客群（低风险）的LTV是否显著高于C类客群？如果差异不大，说明风险定价失效（好人坏人贡献一样，那何必做坏人生意）。</w:t>
      </w:r>
    </w:p>
    <w:p w14:paraId="7CC4F521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时间维度：LTV(12M)、LTV(24M)、LTV(36M) 的衰减曲线。</w:t>
      </w:r>
    </w:p>
    <w:p w14:paraId="62F6441F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产品维度：现金贷 vs 分期贷的LTV对比。</w:t>
      </w:r>
    </w:p>
    <w:p w14:paraId="402BB206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附录  指标关联矩阵</w:t>
      </w:r>
    </w:p>
    <w:p w14:paraId="6EF6F3B3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消费金融风控指标并非孤立存在，而是相互关联、相互影响的有机整体。下表展示了核心指标之间的依赖关系和主要应用场景，帮助风控团队建立系统化的指标监控思维。</w:t>
      </w:r>
    </w:p>
    <w:p w14:paraId="602582D9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💡 使用建议：</w:t>
      </w:r>
    </w:p>
    <w:p w14:paraId="4C673AB6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建立指标监控看板时，应将关联指标放在同一看板上进行联合监控</w:t>
      </w:r>
    </w:p>
    <w:p w14:paraId="12263FDA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当某个指标触发预警时，应同步查看其上下游关联指标的表现，进行交叉验证</w:t>
      </w:r>
    </w:p>
    <w:p w14:paraId="4321BA21">
      <w:r>
        <w:t>────────────────────────────────────────</w:t>
      </w:r>
    </w:p>
    <w:p w14:paraId="2E96CD36">
      <w:pPr>
        <w:jc w:val="left"/>
      </w:pPr>
      <w:r>
        <w:rPr>
          <w:rFonts w:ascii="微软雅黑" w:hAnsi="微软雅黑" w:eastAsia="微软雅黑"/>
          <w:b/>
          <w:sz w:val="36"/>
        </w:rPr>
        <w:t>附录  指标关联矩阵</w:t>
      </w:r>
    </w:p>
    <w:p w14:paraId="122428CF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消费金融风控指标并非孤立存在，而是相互关联、相互影响的有机整体。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AD49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1F4E79"/>
          </w:tcPr>
          <w:p w14:paraId="6767511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触发指标</w:t>
            </w:r>
          </w:p>
        </w:tc>
        <w:tc>
          <w:tcPr>
            <w:tcW w:w="2880" w:type="dxa"/>
            <w:shd w:val="clear" w:color="auto" w:fill="1F4E79"/>
          </w:tcPr>
          <w:p w14:paraId="5E6C759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传导路径</w:t>
            </w:r>
          </w:p>
        </w:tc>
        <w:tc>
          <w:tcPr>
            <w:tcW w:w="2880" w:type="dxa"/>
            <w:shd w:val="clear" w:color="auto" w:fill="1F4E79"/>
          </w:tcPr>
          <w:p w14:paraId="0856CF4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链类型</w:t>
            </w:r>
          </w:p>
        </w:tc>
      </w:tr>
      <w:tr w14:paraId="0EE1C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76E4B6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授信通过率 ↑</w:t>
            </w:r>
          </w:p>
        </w:tc>
        <w:tc>
          <w:tcPr>
            <w:tcW w:w="2880" w:type="dxa"/>
          </w:tcPr>
          <w:p w14:paraId="5A759FE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FPD7 ↑ → DPD30+ ↑ → NPL ↑</w:t>
            </w:r>
          </w:p>
        </w:tc>
        <w:tc>
          <w:tcPr>
            <w:tcW w:w="2880" w:type="dxa"/>
          </w:tcPr>
          <w:p w14:paraId="3813AC8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风险传导链</w:t>
            </w:r>
          </w:p>
        </w:tc>
      </w:tr>
      <w:tr w14:paraId="14791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D6E4F0"/>
          </w:tcPr>
          <w:p w14:paraId="3EC0C85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模型KS值 ↓</w:t>
            </w:r>
          </w:p>
        </w:tc>
        <w:tc>
          <w:tcPr>
            <w:tcW w:w="2880" w:type="dxa"/>
            <w:shd w:val="clear" w:color="auto" w:fill="D6E4F0"/>
          </w:tcPr>
          <w:p w14:paraId="239C020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FPD7 ↑ → 逾期滚动率 ↑</w:t>
            </w:r>
          </w:p>
        </w:tc>
        <w:tc>
          <w:tcPr>
            <w:tcW w:w="2880" w:type="dxa"/>
            <w:shd w:val="clear" w:color="auto" w:fill="D6E4F0"/>
          </w:tcPr>
          <w:p w14:paraId="5A4FFF1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模型退化链</w:t>
            </w:r>
          </w:p>
        </w:tc>
      </w:tr>
      <w:tr w14:paraId="57D86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47DDA7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获客成本(CAC) ↑</w:t>
            </w:r>
          </w:p>
        </w:tc>
        <w:tc>
          <w:tcPr>
            <w:tcW w:w="2880" w:type="dxa"/>
          </w:tcPr>
          <w:p w14:paraId="7EF7D1E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UE% ↓ → ROA ↓</w:t>
            </w:r>
          </w:p>
        </w:tc>
        <w:tc>
          <w:tcPr>
            <w:tcW w:w="2880" w:type="dxa"/>
          </w:tcPr>
          <w:p w14:paraId="3B84769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盈利恶化链</w:t>
            </w:r>
          </w:p>
        </w:tc>
      </w:tr>
      <w:tr w14:paraId="7CD6F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D6E4F0"/>
          </w:tcPr>
          <w:p w14:paraId="146A305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催收成功率 ↑</w:t>
            </w:r>
          </w:p>
        </w:tc>
        <w:tc>
          <w:tcPr>
            <w:tcW w:w="2880" w:type="dxa"/>
            <w:shd w:val="clear" w:color="auto" w:fill="D6E4F0"/>
          </w:tcPr>
          <w:p w14:paraId="27631E2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NPL ↓ → 拨备覆盖率 ↑</w:t>
            </w:r>
          </w:p>
        </w:tc>
        <w:tc>
          <w:tcPr>
            <w:tcW w:w="2880" w:type="dxa"/>
            <w:shd w:val="clear" w:color="auto" w:fill="D6E4F0"/>
          </w:tcPr>
          <w:p w14:paraId="6F2A682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资产改善链</w:t>
            </w:r>
          </w:p>
        </w:tc>
      </w:tr>
      <w:tr w14:paraId="6BFAF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FB499C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支用率 ↑</w:t>
            </w:r>
          </w:p>
        </w:tc>
        <w:tc>
          <w:tcPr>
            <w:tcW w:w="2880" w:type="dxa"/>
          </w:tcPr>
          <w:p w14:paraId="16438E5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在贷余额 ↑ → 收入 ↑</w:t>
            </w:r>
          </w:p>
        </w:tc>
        <w:tc>
          <w:tcPr>
            <w:tcW w:w="2880" w:type="dxa"/>
          </w:tcPr>
          <w:p w14:paraId="4105373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规模增长链</w:t>
            </w:r>
          </w:p>
        </w:tc>
      </w:tr>
      <w:tr w14:paraId="5C6B6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D6E4F0"/>
          </w:tcPr>
          <w:p w14:paraId="780B52B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提前还款率 ↑</w:t>
            </w:r>
          </w:p>
        </w:tc>
        <w:tc>
          <w:tcPr>
            <w:tcW w:w="2880" w:type="dxa"/>
            <w:shd w:val="clear" w:color="auto" w:fill="D6E4F0"/>
          </w:tcPr>
          <w:p w14:paraId="1F2213C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净息差(NIM) ↓ → ROA ↓</w:t>
            </w:r>
          </w:p>
        </w:tc>
        <w:tc>
          <w:tcPr>
            <w:tcW w:w="2880" w:type="dxa"/>
            <w:shd w:val="clear" w:color="auto" w:fill="D6E4F0"/>
          </w:tcPr>
          <w:p w14:paraId="7402793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效率下降链</w:t>
            </w:r>
          </w:p>
        </w:tc>
      </w:tr>
    </w:tbl>
    <w:p w14:paraId="4422A2C0"/>
    <w:p w14:paraId="7CEB706B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使用建议：</w:t>
      </w:r>
    </w:p>
    <w:p w14:paraId="26553582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• 建立指标监控看板时，应将关联指标放在同一看板上进行联合监控</w:t>
      </w:r>
    </w:p>
    <w:p w14:paraId="4950C9EA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• 当某个指标触发预警时，应同步查看其上下游关联指标的表现，进行交叉验证</w:t>
      </w:r>
    </w:p>
    <w:p w14:paraId="22192B06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• 指标间的传导链是风险分析的核心路径</w:t>
      </w:r>
    </w:p>
    <w:p w14:paraId="6D4DDD4F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• 不同层级的指标应服务于不同层级的决策者：高管关注NPL/ROA，中层关注FPD/滚动率，一线关注通过率/催收成功率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FA3469"/>
    <w:rsid w:val="02280782"/>
    <w:rsid w:val="06913258"/>
    <w:rsid w:val="0AB72152"/>
    <w:rsid w:val="0B095762"/>
    <w:rsid w:val="0BEB51B8"/>
    <w:rsid w:val="0D561737"/>
    <w:rsid w:val="0DB023EB"/>
    <w:rsid w:val="0E157152"/>
    <w:rsid w:val="0FDA73BD"/>
    <w:rsid w:val="10C64675"/>
    <w:rsid w:val="118E7D16"/>
    <w:rsid w:val="175B40AA"/>
    <w:rsid w:val="17B92A1C"/>
    <w:rsid w:val="17C12466"/>
    <w:rsid w:val="18571C67"/>
    <w:rsid w:val="18671A29"/>
    <w:rsid w:val="192615B9"/>
    <w:rsid w:val="1A50668F"/>
    <w:rsid w:val="21CA583E"/>
    <w:rsid w:val="21DA404F"/>
    <w:rsid w:val="24766C5A"/>
    <w:rsid w:val="24EA3666"/>
    <w:rsid w:val="2636458C"/>
    <w:rsid w:val="26F91E93"/>
    <w:rsid w:val="27E56B08"/>
    <w:rsid w:val="29370D96"/>
    <w:rsid w:val="2BC52ED8"/>
    <w:rsid w:val="2C0E4F04"/>
    <w:rsid w:val="2F507A2D"/>
    <w:rsid w:val="32564137"/>
    <w:rsid w:val="33507242"/>
    <w:rsid w:val="33991651"/>
    <w:rsid w:val="348708D3"/>
    <w:rsid w:val="35215623"/>
    <w:rsid w:val="3D3A3646"/>
    <w:rsid w:val="3D4419B8"/>
    <w:rsid w:val="3EB14A89"/>
    <w:rsid w:val="40944AE9"/>
    <w:rsid w:val="4286740D"/>
    <w:rsid w:val="43B670ED"/>
    <w:rsid w:val="45EC375C"/>
    <w:rsid w:val="49AD17B6"/>
    <w:rsid w:val="49D72121"/>
    <w:rsid w:val="4AAD2F08"/>
    <w:rsid w:val="4B737DFF"/>
    <w:rsid w:val="4E1049A7"/>
    <w:rsid w:val="50CF1F80"/>
    <w:rsid w:val="53856944"/>
    <w:rsid w:val="566A677A"/>
    <w:rsid w:val="5810112B"/>
    <w:rsid w:val="5AE66844"/>
    <w:rsid w:val="5B3657CC"/>
    <w:rsid w:val="5BE45A4A"/>
    <w:rsid w:val="5CF51E42"/>
    <w:rsid w:val="5FD014BF"/>
    <w:rsid w:val="5FF4730D"/>
    <w:rsid w:val="60633324"/>
    <w:rsid w:val="6BBB33D4"/>
    <w:rsid w:val="6BC805C4"/>
    <w:rsid w:val="6F8E7B9B"/>
    <w:rsid w:val="7104137A"/>
    <w:rsid w:val="71474744"/>
    <w:rsid w:val="72D64389"/>
    <w:rsid w:val="734737A0"/>
    <w:rsid w:val="74753DDB"/>
    <w:rsid w:val="74B0691A"/>
    <w:rsid w:val="753524B9"/>
    <w:rsid w:val="774C75D7"/>
    <w:rsid w:val="7BB262B3"/>
    <w:rsid w:val="7BCF7BDC"/>
    <w:rsid w:val="7C654A12"/>
    <w:rsid w:val="7C6D4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5222</Words>
  <Characters>7404</Characters>
  <Lines>0</Lines>
  <Paragraphs>0</Paragraphs>
  <TotalTime>0</TotalTime>
  <ScaleCrop>false</ScaleCrop>
  <LinksUpToDate>false</LinksUpToDate>
  <CharactersWithSpaces>8184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38671</dc:creator>
  <cp:lastModifiedBy>Mike</cp:lastModifiedBy>
  <dcterms:modified xsi:type="dcterms:W3CDTF">2026-05-14T06:26:30Z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eyJoZGlkIjoiODAyOGM3MWVlYmIxNTk2NWM3ODViMjJiYjUwZmJmYzUiLCJ1c2VySWQiOiI2MTM5NzkyNzEifQ==</vt:lpwstr>
  </property>
  <property fmtid="{D5CDD505-2E9C-101B-9397-08002B2CF9AE}" pid="3" name="KSOProductBuildVer">
    <vt:lpwstr>2052-12.1.0.25865</vt:lpwstr>
  </property>
  <property fmtid="{D5CDD505-2E9C-101B-9397-08002B2CF9AE}" pid="4" name="ICV">
    <vt:lpwstr>1083ECB237584B448BD104D09B09127A_12</vt:lpwstr>
  </property>
</Properties>
</file>