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787" w:val="right"/>
        </w:tabs>
        <w:pBdr>
          <w:bottom w:val="single" w:sz="12" w:space="6" w:color="1F4E79"/>
        </w:pBdr>
      </w:pPr>
      <w:r>
        <w:rPr>
          <w:rFonts w:ascii="Times New Roman" w:hAnsi="Times New Roman" w:eastAsia="楷体"/>
          <w:b/>
          <w:color w:val="595959"/>
          <w:sz w:val="21"/>
        </w:rPr>
        <w:tab/>
        <w:t>评审稿 · V1.0</w:t>
      </w:r>
    </w:p>
    <w:p>
      <w:r>
        <w:rPr>
          <w:rFonts w:ascii="Times New Roman" w:hAnsi="Times New Roman" w:eastAsia="宋体"/>
          <w:b w:val="0"/>
          <w:sz w:val="24"/>
        </w:rPr>
      </w:r>
    </w:p>
    <w:p>
      <w:r>
        <w:rPr>
          <w:rFonts w:ascii="Times New Roman" w:hAnsi="Times New Roman" w:eastAsia="宋体"/>
          <w:b w:val="0"/>
          <w:sz w:val="24"/>
        </w:rPr>
      </w:r>
    </w:p>
    <w:p>
      <w:pPr>
        <w:spacing w:after="40"/>
        <w:jc w:val="center"/>
      </w:pPr>
      <w:r>
        <w:rPr>
          <w:rFonts w:ascii="Times New Roman" w:hAnsi="Times New Roman" w:eastAsia="楷体"/>
          <w:b w:val="0"/>
          <w:color w:val="595959"/>
          <w:sz w:val="24"/>
        </w:rPr>
        <w:t>项目：消费信贷评分模型分箱与策略优化</w:t>
      </w:r>
    </w:p>
    <w:p>
      <w:r>
        <w:rPr>
          <w:rFonts w:ascii="Times New Roman" w:hAnsi="Times New Roman" w:eastAsia="宋体"/>
          <w:b w:val="0"/>
          <w:sz w:val="24"/>
        </w:rPr>
      </w:r>
    </w:p>
    <w:p>
      <w:r>
        <w:rPr>
          <w:rFonts w:ascii="Times New Roman" w:hAnsi="Times New Roman" w:eastAsia="宋体"/>
          <w:b w:val="0"/>
          <w:sz w:val="24"/>
        </w:rPr>
      </w:r>
    </w:p>
    <w:p>
      <w:pPr>
        <w:spacing w:after="80"/>
        <w:jc w:val="center"/>
      </w:pPr>
      <w:r>
        <w:rPr>
          <w:rFonts w:ascii="Times New Roman" w:hAnsi="Times New Roman" w:eastAsia="黑体"/>
          <w:b/>
          <w:color w:val="1F4E79"/>
          <w:sz w:val="52"/>
          <w:spacing w:val="40"/>
        </w:rPr>
        <w:t>模型分数分箱与策略阈值设定方法说明</w:t>
      </w:r>
    </w:p>
    <w:p>
      <w:pPr>
        <w:spacing w:after="40"/>
        <w:jc w:val="center"/>
      </w:pPr>
      <w:r>
        <w:rPr>
          <w:rFonts w:ascii="Times New Roman" w:hAnsi="Times New Roman" w:eastAsia="楷体"/>
          <w:b w:val="0"/>
          <w:color w:val="595959"/>
          <w:sz w:val="24"/>
          <w:spacing w:val="20"/>
        </w:rPr>
        <w:t>—— 等频初分 · 约束合箱 · 候选择优 · 阈值决策 · 独立验证 ——</w:t>
      </w:r>
    </w:p>
    <w:p>
      <w:r>
        <w:rPr>
          <w:rFonts w:ascii="Times New Roman" w:hAnsi="Times New Roman" w:eastAsia="宋体"/>
          <w:b w:val="0"/>
          <w:sz w:val="24"/>
        </w:rPr>
      </w:r>
    </w:p>
    <w:p>
      <w:r>
        <w:rPr>
          <w:rFonts w:ascii="Times New Roman" w:hAnsi="Times New Roman" w:eastAsia="宋体"/>
          <w:b w:val="0"/>
          <w:sz w:val="24"/>
        </w:rPr>
      </w:r>
    </w:p>
    <w:p>
      <w:pPr>
        <w:spacing w:after="80"/>
        <w:jc w:val="center"/>
      </w:pPr>
      <w:r>
        <w:rPr>
          <w:rFonts w:ascii="Times New Roman" w:hAnsi="Times New Roman" w:eastAsia="黑体"/>
          <w:b/>
          <w:color w:val="1F4E79"/>
          <w:sz w:val="30"/>
          <w:spacing w:val="60"/>
        </w:rPr>
        <w:t>目　　录</w:t>
      </w:r>
    </w:p>
    <w:p>
      <w:pPr>
        <w:pBdr>
          <w:bottom w:val="single" w:sz="12" w:space="4" w:color="1F4E79"/>
        </w:pBdr>
      </w:pPr>
    </w:p>
    <w:p>
      <w:pPr>
        <w:spacing w:before="240"/>
      </w:pPr>
      <w:r>
        <w:rPr>
          <w:rFonts w:ascii="Times New Roman" w:hAnsi="Times New Roman" w:eastAsia="宋体"/>
          <w:b w:val="0"/>
          <w:sz w:val="24"/>
        </w:rPr>
        <w:fldChar w:fldCharType="begin"/>
        <w:instrText xml:space="preserve">TOC \o "1-2" \h \z \u</w:instrText>
        <w:fldChar w:fldCharType="separate"/>
        <w:t>（目录域：在 Word 中右键此处选择“更新域”，或 Ctrl+A 后按 F9 生成目录）</w:t>
        <w:fldChar w:fldCharType="end"/>
      </w:r>
    </w:p>
    <w:p>
      <w:pPr>
        <w:sectPr>
          <w:pgSz w:w="11906" w:h="16838"/>
          <w:pgMar w:top="1440" w:right="1417" w:bottom="1440" w:left="1701" w:header="720" w:footer="720" w:gutter="0"/>
          <w:cols w:space="720"/>
          <w:docGrid w:linePitch="360"/>
        </w:sectPr>
      </w:pPr>
    </w:p>
    <w:p>
      <w:pPr>
        <w:pStyle w:val="Heading1"/>
        <w:keepNext/>
        <w:pageBreakBefore/>
        <w:pBdr>
          <w:bottom w:val="single" w:sz="12" w:space="4" w:color="1F4E79"/>
        </w:pBdr>
        <w:spacing w:before="280" w:after="160"/>
      </w:pPr>
      <w:r>
        <w:t>一、总体思路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消费信贷审批中，模型输出连续风险分（score_mlt），业务侧需要将其转化为稳定、单调、可解释的风险等级，并据此确定自动通过、人工审核、拒绝三段阈值。本文档说明当前分箱与阈值方案的方法论与验证逻辑，供评审确认。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整体流程：在 Development 上等频初分 → 约束自动合箱为 6~8 档（目标 7 档）→ 候选方案评分择优 → 映射全部切片 → 风险约束下确定阈值 → OOT 独立验证 → 输出 Excel 策略报告。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1F4E79"/>
          <w:left w:val="single" w:sz="12" w:color="1F4E79"/>
          <w:bottom w:val="single" w:sz="12" w:color="1F4E79"/>
          <w:right w:val="single" w:sz="12" w:color="1F4E79"/>
          <w:insideH w:val="single" w:sz="12" w:color="1F4E79"/>
          <w:insideV w:val="single" w:sz="12" w:color="1F4E79"/>
        </w:tblBorders>
      </w:tblPr>
      <w:tblGrid>
        <w:gridCol w:w="8788"/>
      </w:tblGrid>
      <w:tr>
        <w:tc>
          <w:tcPr>
            <w:tcW w:type="dxa" w:w="7654"/>
            <w:shd w:val="clear" w:fill="EAF1F8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9"/>
                <w:sz w:val="22"/>
              </w:rPr>
              <w:t>样本切分（Train / OOT）→ Train 内再切分（Development / Validation）</w:t>
            </w:r>
          </w:p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→ Development 上 20 等频初分 → 边界复用到全样本</w:t>
            </w:r>
          </w:p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→ 自动合箱（小箱清理 → 单调合并 → 档位压缩 → 候选生成）</w:t>
            </w:r>
          </w:p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→ 候选方案评分与选择 → 映射到全部切片</w:t>
            </w:r>
          </w:p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→ 验证（单调性 / PSI / AUC-KS / 月度稳定性）</w:t>
            </w:r>
          </w:p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→ 阈值曲线与三段策略 → 输出报告</w:t>
            </w:r>
          </w:p>
        </w:tc>
      </w:tr>
    </w:tbl>
    <w:p>
      <w:pPr>
        <w:keepNext/>
        <w:spacing w:after="160" w:before="80"/>
        <w:jc w:val="center"/>
      </w:pPr>
      <w:r>
        <w:rPr>
          <w:rFonts w:ascii="Times New Roman" w:hAnsi="Times New Roman" w:eastAsia="黑体"/>
          <w:b/>
          <w:color w:val="1F4E79"/>
          <w:sz w:val="21"/>
        </w:rPr>
        <w:t>图 1　整体技术路线</w:t>
      </w:r>
    </w:p>
    <w:p>
      <w:pPr>
        <w:pStyle w:val="Heading1"/>
        <w:keepNext/>
        <w:pageBreakBefore/>
        <w:pBdr>
          <w:bottom w:val="single" w:sz="12" w:space="4" w:color="1F4E79"/>
        </w:pBdr>
        <w:spacing w:before="280" w:after="160"/>
      </w:pPr>
      <w:r>
        <w:t>二、样本设计与风险指标</w:t>
      </w:r>
    </w:p>
    <w:p>
      <w:pPr>
        <w:pStyle w:val="Heading2"/>
        <w:keepNext/>
        <w:spacing w:before="160" w:after="160"/>
      </w:pPr>
      <w:r>
        <w:t>（一）样本切分</w:t>
      </w:r>
    </w:p>
    <w:p>
      <w:pPr>
        <w:keepNext/>
        <w:spacing w:after="80" w:before="160"/>
        <w:jc w:val="center"/>
      </w:pPr>
      <w:r>
        <w:rPr>
          <w:rFonts w:ascii="Times New Roman" w:hAnsi="Times New Roman" w:eastAsia="黑体"/>
          <w:b/>
          <w:color w:val="1F4E79"/>
          <w:sz w:val="21"/>
        </w:rPr>
        <w:t>表 1　样本切分设计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814"/>
            <w:vAlign w:val="center"/>
            <w:shd w:val="clear" w:fill="1F4E79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切片</w:t>
            </w:r>
          </w:p>
        </w:tc>
        <w:tc>
          <w:tcPr>
            <w:tcW w:type="dxa" w:w="3175"/>
            <w:vAlign w:val="center"/>
            <w:shd w:val="clear" w:fill="1F4E79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时间范围</w:t>
            </w:r>
          </w:p>
        </w:tc>
        <w:tc>
          <w:tcPr>
            <w:tcW w:type="dxa" w:w="4082"/>
            <w:vAlign w:val="center"/>
            <w:shd w:val="clear" w:fill="1F4E79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职责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Development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Train 内除最后 3 个月外的全部月份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学习分箱边界、执行合箱、检查约束与单调性</w:t>
            </w:r>
          </w:p>
        </w:tc>
      </w:tr>
      <w:tr>
        <w:tc>
          <w:tcPr>
            <w:tcW w:type="dxa" w:w="1814"/>
            <w:vAlign w:val="center"/>
            <w:shd w:val="clear" w:fill="EAF1F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Validation</w:t>
            </w:r>
          </w:p>
        </w:tc>
        <w:tc>
          <w:tcPr>
            <w:tcW w:type="dxa" w:w="3175"/>
            <w:vAlign w:val="center"/>
            <w:shd w:val="clear" w:fill="EAF1F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Train 内最后 3 个月</w:t>
            </w:r>
          </w:p>
        </w:tc>
        <w:tc>
          <w:tcPr>
            <w:tcW w:type="dxa" w:w="4082"/>
            <w:vAlign w:val="center"/>
            <w:shd w:val="clear" w:fill="EAF1F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评估跨期稳定性（PSI、倒挂），参与方案择优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OOT（时间外验证）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Train 截止月份之后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独立验证，不参与任何合箱与阈值调参</w:t>
            </w:r>
          </w:p>
        </w:tc>
      </w:tr>
    </w:tbl>
    <w:p>
      <w:pPr>
        <w:spacing w:line="336" w:lineRule="auto" w:after="40"/>
        <w:ind w:left="480" w:hanging="240"/>
        <w:jc w:val="both"/>
      </w:pPr>
      <w:r>
        <w:rPr>
          <w:rFonts w:ascii="Times New Roman" w:hAnsi="Times New Roman" w:eastAsia="宋体"/>
          <w:b w:val="0"/>
          <w:sz w:val="24"/>
        </w:rPr>
        <w:t>• 分箱边界仅在 Development 上学习，原样复用到 Validation、完整 Train 与 OOT，保证四切片口径一致。</w:t>
      </w:r>
    </w:p>
    <w:p>
      <w:pPr>
        <w:spacing w:line="336" w:lineRule="auto" w:after="40"/>
        <w:ind w:left="480" w:hanging="240"/>
        <w:jc w:val="both"/>
      </w:pPr>
      <w:r>
        <w:rPr>
          <w:rFonts w:ascii="Times New Roman" w:hAnsi="Times New Roman" w:eastAsia="宋体"/>
          <w:b w:val="0"/>
          <w:sz w:val="24"/>
        </w:rPr>
        <w:t>• Validation 模拟近期分布漂移，用于判断方案稳健性；OOT 全程不接触，作为最终“考卷”。</w:t>
      </w:r>
    </w:p>
    <w:p>
      <w:pPr>
        <w:pStyle w:val="Heading2"/>
        <w:keepNext/>
        <w:spacing w:before="160" w:after="160"/>
      </w:pPr>
      <w:r>
        <w:t>（二）风险指标</w:t>
      </w:r>
    </w:p>
    <w:p>
      <w:pPr>
        <w:keepNext/>
        <w:spacing w:after="80" w:before="160"/>
        <w:jc w:val="center"/>
      </w:pPr>
      <w:r>
        <w:rPr>
          <w:rFonts w:ascii="Times New Roman" w:hAnsi="Times New Roman" w:eastAsia="黑体"/>
          <w:b/>
          <w:color w:val="1F4E79"/>
          <w:sz w:val="21"/>
        </w:rPr>
        <w:t>表 2　风险指标体系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197"/>
        <w:gridCol w:w="2197"/>
        <w:gridCol w:w="2197"/>
        <w:gridCol w:w="2197"/>
      </w:tblGrid>
      <w:tr>
        <w:trPr>
          <w:tblHeader w:val="true"/>
        </w:trPr>
        <w:tc>
          <w:tcPr>
            <w:tcW w:type="dxa" w:w="1361"/>
            <w:vAlign w:val="center"/>
            <w:shd w:val="clear" w:fill="1F4E79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1474"/>
            <w:vAlign w:val="center"/>
            <w:shd w:val="clear" w:fill="1F4E79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3628"/>
            <w:vAlign w:val="center"/>
            <w:shd w:val="clear" w:fill="1F4E79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定义</w:t>
            </w:r>
          </w:p>
        </w:tc>
        <w:tc>
          <w:tcPr>
            <w:tcW w:type="dxa" w:w="2608"/>
            <w:vAlign w:val="center"/>
            <w:shd w:val="clear" w:fill="1F4E79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作用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观察窗口</w:t>
            </w:r>
          </w:p>
        </w:tc>
        <w:tc>
          <w:tcPr>
            <w:tcW w:type="dxa" w:w="1474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1M30+</w:t>
            </w:r>
          </w:p>
        </w:tc>
        <w:tc>
          <w:tcPr>
            <w:tcW w:type="dxa" w:w="3628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到期 1 个月内逾期 30 天以上</w:t>
            </w:r>
          </w:p>
        </w:tc>
        <w:tc>
          <w:tcPr>
            <w:tcW w:type="dxa" w:w="2608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短期风险，反应快</w:t>
            </w:r>
          </w:p>
        </w:tc>
      </w:tr>
      <w:tr>
        <w:tc>
          <w:tcPr>
            <w:tcW w:type="dxa" w:w="1361"/>
            <w:vAlign w:val="center"/>
            <w:shd w:val="clear" w:fill="EAF1F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观察窗口</w:t>
            </w:r>
          </w:p>
        </w:tc>
        <w:tc>
          <w:tcPr>
            <w:tcW w:type="dxa" w:w="1474"/>
            <w:vAlign w:val="center"/>
            <w:shd w:val="clear" w:fill="EAF1F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3M30+</w:t>
            </w:r>
          </w:p>
        </w:tc>
        <w:tc>
          <w:tcPr>
            <w:tcW w:type="dxa" w:w="3628"/>
            <w:vAlign w:val="center"/>
            <w:shd w:val="clear" w:fill="EAF1F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到期 3 个月内逾期 30 天以上</w:t>
            </w:r>
          </w:p>
        </w:tc>
        <w:tc>
          <w:tcPr>
            <w:tcW w:type="dxa" w:w="2608"/>
            <w:vAlign w:val="center"/>
            <w:shd w:val="clear" w:fill="EAF1F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中期风险，更成熟稳定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计量口径</w:t>
            </w:r>
          </w:p>
        </w:tc>
        <w:tc>
          <w:tcPr>
            <w:tcW w:type="dxa" w:w="1474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笔数逾期率</w:t>
            </w:r>
          </w:p>
        </w:tc>
        <w:tc>
          <w:tcPr>
            <w:tcW w:type="dxa" w:w="3628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逾期样本数 ÷ 成熟样本数</w:t>
            </w:r>
          </w:p>
        </w:tc>
        <w:tc>
          <w:tcPr>
            <w:tcW w:type="dxa" w:w="2608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人群风险暴露面</w:t>
            </w:r>
          </w:p>
        </w:tc>
      </w:tr>
      <w:tr>
        <w:tc>
          <w:tcPr>
            <w:tcW w:type="dxa" w:w="1361"/>
            <w:vAlign w:val="center"/>
            <w:shd w:val="clear" w:fill="EAF1F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计量口径</w:t>
            </w:r>
          </w:p>
        </w:tc>
        <w:tc>
          <w:tcPr>
            <w:tcW w:type="dxa" w:w="1474"/>
            <w:vAlign w:val="center"/>
            <w:shd w:val="clear" w:fill="EAF1F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金额逾期率</w:t>
            </w:r>
          </w:p>
        </w:tc>
        <w:tc>
          <w:tcPr>
            <w:tcW w:type="dxa" w:w="3628"/>
            <w:vAlign w:val="center"/>
            <w:shd w:val="clear" w:fill="EAF1F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逾期剩余本金 ÷ 成熟本金敞口</w:t>
            </w:r>
          </w:p>
        </w:tc>
        <w:tc>
          <w:tcPr>
            <w:tcW w:type="dxa" w:w="2608"/>
            <w:vAlign w:val="center"/>
            <w:shd w:val="clear" w:fill="EAF1F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金额损失强度</w:t>
            </w:r>
          </w:p>
        </w:tc>
      </w:tr>
    </w:tbl>
    <w:p>
      <w:pPr>
        <w:spacing w:line="336" w:lineRule="auto" w:after="40"/>
        <w:ind w:left="480" w:hanging="240"/>
        <w:jc w:val="both"/>
      </w:pPr>
      <w:r>
        <w:rPr>
          <w:rFonts w:ascii="Times New Roman" w:hAnsi="Times New Roman" w:eastAsia="宋体"/>
          <w:b w:val="0"/>
          <w:sz w:val="24"/>
        </w:rPr>
        <w:t>• 成熟样本定义：表现标签已确定（0/1）的样本才进入逾期率分母，未成熟样本不参与。</w:t>
      </w:r>
    </w:p>
    <w:p>
      <w:pPr>
        <w:spacing w:line="336" w:lineRule="auto" w:after="40"/>
        <w:ind w:left="480" w:hanging="240"/>
        <w:jc w:val="both"/>
      </w:pPr>
      <w:r>
        <w:rPr>
          <w:rFonts w:ascii="Times New Roman" w:hAnsi="Times New Roman" w:eastAsia="宋体"/>
          <w:b w:val="0"/>
          <w:sz w:val="24"/>
        </w:rPr>
        <w:t>• 合箱主指标：1M30+ 与 3M30+ 笔数逾期率双指标，任一出现相邻倒挂即触发合并；显著性检验锚定 3M30+。金额口径用于候选评价与策略验证。</w:t>
      </w:r>
    </w:p>
    <w:p>
      <w:pPr>
        <w:pStyle w:val="Heading1"/>
        <w:keepNext/>
        <w:pageBreakBefore/>
        <w:pBdr>
          <w:bottom w:val="single" w:sz="12" w:space="4" w:color="1F4E79"/>
        </w:pBdr>
        <w:spacing w:before="280" w:after="160"/>
      </w:pPr>
      <w:r>
        <w:t>三、分箱方法论</w:t>
      </w:r>
    </w:p>
    <w:p>
      <w:pPr>
        <w:pStyle w:val="Heading2"/>
        <w:keepNext/>
        <w:spacing w:before="160" w:after="160"/>
      </w:pPr>
      <w:r>
        <w:t>（一）初分与档位目标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 Development 上按分数分位数做 20 等频初分，区间规则 (left, right]，首尾扩展为 ±∞；分数重复过多时合并相同边界，实际箱数可能少于 20。自动合箱至 6~8 档，目标 7 档。</w:t>
      </w:r>
    </w:p>
    <w:p>
      <w:pPr>
        <w:pStyle w:val="Heading2"/>
        <w:keepNext/>
        <w:spacing w:before="160" w:after="160"/>
      </w:pPr>
      <w:r>
        <w:t>（二）单箱硬约束</w:t>
      </w:r>
    </w:p>
    <w:p>
      <w:pPr>
        <w:keepNext/>
        <w:spacing w:after="80" w:before="160"/>
        <w:jc w:val="center"/>
      </w:pPr>
      <w:r>
        <w:rPr>
          <w:rFonts w:ascii="Times New Roman" w:hAnsi="Times New Roman" w:eastAsia="黑体"/>
          <w:b/>
          <w:color w:val="1F4E79"/>
          <w:sz w:val="21"/>
        </w:rPr>
        <w:t>表 3　最终档位单箱硬约束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928"/>
            <w:vAlign w:val="center"/>
            <w:shd w:val="clear" w:fill="1F4E79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约束项</w:t>
            </w:r>
          </w:p>
        </w:tc>
        <w:tc>
          <w:tcPr>
            <w:tcW w:type="dxa" w:w="3175"/>
            <w:vAlign w:val="center"/>
            <w:shd w:val="clear" w:fill="1F4E79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普通箱要求</w:t>
            </w:r>
          </w:p>
        </w:tc>
        <w:tc>
          <w:tcPr>
            <w:tcW w:type="dxa" w:w="3969"/>
            <w:vAlign w:val="center"/>
            <w:shd w:val="clear" w:fill="1F4E79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样本占比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中间箱 ≥ 5%，头尾箱 ≥ 2.5%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尾部箱允许更小，保证极端风险可分档</w:t>
            </w:r>
          </w:p>
        </w:tc>
      </w:tr>
      <w:tr>
        <w:tc>
          <w:tcPr>
            <w:tcW w:type="dxa" w:w="1928"/>
            <w:vAlign w:val="center"/>
            <w:shd w:val="clear" w:fill="EAF1F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主指标成熟量</w:t>
            </w:r>
          </w:p>
        </w:tc>
        <w:tc>
          <w:tcPr>
            <w:tcW w:type="dxa" w:w="3175"/>
            <w:vAlign w:val="center"/>
            <w:shd w:val="clear" w:fill="EAF1F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≥ 1,000</w:t>
            </w:r>
          </w:p>
        </w:tc>
        <w:tc>
          <w:tcPr>
            <w:tcW w:type="dxa" w:w="3969"/>
            <w:vAlign w:val="center"/>
            <w:shd w:val="clear" w:fill="EAF1F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保证逾期率估计的统计稳健性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坏样本量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≥ 20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保证风险估计不是由个别样本驱动</w:t>
            </w:r>
          </w:p>
        </w:tc>
      </w:tr>
      <w:tr>
        <w:tc>
          <w:tcPr>
            <w:tcW w:type="dxa" w:w="1928"/>
            <w:vAlign w:val="center"/>
            <w:shd w:val="clear" w:fill="EAF1F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好样本量</w:t>
            </w:r>
          </w:p>
        </w:tc>
        <w:tc>
          <w:tcPr>
            <w:tcW w:type="dxa" w:w="3175"/>
            <w:vAlign w:val="center"/>
            <w:shd w:val="clear" w:fill="EAF1F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≥ 200</w:t>
            </w:r>
          </w:p>
        </w:tc>
        <w:tc>
          <w:tcPr>
            <w:tcW w:type="dxa" w:w="3969"/>
            <w:vAlign w:val="center"/>
            <w:shd w:val="clear" w:fill="EAF1F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保证低风险估计的稳定性</w:t>
            </w:r>
          </w:p>
        </w:tc>
      </w:tr>
    </w:tbl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同时引入极端人群圈选保护：默认把最好（低风险端）与最坏（高风险端）各 1 个初始箱圈定为极端箱，不允许常规合箱跨越其边界，并放宽约束（成熟量 ≥ 500，最好箱坏样本下限 0、最坏箱好样本下限 0）。最好 / 最坏人群分别对应自动通过与拒绝策略的关键结构，不能被普通合箱稀释。</w:t>
      </w:r>
    </w:p>
    <w:p>
      <w:pPr>
        <w:pStyle w:val="Heading2"/>
        <w:keepNext/>
        <w:spacing w:before="160" w:after="160"/>
      </w:pPr>
      <w:r>
        <w:t>（三）单调性</w:t>
      </w:r>
    </w:p>
    <w:p>
      <w:pPr>
        <w:spacing w:line="336" w:lineRule="auto" w:after="40"/>
        <w:ind w:left="480" w:hanging="240"/>
        <w:jc w:val="both"/>
      </w:pPr>
      <w:r>
        <w:rPr>
          <w:rFonts w:ascii="Times New Roman" w:hAnsi="Times New Roman" w:eastAsia="宋体"/>
          <w:b w:val="0"/>
          <w:sz w:val="24"/>
        </w:rPr>
        <w:t>• Development：主指标（1M30+、3M30+ 笔数逾期率）相邻箱不允许倒挂（容差 0）。</w:t>
      </w:r>
    </w:p>
    <w:p>
      <w:pPr>
        <w:spacing w:line="336" w:lineRule="auto" w:after="40"/>
        <w:ind w:left="480" w:hanging="240"/>
        <w:jc w:val="both"/>
      </w:pPr>
      <w:r>
        <w:rPr>
          <w:rFonts w:ascii="Times New Roman" w:hAnsi="Times New Roman" w:eastAsia="宋体"/>
          <w:b w:val="0"/>
          <w:sz w:val="24"/>
        </w:rPr>
        <w:t>• Validation：允许不超过 0.3 个百分点的容忍倒挂。</w:t>
      </w:r>
    </w:p>
    <w:p>
      <w:pPr>
        <w:spacing w:line="336" w:lineRule="auto" w:after="40"/>
        <w:ind w:left="480" w:hanging="240"/>
        <w:jc w:val="both"/>
      </w:pPr>
      <w:r>
        <w:rPr>
          <w:rFonts w:ascii="Times New Roman" w:hAnsi="Times New Roman" w:eastAsia="宋体"/>
          <w:b w:val="0"/>
          <w:sz w:val="24"/>
        </w:rPr>
        <w:t>• 候选评分同时监控 Validation 上四类风险率（含金额口径）的倒挂数。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单调性是风险等级可解释、可监控的基础，也是业务沟通与合规评审的基本要求。</w:t>
      </w:r>
    </w:p>
    <w:p>
      <w:pPr>
        <w:pStyle w:val="Heading2"/>
        <w:keepNext/>
        <w:spacing w:before="160" w:after="160"/>
      </w:pPr>
      <w:r>
        <w:t>（四）保护边界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以下关键边界在自动合箱中尽量保留，合并跨越需付出高额代价（见（六））：</w:t>
      </w:r>
    </w:p>
    <w:p>
      <w:pPr>
        <w:spacing w:line="336" w:lineRule="auto" w:after="40"/>
        <w:ind w:left="480" w:hanging="240"/>
        <w:jc w:val="both"/>
      </w:pPr>
      <w:r>
        <w:rPr>
          <w:rFonts w:ascii="Times New Roman" w:hAnsi="Times New Roman" w:eastAsia="宋体"/>
          <w:b w:val="0"/>
          <w:sz w:val="24"/>
        </w:rPr>
        <w:t>• 策略风险边界：自动通过与总接纳约束对应的累计 3M30+ 风险线与边际风险线位置。</w:t>
      </w:r>
    </w:p>
    <w:p>
      <w:pPr>
        <w:spacing w:line="336" w:lineRule="auto" w:after="40"/>
        <w:ind w:left="480" w:hanging="240"/>
        <w:jc w:val="both"/>
      </w:pPr>
      <w:r>
        <w:rPr>
          <w:rFonts w:ascii="Times New Roman" w:hAnsi="Times New Roman" w:eastAsia="宋体"/>
          <w:b w:val="0"/>
          <w:sz w:val="24"/>
        </w:rPr>
        <w:t>• 风险跳升边界：相邻箱之间 3M30+ 风险跳升最大的边界（默认保护 1 个）。</w:t>
      </w:r>
    </w:p>
    <w:p>
      <w:pPr>
        <w:spacing w:line="336" w:lineRule="auto" w:after="40"/>
        <w:ind w:left="480" w:hanging="240"/>
        <w:jc w:val="both"/>
      </w:pPr>
      <w:r>
        <w:rPr>
          <w:rFonts w:ascii="Times New Roman" w:hAnsi="Times New Roman" w:eastAsia="宋体"/>
          <w:b w:val="0"/>
          <w:sz w:val="24"/>
        </w:rPr>
        <w:t>• 极端人群圈选边界：最好 / 最坏极端箱的外侧边界（默认硬保护，禁止跨越）。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策略阈值最终落在箱边界上，保护边界防止合箱吞掉策略关键结构。</w:t>
      </w:r>
    </w:p>
    <w:p>
      <w:pPr>
        <w:pStyle w:val="Heading2"/>
        <w:keepNext/>
        <w:spacing w:before="160" w:after="160"/>
      </w:pPr>
      <w:r>
        <w:t>（五）合箱流程</w:t>
      </w:r>
    </w:p>
    <w:p>
      <w:pPr>
        <w:keepNext/>
        <w:spacing w:after="80" w:before="160"/>
        <w:jc w:val="center"/>
      </w:pPr>
      <w:r>
        <w:rPr>
          <w:rFonts w:ascii="Times New Roman" w:hAnsi="Times New Roman" w:eastAsia="黑体"/>
          <w:b/>
          <w:color w:val="1F4E79"/>
          <w:sz w:val="21"/>
        </w:rPr>
        <w:t>表 4　合箱四阶段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587"/>
            <w:vAlign w:val="center"/>
            <w:shd w:val="clear" w:fill="1F4E79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2948"/>
            <w:vAlign w:val="center"/>
            <w:shd w:val="clear" w:fill="1F4E79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触发条件</w:t>
            </w:r>
          </w:p>
        </w:tc>
        <w:tc>
          <w:tcPr>
            <w:tcW w:type="dxa" w:w="4535"/>
            <w:vAlign w:val="center"/>
            <w:shd w:val="clear" w:fill="1F4E79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合并策略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① 小箱清理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存在违反单箱硬约束的箱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优先处理违反最严重的箱，仅允许与其相邻箱合并</w:t>
            </w:r>
          </w:p>
        </w:tc>
      </w:tr>
      <w:tr>
        <w:tc>
          <w:tcPr>
            <w:tcW w:type="dxa" w:w="1587"/>
            <w:vAlign w:val="center"/>
            <w:shd w:val="clear" w:fill="EAF1F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② 单调合并（PAVA 风格）</w:t>
            </w:r>
          </w:p>
        </w:tc>
        <w:tc>
          <w:tcPr>
            <w:tcW w:type="dxa" w:w="2948"/>
            <w:vAlign w:val="center"/>
            <w:shd w:val="clear" w:fill="EAF1F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主指标存在相邻倒挂</w:t>
            </w:r>
          </w:p>
        </w:tc>
        <w:tc>
          <w:tcPr>
            <w:tcW w:type="dxa" w:w="4535"/>
            <w:vAlign w:val="center"/>
            <w:shd w:val="clear" w:fill="EAF1F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从倒挂最严重的一对开始合并，直至无倒挂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③ 档位压缩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档位数仍多于 8 档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反复合并合并代价最低的相邻对</w:t>
            </w:r>
          </w:p>
        </w:tc>
      </w:tr>
      <w:tr>
        <w:tc>
          <w:tcPr>
            <w:tcW w:type="dxa" w:w="1587"/>
            <w:vAlign w:val="center"/>
            <w:shd w:val="clear" w:fill="EAF1F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④ 候选生成</w:t>
            </w:r>
          </w:p>
        </w:tc>
        <w:tc>
          <w:tcPr>
            <w:tcW w:type="dxa" w:w="2948"/>
            <w:vAlign w:val="center"/>
            <w:shd w:val="clear" w:fill="EAF1F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档位数仍多于 6 档</w:t>
            </w:r>
          </w:p>
        </w:tc>
        <w:tc>
          <w:tcPr>
            <w:tcW w:type="dxa" w:w="4535"/>
            <w:vAlign w:val="center"/>
            <w:shd w:val="clear" w:fill="EAF1F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优先合并“风险差异不显著（p ≥ 0.10）或差距 ≤ 0.3%”的相邻对，生成 8、7、6 档候选</w:t>
            </w:r>
          </w:p>
        </w:tc>
      </w:tr>
    </w:tbl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每个阶段记录合并原因与前后状态，全过程可追溯；四阶段体现“先修病、再修型、后择优”的思路。</w:t>
      </w:r>
    </w:p>
    <w:p>
      <w:pPr>
        <w:pStyle w:val="Heading2"/>
        <w:keepNext/>
        <w:spacing w:before="160" w:after="160"/>
      </w:pPr>
      <w:r>
        <w:t>（六）合并代价</w:t>
      </w:r>
    </w:p>
    <w:p>
      <w:pPr>
        <w:tabs>
          <w:tab w:pos="8787" w:val="right"/>
        </w:tabs>
        <w:spacing w:before="80" w:after="80"/>
        <w:jc w:val="center"/>
      </w:pPr>
      <w:r>
        <w:rPr>
          <w:rFonts w:ascii="Times New Roman" w:hAnsi="Times New Roman" w:eastAsia="Times New Roman"/>
          <w:b w:val="0"/>
          <w:sz w:val="24"/>
        </w:rPr>
        <w:t>merge_cost = 风险率差距 × 100 + (1 − 两比例Z检验p值) + IV损失 × 10 + 保护边界惩罚</w:t>
        <w:tab/>
        <w:t>(1)</w:t>
      </w:r>
    </w:p>
    <w:p>
      <w:pPr>
        <w:tabs>
          <w:tab w:pos="8787" w:val="right"/>
        </w:tabs>
        <w:spacing w:before="80" w:after="80"/>
        <w:jc w:val="center"/>
      </w:pPr>
      <w:r>
        <w:rPr>
          <w:rFonts w:ascii="Times New Roman" w:hAnsi="Times New Roman" w:eastAsia="Times New Roman"/>
          <w:b w:val="0"/>
          <w:sz w:val="24"/>
        </w:rPr>
        <w:t>保护边界惩罚：普通保护边界 100；极端圈选边界 10,000</w:t>
        <w:tab/>
        <w:t>(2)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风险差距越大、差异越显著、IV 损失越大、跨越保护边界，代价越高，越不应合并。</w:t>
      </w:r>
    </w:p>
    <w:p>
      <w:pPr>
        <w:pStyle w:val="Heading2"/>
        <w:keepNext/>
        <w:spacing w:before="160" w:after="160"/>
      </w:pPr>
      <w:r>
        <w:t>（七）候选评分与选择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四阶段产生的每一步合箱状态均为候选方案，先做硬约束判定，再对可行方案打分择优：</w:t>
      </w:r>
    </w:p>
    <w:p>
      <w:pPr>
        <w:spacing w:line="336" w:lineRule="auto" w:after="40"/>
        <w:ind w:left="480" w:hanging="240"/>
        <w:jc w:val="both"/>
      </w:pPr>
      <w:r>
        <w:rPr>
          <w:rFonts w:ascii="Times New Roman" w:hAnsi="Times New Roman" w:eastAsia="宋体"/>
          <w:b w:val="0"/>
          <w:sz w:val="24"/>
        </w:rPr>
        <w:t>• 硬约束（必须全部满足）：档位数 6~8；Development 主指标无倒挂；单箱约束全部满足；未跨越极端圈选边界。</w:t>
      </w:r>
    </w:p>
    <w:p>
      <w:pPr>
        <w:keepNext/>
        <w:spacing w:after="80" w:before="160"/>
        <w:jc w:val="center"/>
      </w:pPr>
      <w:r>
        <w:rPr>
          <w:rFonts w:ascii="Times New Roman" w:hAnsi="Times New Roman" w:eastAsia="黑体"/>
          <w:b/>
          <w:color w:val="1F4E79"/>
          <w:sz w:val="21"/>
        </w:rPr>
        <w:t>表 5　候选方案评分权重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2835"/>
            <w:vAlign w:val="center"/>
            <w:shd w:val="clear" w:fill="1F4E79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评分项</w:t>
            </w:r>
          </w:p>
        </w:tc>
        <w:tc>
          <w:tcPr>
            <w:tcW w:type="dxa" w:w="3175"/>
            <w:vAlign w:val="center"/>
            <w:shd w:val="clear" w:fill="1F4E79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权重</w:t>
            </w:r>
          </w:p>
        </w:tc>
        <w:tc>
          <w:tcPr>
            <w:tcW w:type="dxa" w:w="3061"/>
            <w:vAlign w:val="center"/>
            <w:shd w:val="clear" w:fill="1F4E79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含义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硬约束全部满足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+100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可行方案的基础分</w:t>
            </w:r>
          </w:p>
        </w:tc>
      </w:tr>
      <w:tr>
        <w:tc>
          <w:tcPr>
            <w:tcW w:type="dxa" w:w="2835"/>
            <w:vAlign w:val="center"/>
            <w:shd w:val="clear" w:fill="EAF1F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Development 主指标倒挂</w:t>
            </w:r>
          </w:p>
        </w:tc>
        <w:tc>
          <w:tcPr>
            <w:tcW w:type="dxa" w:w="3175"/>
            <w:vAlign w:val="center"/>
            <w:shd w:val="clear" w:fill="EAF1F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−30 × 次数</w:t>
            </w:r>
          </w:p>
        </w:tc>
        <w:tc>
          <w:tcPr>
            <w:tcW w:type="dxa" w:w="3061"/>
            <w:vAlign w:val="center"/>
            <w:shd w:val="clear" w:fill="EAF1F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惩罚开发期单调性缺陷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Validation 主指标倒挂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−12 × 次数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惩罚跨期单调性缺陷</w:t>
            </w:r>
          </w:p>
        </w:tc>
      </w:tr>
      <w:tr>
        <w:tc>
          <w:tcPr>
            <w:tcW w:type="dxa" w:w="2835"/>
            <w:vAlign w:val="center"/>
            <w:shd w:val="clear" w:fill="EAF1F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Validation 全指标倒挂</w:t>
            </w:r>
          </w:p>
        </w:tc>
        <w:tc>
          <w:tcPr>
            <w:tcW w:type="dxa" w:w="3175"/>
            <w:vAlign w:val="center"/>
            <w:shd w:val="clear" w:fill="EAF1F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−4 × 次数</w:t>
            </w:r>
          </w:p>
        </w:tc>
        <w:tc>
          <w:tcPr>
            <w:tcW w:type="dxa" w:w="3061"/>
            <w:vAlign w:val="center"/>
            <w:shd w:val="clear" w:fill="EAF1F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惩罚金额口径倒挂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单箱约束违反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−15 × 次数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惩罚小箱残留</w:t>
            </w:r>
          </w:p>
        </w:tc>
      </w:tr>
      <w:tr>
        <w:tc>
          <w:tcPr>
            <w:tcW w:type="dxa" w:w="2835"/>
            <w:vAlign w:val="center"/>
            <w:shd w:val="clear" w:fill="EAF1F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Validation PSI 超偏好线</w:t>
            </w:r>
          </w:p>
        </w:tc>
        <w:tc>
          <w:tcPr>
            <w:tcW w:type="dxa" w:w="3175"/>
            <w:vAlign w:val="center"/>
            <w:shd w:val="clear" w:fill="EAF1F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−150 × max(0, PSI − 0.05)</w:t>
            </w:r>
          </w:p>
        </w:tc>
        <w:tc>
          <w:tcPr>
            <w:tcW w:type="dxa" w:w="3061"/>
            <w:vAlign w:val="center"/>
            <w:shd w:val="clear" w:fill="EAF1F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惩罚跨期分布漂移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IV 保留率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+12 × min(保留率, 1.5)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奖励区分度保留</w:t>
            </w:r>
          </w:p>
        </w:tc>
      </w:tr>
      <w:tr>
        <w:tc>
          <w:tcPr>
            <w:tcW w:type="dxa" w:w="2835"/>
            <w:vAlign w:val="center"/>
            <w:shd w:val="clear" w:fill="EAF1F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最小相邻风险差距</w:t>
            </w:r>
          </w:p>
        </w:tc>
        <w:tc>
          <w:tcPr>
            <w:tcW w:type="dxa" w:w="3175"/>
            <w:vAlign w:val="center"/>
            <w:shd w:val="clear" w:fill="EAF1F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+100 × max(0, 最小差距)</w:t>
            </w:r>
          </w:p>
        </w:tc>
        <w:tc>
          <w:tcPr>
            <w:tcW w:type="dxa" w:w="3061"/>
            <w:vAlign w:val="center"/>
            <w:shd w:val="clear" w:fill="EAF1F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奖励相邻档风险分离度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档位距离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−1.5 × |档位数 − 7|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偏好目标档位数</w:t>
            </w:r>
          </w:p>
        </w:tc>
      </w:tr>
      <w:tr>
        <w:tc>
          <w:tcPr>
            <w:tcW w:type="dxa" w:w="9071"/>
            <w:vAlign w:val="center"/>
            <w:gridSpan w:val="3"/>
            <w:shd w:val="clear" w:fill="FFF8E6"/>
          </w:tcPr>
          <w:p>
            <w:pPr>
              <w:spacing w:line="336" w:lineRule="auto" w:after="40"/>
              <w:jc w:val="both"/>
            </w:pPr>
            <w:r>
              <w:rPr>
                <w:rFonts w:ascii="Times New Roman" w:hAnsi="Times New Roman" w:eastAsia="宋体"/>
                <w:b w:val="0"/>
                <w:sz w:val="22"/>
              </w:rPr>
              <w:t>选择顺序：硬约束 → Development 倒挂数 → 约束违反数 → Validation 倒挂数 → PSI 可接受（≤ 0.10）→ PSI 偏好（≤ 0.05）→ 综合得分 → IV 保留率 → 档位距离，取第一名。</w:t>
            </w:r>
          </w:p>
          <w:p>
            <w:pPr>
              <w:spacing w:line="336" w:lineRule="auto" w:after="40"/>
              <w:jc w:val="both"/>
            </w:pPr>
            <w:r>
              <w:rPr>
                <w:rFonts w:ascii="Times New Roman" w:hAnsi="Times New Roman" w:eastAsia="宋体"/>
                <w:b w:val="0"/>
                <w:sz w:val="22"/>
              </w:rPr>
              <w:t>权重为经验值，只影响候选排序，不影响硬约束判定。</w:t>
            </w:r>
          </w:p>
        </w:tc>
      </w:tr>
    </w:tbl>
    <w:p>
      <w:pPr>
        <w:pStyle w:val="Heading1"/>
        <w:keepNext/>
        <w:pageBreakBefore/>
        <w:pBdr>
          <w:bottom w:val="single" w:sz="12" w:space="4" w:color="1F4E79"/>
        </w:pBdr>
        <w:spacing w:before="280" w:after="160"/>
      </w:pPr>
      <w:r>
        <w:t>四、策略阈值设定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在完整 Train 上，沿低风险到高风险方向逐档放宽阈值（候选阈值为最终箱右边界，末箱用 Train 最大分数保留“全量通过”点），构造累计与边际风险曲线：累计指标反映放宽到该阈值的整体规模与风险；边际指标反映新增人群风险，用于识别风险拐点。</w:t>
      </w:r>
    </w:p>
    <w:p>
      <w:pPr>
        <w:keepNext/>
        <w:spacing w:after="80" w:before="160"/>
        <w:jc w:val="center"/>
      </w:pPr>
      <w:r>
        <w:rPr>
          <w:rFonts w:ascii="Times New Roman" w:hAnsi="Times New Roman" w:eastAsia="黑体"/>
          <w:b/>
          <w:color w:val="1F4E79"/>
          <w:sz w:val="21"/>
        </w:rPr>
        <w:t>表 6　策略风险约束（示例配置）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197"/>
        <w:gridCol w:w="2197"/>
        <w:gridCol w:w="2197"/>
        <w:gridCol w:w="2197"/>
      </w:tblGrid>
      <w:tr>
        <w:trPr>
          <w:tblHeader w:val="true"/>
        </w:trPr>
        <w:tc>
          <w:tcPr>
            <w:tcW w:type="dxa" w:w="2041"/>
            <w:vAlign w:val="center"/>
            <w:shd w:val="clear" w:fill="1F4E79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约束阶段</w:t>
            </w:r>
          </w:p>
        </w:tc>
        <w:tc>
          <w:tcPr>
            <w:tcW w:type="dxa" w:w="2381"/>
            <w:vAlign w:val="center"/>
            <w:shd w:val="clear" w:fill="1F4E79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累计 1M30+ 笔数逾期率</w:t>
            </w:r>
          </w:p>
        </w:tc>
        <w:tc>
          <w:tcPr>
            <w:tcW w:type="dxa" w:w="2381"/>
            <w:vAlign w:val="center"/>
            <w:shd w:val="clear" w:fill="1F4E79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累计 3M30+ 笔数逾期率</w:t>
            </w:r>
          </w:p>
        </w:tc>
        <w:tc>
          <w:tcPr>
            <w:tcW w:type="dxa" w:w="2268"/>
            <w:vAlign w:val="center"/>
            <w:shd w:val="clear" w:fill="1F4E79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边际 3M30+ 笔数逾期率</w:t>
            </w:r>
          </w:p>
        </w:tc>
      </w:tr>
      <w:tr>
        <w:tc>
          <w:tcPr>
            <w:tcW w:type="dxa" w:w="204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自动通过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≤ 0.90%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≤ 5.50%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≤ 9.00%</w:t>
            </w:r>
          </w:p>
        </w:tc>
      </w:tr>
      <w:tr>
        <w:tc>
          <w:tcPr>
            <w:tcW w:type="dxa" w:w="2041"/>
            <w:vAlign w:val="center"/>
            <w:shd w:val="clear" w:fill="EAF1F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总接纳（自动 + 人工）</w:t>
            </w:r>
          </w:p>
        </w:tc>
        <w:tc>
          <w:tcPr>
            <w:tcW w:type="dxa" w:w="2381"/>
            <w:vAlign w:val="center"/>
            <w:shd w:val="clear" w:fill="EAF1F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≤ 1.30%</w:t>
            </w:r>
          </w:p>
        </w:tc>
        <w:tc>
          <w:tcPr>
            <w:tcW w:type="dxa" w:w="2381"/>
            <w:vAlign w:val="center"/>
            <w:shd w:val="clear" w:fill="EAF1F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≤ 7.50%</w:t>
            </w:r>
          </w:p>
        </w:tc>
        <w:tc>
          <w:tcPr>
            <w:tcW w:type="dxa" w:w="2268"/>
            <w:vAlign w:val="center"/>
            <w:shd w:val="clear" w:fill="EAF1F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≤ 17.00%</w:t>
            </w:r>
          </w:p>
        </w:tc>
      </w:tr>
    </w:tbl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满足约束且累计通过率最高的阈值当选，形成三段策略：</w:t>
      </w:r>
    </w:p>
    <w:p>
      <w:pPr>
        <w:tabs>
          <w:tab w:pos="8787" w:val="right"/>
        </w:tabs>
        <w:spacing w:before="80" w:after="80"/>
        <w:jc w:val="center"/>
      </w:pPr>
      <w:r>
        <w:rPr>
          <w:rFonts w:ascii="Times New Roman" w:hAnsi="Times New Roman" w:eastAsia="Times New Roman"/>
          <w:b w:val="0"/>
          <w:sz w:val="24"/>
        </w:rPr>
        <w:t>自动通过：score ≤ 自动通过阈值</w:t>
        <w:tab/>
        <w:t>(3)</w:t>
      </w:r>
    </w:p>
    <w:p>
      <w:pPr>
        <w:tabs>
          <w:tab w:pos="8787" w:val="right"/>
        </w:tabs>
        <w:spacing w:before="80" w:after="80"/>
        <w:jc w:val="center"/>
      </w:pPr>
      <w:r>
        <w:rPr>
          <w:rFonts w:ascii="Times New Roman" w:hAnsi="Times New Roman" w:eastAsia="Times New Roman"/>
          <w:b w:val="0"/>
          <w:sz w:val="24"/>
        </w:rPr>
        <w:t>人工审核：自动通过阈值 &lt; score ≤ 总接纳阈值</w:t>
        <w:tab/>
        <w:t>(4)</w:t>
      </w:r>
    </w:p>
    <w:p>
      <w:pPr>
        <w:tabs>
          <w:tab w:pos="8787" w:val="right"/>
        </w:tabs>
        <w:spacing w:before="80" w:after="80"/>
        <w:jc w:val="center"/>
      </w:pPr>
      <w:r>
        <w:rPr>
          <w:rFonts w:ascii="Times New Roman" w:hAnsi="Times New Roman" w:eastAsia="Times New Roman"/>
          <w:b w:val="0"/>
          <w:sz w:val="24"/>
        </w:rPr>
        <w:t>拒绝：score &gt; 总接纳阈值</w:t>
        <w:tab/>
        <w:t>(5)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总接纳阈值不得严于自动通过阈值（若出现则对齐）；约束给出风险上限，目标为通过率最大化，实现“风险可控前提下业务量最大”的平衡。</w:t>
      </w:r>
    </w:p>
    <w:p>
      <w:pPr>
        <w:pStyle w:val="Heading1"/>
        <w:keepNext/>
        <w:pageBreakBefore/>
        <w:pBdr>
          <w:bottom w:val="single" w:sz="12" w:space="4" w:color="1F4E79"/>
        </w:pBdr>
        <w:spacing w:before="280" w:after="160"/>
      </w:pPr>
      <w:r>
        <w:t>五、方案验证</w:t>
      </w:r>
    </w:p>
    <w:p>
      <w:pPr>
        <w:keepNext/>
        <w:spacing w:after="80" w:before="160"/>
        <w:jc w:val="center"/>
      </w:pPr>
      <w:r>
        <w:rPr>
          <w:rFonts w:ascii="Times New Roman" w:hAnsi="Times New Roman" w:eastAsia="黑体"/>
          <w:b/>
          <w:color w:val="1F4E79"/>
          <w:sz w:val="21"/>
        </w:rPr>
        <w:t>表 7　验证指标体系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361"/>
            <w:vAlign w:val="center"/>
            <w:shd w:val="clear" w:fill="1F4E79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验证维度</w:t>
            </w:r>
          </w:p>
        </w:tc>
        <w:tc>
          <w:tcPr>
            <w:tcW w:type="dxa" w:w="1587"/>
            <w:vAlign w:val="center"/>
            <w:shd w:val="clear" w:fill="1F4E79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6123"/>
            <w:vAlign w:val="center"/>
            <w:shd w:val="clear" w:fill="1F4E79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口径 / 判定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风险排序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单调性</w:t>
            </w:r>
          </w:p>
        </w:tc>
        <w:tc>
          <w:tcPr>
            <w:tcW w:type="dxa" w:w="6123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四切片（Dev / Val / Train / OOT）× 四类风险率是否非递减，输出倒挂次数与位置</w:t>
            </w:r>
          </w:p>
        </w:tc>
      </w:tr>
      <w:tr>
        <w:tc>
          <w:tcPr>
            <w:tcW w:type="dxa" w:w="1361"/>
            <w:vAlign w:val="center"/>
            <w:shd w:val="clear" w:fill="EAF1F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分布稳定</w:t>
            </w:r>
          </w:p>
        </w:tc>
        <w:tc>
          <w:tcPr>
            <w:tcW w:type="dxa" w:w="1587"/>
            <w:vAlign w:val="center"/>
            <w:shd w:val="clear" w:fill="EAF1F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PSI</w:t>
            </w:r>
          </w:p>
        </w:tc>
        <w:tc>
          <w:tcPr>
            <w:tcW w:type="dxa" w:w="6123"/>
            <w:vAlign w:val="center"/>
            <w:shd w:val="clear" w:fill="EAF1F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Train 与 OOT 各档样本占比差异；&lt; 0.10 稳定，0.10~0.25 关注，≥ 0.25 明显变化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区分能力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AUC / KS</w:t>
            </w:r>
          </w:p>
        </w:tc>
        <w:tc>
          <w:tcPr>
            <w:tcW w:type="dxa" w:w="6123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Train / OOT × 1M30+ / 3M30+ 分别计算</w:t>
            </w:r>
          </w:p>
        </w:tc>
      </w:tr>
      <w:tr>
        <w:tc>
          <w:tcPr>
            <w:tcW w:type="dxa" w:w="1361"/>
            <w:vAlign w:val="center"/>
            <w:shd w:val="clear" w:fill="EAF1F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时间稳定</w:t>
            </w:r>
          </w:p>
        </w:tc>
        <w:tc>
          <w:tcPr>
            <w:tcW w:type="dxa" w:w="1587"/>
            <w:vAlign w:val="center"/>
            <w:shd w:val="clear" w:fill="EAF1F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月度稳定性</w:t>
            </w:r>
          </w:p>
        </w:tc>
        <w:tc>
          <w:tcPr>
            <w:tcW w:type="dxa" w:w="6123"/>
            <w:vAlign w:val="center"/>
            <w:shd w:val="clear" w:fill="EAF1F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逐月检查主指标单调性、倒挂次数、最大单次风险跌幅，识别异常月份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策略效果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分段验证</w:t>
            </w:r>
          </w:p>
        </w:tc>
        <w:tc>
          <w:tcPr>
            <w:tcW w:type="dxa" w:w="6123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自动通过 / 人工审核 / 拒绝三段在 Train 与 OOT 的规模与风险，应呈“低 &lt; 中 &lt; 高”梯度且不反转</w:t>
            </w:r>
          </w:p>
        </w:tc>
      </w:tr>
    </w:tbl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验证贯穿三个层次：Development 检查方案自身质量，Validation 检查跨期稳健性，OOT 作为独立数据做最终确认。</w:t>
      </w:r>
    </w:p>
    <w:p>
      <w:pPr>
        <w:pStyle w:val="Heading1"/>
        <w:keepNext/>
        <w:pageBreakBefore/>
        <w:pBdr>
          <w:bottom w:val="single" w:sz="12" w:space="4" w:color="1F4E79"/>
        </w:pBdr>
        <w:spacing w:before="280" w:after="160"/>
      </w:pPr>
      <w:r>
        <w:t>六、局限性与待讨论问题</w:t>
      </w:r>
    </w:p>
    <w:p>
      <w:pPr>
        <w:spacing w:line="336" w:lineRule="auto" w:after="40"/>
        <w:ind w:left="480" w:hanging="240"/>
        <w:jc w:val="both"/>
      </w:pPr>
      <w:r>
        <w:rPr>
          <w:rFonts w:ascii="Times New Roman" w:hAnsi="Times New Roman" w:eastAsia="宋体"/>
          <w:b w:val="0"/>
          <w:sz w:val="24"/>
        </w:rPr>
        <w:t>• 候选评分权重与 PSI 偏好线（0.05）、可接受线（0.10）、Validation 容忍倒挂（0.3pp）等经验值，未做系统性敏感性分析。</w:t>
      </w:r>
    </w:p>
    <w:p>
      <w:pPr>
        <w:spacing w:line="336" w:lineRule="auto" w:after="40"/>
        <w:ind w:left="480" w:hanging="240"/>
        <w:jc w:val="both"/>
      </w:pPr>
      <w:r>
        <w:rPr>
          <w:rFonts w:ascii="Times New Roman" w:hAnsi="Times New Roman" w:eastAsia="宋体"/>
          <w:b w:val="0"/>
          <w:sz w:val="24"/>
        </w:rPr>
        <w:t>• 初始 20 箱、最终 6~8 档（目标 7）为经验设定，未用数据驱动方式确定最优档位数。</w:t>
      </w:r>
    </w:p>
    <w:p>
      <w:pPr>
        <w:spacing w:line="336" w:lineRule="auto" w:after="40"/>
        <w:ind w:left="480" w:hanging="240"/>
        <w:jc w:val="both"/>
      </w:pPr>
      <w:r>
        <w:rPr>
          <w:rFonts w:ascii="Times New Roman" w:hAnsi="Times New Roman" w:eastAsia="宋体"/>
          <w:b w:val="0"/>
          <w:sz w:val="24"/>
        </w:rPr>
        <w:t>• 单调性仅做相邻箱检查，无全局趋势检验（如 Cochran-Armitage）；金额口径单调性未纳入硬约束。</w:t>
      </w:r>
    </w:p>
    <w:p>
      <w:pPr>
        <w:spacing w:line="336" w:lineRule="auto" w:after="40"/>
        <w:ind w:left="480" w:hanging="240"/>
        <w:jc w:val="both"/>
      </w:pPr>
      <w:r>
        <w:rPr>
          <w:rFonts w:ascii="Times New Roman" w:hAnsi="Times New Roman" w:eastAsia="宋体"/>
          <w:b w:val="0"/>
          <w:sz w:val="24"/>
        </w:rPr>
        <w:t>• 金额口径依赖剩余本金估计字段，其估计准确性直接影响金额指标可信度。</w:t>
      </w:r>
    </w:p>
    <w:p>
      <w:pPr>
        <w:spacing w:line="336" w:lineRule="auto" w:after="40"/>
        <w:ind w:left="480" w:hanging="240"/>
        <w:jc w:val="both"/>
      </w:pPr>
      <w:r>
        <w:rPr>
          <w:rFonts w:ascii="Times New Roman" w:hAnsi="Times New Roman" w:eastAsia="宋体"/>
          <w:b w:val="0"/>
          <w:sz w:val="24"/>
        </w:rPr>
        <w:t>• 当前仅输出一套“平衡型”策略，未做保守 / 增长多策略对比与人工审核产能约束的联动分析。</w:t>
      </w:r>
    </w:p>
    <w:p>
      <w:pPr>
        <w:spacing w:line="336" w:lineRule="auto" w:after="40"/>
        <w:ind w:left="480" w:hanging="240"/>
        <w:jc w:val="both"/>
      </w:pPr>
      <w:r>
        <w:rPr>
          <w:rFonts w:ascii="Times New Roman" w:hAnsi="Times New Roman" w:eastAsia="宋体"/>
          <w:b w:val="0"/>
          <w:sz w:val="24"/>
        </w:rPr>
        <w:t>• 阈值边界取整与上线执行细节（边界落入真实分数值）待细化。</w:t>
      </w:r>
    </w:p>
    <w:p>
      <w:pPr>
        <w:spacing w:line="336" w:lineRule="auto" w:after="40"/>
        <w:ind w:left="480" w:hanging="240"/>
        <w:jc w:val="both"/>
      </w:pPr>
      <w:r>
        <w:rPr>
          <w:rFonts w:ascii="Times New Roman" w:hAnsi="Times New Roman" w:eastAsia="宋体"/>
          <w:b w:val="0"/>
          <w:sz w:val="24"/>
        </w:rPr>
        <w:t>• 极端人群圈选数量（最好 / 最坏各 1 箱）为主观设定，其敏感性未检验。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17" w:bottom="1440" w:left="1701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595959"/>
        <w:sz w:val="18"/>
      </w:rPr>
      <w:t xml:space="preserve">第 </w:t>
    </w:r>
    <w:r>
      <w:rPr>
        <w:rFonts w:ascii="Times New Roman" w:hAnsi="Times New Roman" w:eastAsia="宋体"/>
        <w:b w:val="0"/>
        <w:color w:val="595959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b w:val="0"/>
        <w:color w:val="595959"/>
        <w:sz w:val="18"/>
      </w:rPr>
      <w:t xml:space="preserve"> 页 共 </w:t>
    </w:r>
    <w:r>
      <w:rPr>
        <w:rFonts w:ascii="Times New Roman" w:hAnsi="Times New Roman" w:eastAsia="宋体"/>
        <w:b w:val="0"/>
        <w:color w:val="595959"/>
        <w:sz w:val="18"/>
      </w:rPr>
      <w:fldChar w:fldCharType="begin"/>
      <w:instrText xml:space="preserve">NUMPAGES</w:instrText>
      <w:fldChar w:fldCharType="end"/>
    </w:r>
    <w:r>
      <w:rPr>
        <w:rFonts w:ascii="Times New Roman" w:hAnsi="Times New Roman" w:eastAsia="宋体"/>
        <w:b w:val="0"/>
        <w:color w:val="595959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8787" w:val="right"/>
      </w:tabs>
      <w:pBdr>
        <w:bottom w:val="single" w:sz="6" w:space="1" w:color="1F4E79"/>
      </w:pBdr>
    </w:pPr>
    <w:r>
      <w:rPr>
        <w:rFonts w:ascii="Times New Roman" w:hAnsi="Times New Roman" w:eastAsia="宋体"/>
        <w:b w:val="0"/>
        <w:color w:val="595959"/>
        <w:sz w:val="18"/>
      </w:rPr>
      <w:t>模型分数分箱与策略阈值设定方法说明</w:t>
    </w:r>
    <w:r>
      <w:rPr>
        <w:rFonts w:ascii="Times New Roman" w:hAnsi="Times New Roman" w:eastAsia="楷体"/>
        <w:b/>
        <w:color w:val="1F4E79"/>
        <w:sz w:val="18"/>
      </w:rPr>
      <w:tab/>
      <w:t>评审稿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模型分数分箱与策略阈值设定方法说明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