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8787" w:val="right"/>
        </w:tabs>
        <w:pBdr>
          <w:bottom w:val="single" w:sz="12" w:space="6" w:color="1F4E79"/>
        </w:pBdr>
      </w:pPr>
      <w:r>
        <w:rPr>
          <w:rFonts w:ascii="Times New Roman" w:hAnsi="Times New Roman" w:eastAsia="楷体"/>
          <w:b/>
          <w:color w:val="595959"/>
          <w:sz w:val="21"/>
        </w:rPr>
        <w:tab/>
        <w:t>评审稿 · V1.0</w:t>
      </w:r>
    </w:p>
    <w:p>
      <w:r>
        <w:rPr>
          <w:rFonts w:ascii="Times New Roman" w:hAnsi="Times New Roman" w:eastAsia="宋体"/>
          <w:b w:val="0"/>
          <w:sz w:val="24"/>
        </w:rPr>
      </w:r>
    </w:p>
    <w:p>
      <w:r>
        <w:rPr>
          <w:rFonts w:ascii="Times New Roman" w:hAnsi="Times New Roman" w:eastAsia="宋体"/>
          <w:b w:val="0"/>
          <w:sz w:val="24"/>
        </w:rPr>
      </w:r>
    </w:p>
    <w:p>
      <w:pPr>
        <w:spacing w:after="40"/>
        <w:jc w:val="center"/>
      </w:pPr>
      <w:r>
        <w:rPr>
          <w:rFonts w:ascii="Times New Roman" w:hAnsi="Times New Roman" w:eastAsia="楷体"/>
          <w:b w:val="0"/>
          <w:color w:val="595959"/>
          <w:sz w:val="24"/>
        </w:rPr>
        <w:t>项目：消费信贷评分模型分箱与策略优化</w:t>
      </w:r>
    </w:p>
    <w:p>
      <w:r>
        <w:rPr>
          <w:rFonts w:ascii="Times New Roman" w:hAnsi="Times New Roman" w:eastAsia="宋体"/>
          <w:b w:val="0"/>
          <w:sz w:val="24"/>
        </w:rPr>
      </w:r>
    </w:p>
    <w:p>
      <w:r>
        <w:rPr>
          <w:rFonts w:ascii="Times New Roman" w:hAnsi="Times New Roman" w:eastAsia="宋体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黑体"/>
          <w:b/>
          <w:color w:val="1F4E79"/>
          <w:sz w:val="52"/>
          <w:spacing w:val="40"/>
        </w:rPr>
        <w:t>模型分数分箱与策略阈值设定方法说明</w:t>
      </w:r>
    </w:p>
    <w:p>
      <w:pPr>
        <w:spacing w:after="40"/>
        <w:jc w:val="center"/>
      </w:pPr>
      <w:r>
        <w:rPr>
          <w:rFonts w:ascii="Times New Roman" w:hAnsi="Times New Roman" w:eastAsia="楷体"/>
          <w:b w:val="0"/>
          <w:color w:val="595959"/>
          <w:sz w:val="24"/>
          <w:spacing w:val="20"/>
        </w:rPr>
        <w:t>—— 等频初分 · 约束合箱 · 候选择优 · 阈值决策 · 独立验证 ——</w:t>
      </w:r>
    </w:p>
    <w:p>
      <w:r>
        <w:rPr>
          <w:rFonts w:ascii="Times New Roman" w:hAnsi="Times New Roman" w:eastAsia="宋体"/>
          <w:b w:val="0"/>
          <w:sz w:val="24"/>
        </w:rPr>
      </w:r>
    </w:p>
    <w:p>
      <w:r>
        <w:rPr>
          <w:rFonts w:ascii="Times New Roman" w:hAnsi="Times New Roman" w:eastAsia="宋体"/>
          <w:b w:val="0"/>
          <w:sz w:val="24"/>
        </w:rPr>
      </w:r>
    </w:p>
    <w:p>
      <w:pPr>
        <w:spacing w:after="80"/>
        <w:jc w:val="center"/>
      </w:pPr>
      <w:r>
        <w:rPr>
          <w:rFonts w:ascii="Times New Roman" w:hAnsi="Times New Roman" w:eastAsia="黑体"/>
          <w:b/>
          <w:color w:val="1F4E79"/>
          <w:sz w:val="30"/>
          <w:spacing w:val="60"/>
        </w:rPr>
        <w:t>目　　录</w:t>
      </w:r>
    </w:p>
    <w:p>
      <w:pPr>
        <w:pBdr>
          <w:bottom w:val="single" w:sz="12" w:space="4" w:color="1F4E79"/>
        </w:pBdr>
      </w:pPr>
    </w:p>
    <w:p>
      <w:pPr>
        <w:spacing w:before="240"/>
      </w:pPr>
      <w:r>
        <w:rPr>
          <w:rFonts w:ascii="Times New Roman" w:hAnsi="Times New Roman" w:eastAsia="宋体"/>
          <w:b w:val="0"/>
          <w:sz w:val="24"/>
        </w:rPr>
        <w:fldChar w:fldCharType="begin"/>
        <w:instrText xml:space="preserve">TOC \o "1-2" \h \z \u</w:instrText>
        <w:fldChar w:fldCharType="separate"/>
        <w:t>（目录域：在 Word 中右键此处选择“更新域”，或 Ctrl+A 后按 F9 生成目录）</w:t>
        <w:fldChar w:fldCharType="end"/>
      </w:r>
    </w:p>
    <w:p>
      <w:pPr>
        <w:sectPr>
          <w:pgSz w:w="11906" w:h="16838"/>
          <w:pgMar w:top="1440" w:right="1417" w:bottom="1440" w:left="1701" w:header="720" w:footer="720" w:gutter="0"/>
          <w:cols w:space="720"/>
          <w:docGrid w:linePitch="360"/>
        </w:sectPr>
      </w:pPr>
    </w:p>
    <w:p>
      <w:pPr>
        <w:pStyle w:val="Heading1"/>
        <w:keepNext/>
        <w:pageBreakBefore/>
        <w:pBdr>
          <w:bottom w:val="single" w:sz="12" w:space="4" w:color="1F4E79"/>
        </w:pBdr>
        <w:spacing w:before="280" w:after="160"/>
      </w:pPr>
      <w:r>
        <w:t>一、总体思路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消费信贷审批中，模型输出连续风险分（score_mlt），业务侧需要将其转化为稳定、单调、可解释的风险等级，并据此确定自动通过、人工审核、拒绝三段阈值。本文档说明当前分箱与阈值方案的方法论与验证逻辑，供评审确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整体流程：在 Development 上等频初分 → 约束自动合箱为 6~8 档（目标 7 档）→ 候选方案评分择优 → 映射全部切片 → 风险约束下确定阈值 → OOT 独立验证 → 输出 Excel 策略报告。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color="1F4E79"/>
          <w:left w:val="single" w:sz="12" w:color="1F4E79"/>
          <w:bottom w:val="single" w:sz="12" w:color="1F4E79"/>
          <w:right w:val="single" w:sz="12" w:color="1F4E79"/>
          <w:insideH w:val="single" w:sz="12" w:color="1F4E79"/>
          <w:insideV w:val="single" w:sz="12" w:color="1F4E79"/>
        </w:tblBorders>
      </w:tblPr>
      <w:tblGrid>
        <w:gridCol w:w="8788"/>
      </w:tblGrid>
      <w:tr>
        <w:tc>
          <w:tcPr>
            <w:tcW w:type="dxa" w:w="7654"/>
            <w:shd w:val="clear" w:fill="EAF1F8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黑体"/>
                <w:b/>
                <w:color w:val="1F4E79"/>
                <w:sz w:val="22"/>
              </w:rPr>
              <w:t>样本切分（Train / OOT）→ Train 内再切分（Development / Validation）</w:t>
            </w:r>
          </w:p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2"/>
              </w:rPr>
              <w:t>→ Development 上 20 等频初分 → 边界复用到全样本</w:t>
            </w:r>
          </w:p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2"/>
              </w:rPr>
              <w:t>→ 自动合箱（小箱清理 → 单调合并 → 档位压缩 → 候选生成）</w:t>
            </w:r>
          </w:p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2"/>
              </w:rPr>
              <w:t>→ 候选方案评分与选择 → 映射到全部切片</w:t>
            </w:r>
          </w:p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2"/>
              </w:rPr>
              <w:t>→ 验证（单调性 / PSI / AUC-KS / 月度稳定性）</w:t>
            </w:r>
          </w:p>
          <w:p>
            <w:pPr>
              <w:spacing w:line="36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2"/>
              </w:rPr>
              <w:t>→ 阈值曲线与三段策略 → 输出报告</w:t>
            </w:r>
          </w:p>
        </w:tc>
      </w:tr>
    </w:tbl>
    <w:p>
      <w:pPr>
        <w:keepNext/>
        <w:spacing w:after="160" w:before="8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图 1　整体技术路线</w:t>
      </w:r>
    </w:p>
    <w:p>
      <w:pPr>
        <w:pStyle w:val="Heading1"/>
        <w:keepNext/>
        <w:pageBreakBefore/>
        <w:pBdr>
          <w:bottom w:val="single" w:sz="12" w:space="4" w:color="1F4E79"/>
        </w:pBdr>
        <w:spacing w:before="280" w:after="160"/>
      </w:pPr>
      <w:r>
        <w:t>二、样本设计与风险指标</w:t>
      </w:r>
    </w:p>
    <w:p>
      <w:pPr>
        <w:pStyle w:val="Heading2"/>
        <w:keepNext/>
        <w:spacing w:before="160" w:after="160"/>
      </w:pPr>
      <w:r>
        <w:t>（一）样本切分</w:t>
      </w:r>
    </w:p>
    <w:p>
      <w:pPr>
        <w:keepNext/>
        <w:spacing w:after="80" w:before="16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表 1　样本切分设计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814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切片</w:t>
            </w:r>
          </w:p>
        </w:tc>
        <w:tc>
          <w:tcPr>
            <w:tcW w:type="dxa" w:w="3175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时间范围</w:t>
            </w:r>
          </w:p>
        </w:tc>
        <w:tc>
          <w:tcPr>
            <w:tcW w:type="dxa" w:w="4082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职责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Development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Train 内除最后 3 个月外的全部月份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学习分箱边界、执行合箱、检查约束与单调性</w:t>
            </w:r>
          </w:p>
        </w:tc>
      </w:tr>
      <w:tr>
        <w:tc>
          <w:tcPr>
            <w:tcW w:type="dxa" w:w="1814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Validation</w:t>
            </w:r>
          </w:p>
        </w:tc>
        <w:tc>
          <w:tcPr>
            <w:tcW w:type="dxa" w:w="317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Train 内最后 3 个月</w:t>
            </w:r>
          </w:p>
        </w:tc>
        <w:tc>
          <w:tcPr>
            <w:tcW w:type="dxa" w:w="4082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评估跨期稳定性（PSI、倒挂），参与方案择优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OOT（时间外验证）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Train 截止月份之后</w:t>
            </w:r>
          </w:p>
        </w:tc>
        <w:tc>
          <w:tcPr>
            <w:tcW w:type="dxa" w:w="4082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独立验证，不参与任何合箱与阈值调参</w:t>
            </w:r>
          </w:p>
        </w:tc>
      </w:tr>
    </w:tbl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分箱边界仅在 Development 上学习，原样复用到 Validation、完整 Train 与 OOT，保证四切片口径一致。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Validation 模拟近期分布漂移，用于判断方案稳健性；OOT 全程不接触，作为最终“考卷”。</w:t>
      </w:r>
    </w:p>
    <w:p>
      <w:pPr>
        <w:pStyle w:val="Heading2"/>
        <w:keepNext/>
        <w:spacing w:before="160" w:after="160"/>
      </w:pPr>
      <w:r>
        <w:t>（二）风险指标</w:t>
      </w:r>
    </w:p>
    <w:p>
      <w:pPr>
        <w:keepNext/>
        <w:spacing w:after="80" w:before="16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表 2　风险指标体系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维度</w:t>
            </w:r>
          </w:p>
        </w:tc>
        <w:tc>
          <w:tcPr>
            <w:tcW w:type="dxa" w:w="1474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3628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定义</w:t>
            </w:r>
          </w:p>
        </w:tc>
        <w:tc>
          <w:tcPr>
            <w:tcW w:type="dxa" w:w="2608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作用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观察窗口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1M30+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到期 1 个月内逾期 30 天以上</w:t>
            </w:r>
          </w:p>
        </w:tc>
        <w:tc>
          <w:tcPr>
            <w:tcW w:type="dxa" w:w="2608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短期风险，反应快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观察窗口</w:t>
            </w:r>
          </w:p>
        </w:tc>
        <w:tc>
          <w:tcPr>
            <w:tcW w:type="dxa" w:w="1474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3M30+</w:t>
            </w:r>
          </w:p>
        </w:tc>
        <w:tc>
          <w:tcPr>
            <w:tcW w:type="dxa" w:w="3628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到期 3 个月内逾期 30 天以上</w:t>
            </w:r>
          </w:p>
        </w:tc>
        <w:tc>
          <w:tcPr>
            <w:tcW w:type="dxa" w:w="2608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中期风险，更成熟稳定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计量口径</w:t>
            </w:r>
          </w:p>
        </w:tc>
        <w:tc>
          <w:tcPr>
            <w:tcW w:type="dxa" w:w="1474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笔数逾期率</w:t>
            </w:r>
          </w:p>
        </w:tc>
        <w:tc>
          <w:tcPr>
            <w:tcW w:type="dxa" w:w="3628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逾期样本数 ÷ 成熟样本数</w:t>
            </w:r>
          </w:p>
        </w:tc>
        <w:tc>
          <w:tcPr>
            <w:tcW w:type="dxa" w:w="2608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人群风险暴露面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计量口径</w:t>
            </w:r>
          </w:p>
        </w:tc>
        <w:tc>
          <w:tcPr>
            <w:tcW w:type="dxa" w:w="1474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金额逾期率</w:t>
            </w:r>
          </w:p>
        </w:tc>
        <w:tc>
          <w:tcPr>
            <w:tcW w:type="dxa" w:w="3628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逾期剩余本金 ÷ 成熟本金敞口</w:t>
            </w:r>
          </w:p>
        </w:tc>
        <w:tc>
          <w:tcPr>
            <w:tcW w:type="dxa" w:w="2608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金额损失强度</w:t>
            </w:r>
          </w:p>
        </w:tc>
      </w:tr>
    </w:tbl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成熟样本定义：表现标签已确定（0/1）的样本才进入逾期率分母，未成熟样本不参与。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合箱主指标：1M30+ 与 3M30+ 笔数逾期率双指标，任一出现相邻倒挂即触发合并；显著性检验锚定 3M30+。金额口径用于候选评价与策略验证。</w:t>
      </w:r>
    </w:p>
    <w:p>
      <w:pPr>
        <w:pStyle w:val="Heading1"/>
        <w:keepNext/>
        <w:pageBreakBefore/>
        <w:pBdr>
          <w:bottom w:val="single" w:sz="12" w:space="4" w:color="1F4E79"/>
        </w:pBdr>
        <w:spacing w:before="280" w:after="160"/>
      </w:pPr>
      <w:r>
        <w:t>三、分箱方法论</w:t>
      </w:r>
    </w:p>
    <w:p>
      <w:pPr>
        <w:pStyle w:val="Heading2"/>
        <w:keepNext/>
        <w:spacing w:before="160" w:after="160"/>
      </w:pPr>
      <w:r>
        <w:t>（一）初分与档位目标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 Development 上按分数分位数做 20 等频初分，区间规则 (left, right]，首尾扩展为 ±∞；分数重复过多时合并相同边界，实际箱数可能少于 20。自动合箱至 6~8 档，目标 7 档。</w:t>
      </w:r>
    </w:p>
    <w:p>
      <w:pPr>
        <w:pStyle w:val="Heading2"/>
        <w:keepNext/>
        <w:spacing w:before="160" w:after="160"/>
      </w:pPr>
      <w:r>
        <w:t>（二）单箱硬约束</w:t>
      </w:r>
    </w:p>
    <w:p>
      <w:pPr>
        <w:keepNext/>
        <w:spacing w:after="80" w:before="16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表 3　最终档位单箱硬约束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928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约束项</w:t>
            </w:r>
          </w:p>
        </w:tc>
        <w:tc>
          <w:tcPr>
            <w:tcW w:type="dxa" w:w="3175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普通箱要求</w:t>
            </w:r>
          </w:p>
        </w:tc>
        <w:tc>
          <w:tcPr>
            <w:tcW w:type="dxa" w:w="3969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样本占比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中间箱 ≥ 5%，头尾箱 ≥ 2.5%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尾部箱允许更小，保证极端风险可分档</w:t>
            </w:r>
          </w:p>
        </w:tc>
      </w:tr>
      <w:tr>
        <w:tc>
          <w:tcPr>
            <w:tcW w:type="dxa" w:w="1928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主指标成熟量</w:t>
            </w:r>
          </w:p>
        </w:tc>
        <w:tc>
          <w:tcPr>
            <w:tcW w:type="dxa" w:w="317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≥ 1,000</w:t>
            </w:r>
          </w:p>
        </w:tc>
        <w:tc>
          <w:tcPr>
            <w:tcW w:type="dxa" w:w="3969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保证逾期率估计的统计稳健性</w:t>
            </w:r>
          </w:p>
        </w:tc>
      </w:tr>
      <w:tr>
        <w:tc>
          <w:tcPr>
            <w:tcW w:type="dxa" w:w="1928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坏样本量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≥ 20</w:t>
            </w:r>
          </w:p>
        </w:tc>
        <w:tc>
          <w:tcPr>
            <w:tcW w:type="dxa" w:w="3969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保证风险估计不是由个别样本驱动</w:t>
            </w:r>
          </w:p>
        </w:tc>
      </w:tr>
      <w:tr>
        <w:tc>
          <w:tcPr>
            <w:tcW w:type="dxa" w:w="1928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好样本量</w:t>
            </w:r>
          </w:p>
        </w:tc>
        <w:tc>
          <w:tcPr>
            <w:tcW w:type="dxa" w:w="317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≥ 200</w:t>
            </w:r>
          </w:p>
        </w:tc>
        <w:tc>
          <w:tcPr>
            <w:tcW w:type="dxa" w:w="3969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保证低风险估计的稳定性</w:t>
            </w:r>
          </w:p>
        </w:tc>
      </w:tr>
    </w:tbl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同时引入极端人群圈选保护：默认把最好（低风险端）与最坏（高风险端）各 1 个初始箱圈定为极端箱，不允许常规合箱跨越其边界，并放宽约束（成熟量 ≥ 500，最好箱坏样本下限 0、最坏箱好样本下限 0）。最好 / 最坏人群分别对应自动通过与拒绝策略的关键结构，不能被普通合箱稀释。</w:t>
      </w:r>
    </w:p>
    <w:p>
      <w:pPr>
        <w:pStyle w:val="Heading2"/>
        <w:keepNext/>
        <w:spacing w:before="160" w:after="160"/>
      </w:pPr>
      <w:r>
        <w:t>（三）单调性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Development：主指标（1M30+、3M30+ 笔数逾期率）相邻箱不允许倒挂（容差 0）。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Validation：允许不超过 0.3 个百分点的容忍倒挂。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候选评分同时监控 Validation 上四类风险率（含金额口径）的倒挂数。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单调性是风险等级可解释、可监控的基础，也是业务沟通与合规评审的基本要求。</w:t>
      </w:r>
    </w:p>
    <w:p>
      <w:pPr>
        <w:pStyle w:val="Heading2"/>
        <w:keepNext/>
        <w:spacing w:before="160" w:after="160"/>
      </w:pPr>
      <w:r>
        <w:t>（四）保护边界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以下关键边界在自动合箱中尽量保留，合并跨越需付出高额代价（见（六））：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策略风险边界：自动通过与总接纳约束对应的累计 3M30+ 风险线与边际风险线位置。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风险跳升边界：相邻箱之间 3M30+ 风险跳升最大的边界（默认保护 1 个）。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极端人群圈选边界：最好 / 最坏极端箱的外侧边界（默认硬保护，禁止跨越）。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策略阈值最终落在箱边界上，保护边界防止合箱吞掉策略关键结构。</w:t>
      </w:r>
    </w:p>
    <w:p>
      <w:pPr>
        <w:pStyle w:val="Heading2"/>
        <w:keepNext/>
        <w:spacing w:before="160" w:after="160"/>
      </w:pPr>
      <w:r>
        <w:t>（五）合箱流程</w:t>
      </w:r>
    </w:p>
    <w:p>
      <w:pPr>
        <w:keepNext/>
        <w:spacing w:after="80" w:before="16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表 4　合箱四阶段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587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阶段</w:t>
            </w:r>
          </w:p>
        </w:tc>
        <w:tc>
          <w:tcPr>
            <w:tcW w:type="dxa" w:w="2948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触发条件</w:t>
            </w:r>
          </w:p>
        </w:tc>
        <w:tc>
          <w:tcPr>
            <w:tcW w:type="dxa" w:w="4535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合并策略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① 小箱清理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存在违反单箱硬约束的箱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优先处理违反最严重的箱，仅允许与其相邻箱合并</w:t>
            </w:r>
          </w:p>
        </w:tc>
      </w:tr>
      <w:tr>
        <w:tc>
          <w:tcPr>
            <w:tcW w:type="dxa" w:w="1587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② 单调合并（PAVA 风格）</w:t>
            </w:r>
          </w:p>
        </w:tc>
        <w:tc>
          <w:tcPr>
            <w:tcW w:type="dxa" w:w="2948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主指标存在相邻倒挂</w:t>
            </w:r>
          </w:p>
        </w:tc>
        <w:tc>
          <w:tcPr>
            <w:tcW w:type="dxa" w:w="453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从倒挂最严重的一对开始合并，直至无倒挂</w:t>
            </w:r>
          </w:p>
        </w:tc>
      </w:tr>
      <w:tr>
        <w:tc>
          <w:tcPr>
            <w:tcW w:type="dxa" w:w="1587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③ 档位压缩</w:t>
            </w:r>
          </w:p>
        </w:tc>
        <w:tc>
          <w:tcPr>
            <w:tcW w:type="dxa" w:w="2948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档位数仍多于 8 档</w:t>
            </w:r>
          </w:p>
        </w:tc>
        <w:tc>
          <w:tcPr>
            <w:tcW w:type="dxa" w:w="453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反复合并合并代价最低的相邻对</w:t>
            </w:r>
          </w:p>
        </w:tc>
      </w:tr>
      <w:tr>
        <w:tc>
          <w:tcPr>
            <w:tcW w:type="dxa" w:w="1587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④ 候选生成</w:t>
            </w:r>
          </w:p>
        </w:tc>
        <w:tc>
          <w:tcPr>
            <w:tcW w:type="dxa" w:w="2948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档位数仍多于 6 档</w:t>
            </w:r>
          </w:p>
        </w:tc>
        <w:tc>
          <w:tcPr>
            <w:tcW w:type="dxa" w:w="453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优先合并“风险差异不显著（p ≥ 0.10）或差距 ≤ 0.3%”的相邻对，生成 8、7、6 档候选</w:t>
            </w:r>
          </w:p>
        </w:tc>
      </w:tr>
    </w:tbl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每个阶段记录合并原因与前后状态，全过程可追溯；四阶段体现“先修病、再修型、后择优”的思路。</w:t>
      </w:r>
    </w:p>
    <w:p>
      <w:pPr>
        <w:pStyle w:val="Heading2"/>
        <w:keepNext/>
        <w:spacing w:before="160" w:after="160"/>
      </w:pPr>
      <w:r>
        <w:t>（六）合并代价</w:t>
      </w:r>
    </w:p>
    <w:p>
      <w:pPr>
        <w:tabs>
          <w:tab w:pos="8787" w:val="right"/>
        </w:tabs>
        <w:spacing w:before="80" w:after="80"/>
        <w:jc w:val="center"/>
      </w:pPr>
      <w:r>
        <w:rPr>
          <w:rFonts w:ascii="Times New Roman" w:hAnsi="Times New Roman" w:eastAsia="Times New Roman"/>
          <w:b w:val="0"/>
          <w:sz w:val="24"/>
        </w:rPr>
        <w:t>merge_cost = 风险率差距 × 100 + (1 − 两比例Z检验p值) + IV损失 × 10 + 保护边界惩罚</w:t>
        <w:tab/>
        <w:t>(1)</w:t>
      </w:r>
    </w:p>
    <w:p>
      <w:pPr>
        <w:tabs>
          <w:tab w:pos="8787" w:val="right"/>
        </w:tabs>
        <w:spacing w:before="80" w:after="80"/>
        <w:jc w:val="center"/>
      </w:pPr>
      <w:r>
        <w:rPr>
          <w:rFonts w:ascii="Times New Roman" w:hAnsi="Times New Roman" w:eastAsia="Times New Roman"/>
          <w:b w:val="0"/>
          <w:sz w:val="24"/>
        </w:rPr>
        <w:t>保护边界惩罚：普通保护边界 100；极端圈选边界 10,000</w:t>
        <w:tab/>
        <w:t>(2)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风险差距越大、差异越显著、IV 损失越大、跨越保护边界，代价越高，越不应合并。</w:t>
      </w:r>
    </w:p>
    <w:p>
      <w:pPr>
        <w:pStyle w:val="Heading2"/>
        <w:keepNext/>
        <w:spacing w:before="160" w:after="160"/>
      </w:pPr>
      <w:r>
        <w:t>（七）候选评分与选择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四阶段产生的每一步合箱状态均为候选方案，先做硬约束判定，再对可行方案打分择优：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硬约束（必须全部满足）：档位数 6~8；Development 主指标无倒挂；单箱约束全部满足；未跨越极端圈选边界。</w:t>
      </w:r>
    </w:p>
    <w:p>
      <w:pPr>
        <w:keepNext/>
        <w:spacing w:after="80" w:before="16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表 5　候选方案评分权重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2835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评分项</w:t>
            </w:r>
          </w:p>
        </w:tc>
        <w:tc>
          <w:tcPr>
            <w:tcW w:type="dxa" w:w="3175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3061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含义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硬约束全部满足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+100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可行方案的基础分</w:t>
            </w:r>
          </w:p>
        </w:tc>
      </w:tr>
      <w:tr>
        <w:tc>
          <w:tcPr>
            <w:tcW w:type="dxa" w:w="2835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Development 主指标倒挂</w:t>
            </w:r>
          </w:p>
        </w:tc>
        <w:tc>
          <w:tcPr>
            <w:tcW w:type="dxa" w:w="317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−30 × 次数</w:t>
            </w:r>
          </w:p>
        </w:tc>
        <w:tc>
          <w:tcPr>
            <w:tcW w:type="dxa" w:w="3061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惩罚开发期单调性缺陷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Validation 主指标倒挂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−12 × 次数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惩罚跨期单调性缺陷</w:t>
            </w:r>
          </w:p>
        </w:tc>
      </w:tr>
      <w:tr>
        <w:tc>
          <w:tcPr>
            <w:tcW w:type="dxa" w:w="2835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Validation 全指标倒挂</w:t>
            </w:r>
          </w:p>
        </w:tc>
        <w:tc>
          <w:tcPr>
            <w:tcW w:type="dxa" w:w="317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−4 × 次数</w:t>
            </w:r>
          </w:p>
        </w:tc>
        <w:tc>
          <w:tcPr>
            <w:tcW w:type="dxa" w:w="3061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惩罚金额口径倒挂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单箱约束违反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−15 × 次数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惩罚小箱残留</w:t>
            </w:r>
          </w:p>
        </w:tc>
      </w:tr>
      <w:tr>
        <w:tc>
          <w:tcPr>
            <w:tcW w:type="dxa" w:w="2835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Validation PSI 超偏好线</w:t>
            </w:r>
          </w:p>
        </w:tc>
        <w:tc>
          <w:tcPr>
            <w:tcW w:type="dxa" w:w="317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−150 × max(0, PSI − 0.05)</w:t>
            </w:r>
          </w:p>
        </w:tc>
        <w:tc>
          <w:tcPr>
            <w:tcW w:type="dxa" w:w="3061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惩罚跨期分布漂移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IV 保留率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+12 × min(保留率, 1.5)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奖励区分度保留</w:t>
            </w:r>
          </w:p>
        </w:tc>
      </w:tr>
      <w:tr>
        <w:tc>
          <w:tcPr>
            <w:tcW w:type="dxa" w:w="2835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最小相邻风险差距</w:t>
            </w:r>
          </w:p>
        </w:tc>
        <w:tc>
          <w:tcPr>
            <w:tcW w:type="dxa" w:w="3175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+100 × max(0, 最小差距)</w:t>
            </w:r>
          </w:p>
        </w:tc>
        <w:tc>
          <w:tcPr>
            <w:tcW w:type="dxa" w:w="3061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奖励相邻档风险分离度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档位距离</w:t>
            </w:r>
          </w:p>
        </w:tc>
        <w:tc>
          <w:tcPr>
            <w:tcW w:type="dxa" w:w="3175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−1.5 × |档位数 − 7|</w:t>
            </w:r>
          </w:p>
        </w:tc>
        <w:tc>
          <w:tcPr>
            <w:tcW w:type="dxa" w:w="3061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偏好目标档位数</w:t>
            </w:r>
          </w:p>
        </w:tc>
      </w:tr>
      <w:tr>
        <w:tc>
          <w:tcPr>
            <w:tcW w:type="dxa" w:w="9071"/>
            <w:vAlign w:val="center"/>
            <w:gridSpan w:val="3"/>
            <w:shd w:val="clear" w:fill="FFF8E6"/>
          </w:tcPr>
          <w:p>
            <w:pPr>
              <w:spacing w:line="336" w:lineRule="auto" w:after="40"/>
              <w:jc w:val="both"/>
            </w:pPr>
            <w:r>
              <w:rPr>
                <w:rFonts w:ascii="Times New Roman" w:hAnsi="Times New Roman" w:eastAsia="宋体"/>
                <w:b w:val="0"/>
                <w:sz w:val="22"/>
              </w:rPr>
              <w:t>选择顺序：硬约束 → Development 倒挂数 → 约束违反数 → Validation 倒挂数 → PSI 可接受（≤ 0.10）→ PSI 偏好（≤ 0.05）→ 综合得分 → IV 保留率 → 档位距离，取第一名。</w:t>
            </w:r>
          </w:p>
          <w:p>
            <w:pPr>
              <w:spacing w:line="336" w:lineRule="auto" w:after="40"/>
              <w:jc w:val="both"/>
            </w:pPr>
            <w:r>
              <w:rPr>
                <w:rFonts w:ascii="Times New Roman" w:hAnsi="Times New Roman" w:eastAsia="宋体"/>
                <w:b w:val="0"/>
                <w:sz w:val="22"/>
              </w:rPr>
              <w:t>权重为经验值，只影响候选排序，不影响硬约束判定。</w:t>
            </w:r>
          </w:p>
        </w:tc>
      </w:tr>
    </w:tbl>
    <w:p>
      <w:pPr>
        <w:pStyle w:val="Heading1"/>
        <w:keepNext/>
        <w:pageBreakBefore/>
        <w:pBdr>
          <w:bottom w:val="single" w:sz="12" w:space="4" w:color="1F4E79"/>
        </w:pBdr>
        <w:spacing w:before="280" w:after="160"/>
      </w:pPr>
      <w:r>
        <w:t>四、策略阈值设定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在完整 Train 上，沿低风险到高风险方向逐档放宽阈值（候选阈值为最终箱右边界，末箱用 Train 最大分数保留“全量通过”点），构造累计与边际风险曲线：累计指标反映放宽到该阈值的整体规模与风险；边际指标反映新增人群风险，用于识别风险拐点。</w:t>
      </w:r>
    </w:p>
    <w:p>
      <w:pPr>
        <w:keepNext/>
        <w:spacing w:after="80" w:before="16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表 6　策略风险约束（示例配置）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2041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约束阶段</w:t>
            </w:r>
          </w:p>
        </w:tc>
        <w:tc>
          <w:tcPr>
            <w:tcW w:type="dxa" w:w="2381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累计 1M30+ 笔数逾期率</w:t>
            </w:r>
          </w:p>
        </w:tc>
        <w:tc>
          <w:tcPr>
            <w:tcW w:type="dxa" w:w="2381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累计 3M30+ 笔数逾期率</w:t>
            </w:r>
          </w:p>
        </w:tc>
        <w:tc>
          <w:tcPr>
            <w:tcW w:type="dxa" w:w="2268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边际 3M30+ 笔数逾期率</w:t>
            </w:r>
          </w:p>
        </w:tc>
      </w:tr>
      <w:tr>
        <w:tc>
          <w:tcPr>
            <w:tcW w:type="dxa" w:w="204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自动通过</w:t>
            </w:r>
          </w:p>
        </w:tc>
        <w:tc>
          <w:tcPr>
            <w:tcW w:type="dxa" w:w="2381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≤ 0.90%</w:t>
            </w:r>
          </w:p>
        </w:tc>
        <w:tc>
          <w:tcPr>
            <w:tcW w:type="dxa" w:w="2381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≤ 5.50%</w:t>
            </w:r>
          </w:p>
        </w:tc>
        <w:tc>
          <w:tcPr>
            <w:tcW w:type="dxa" w:w="2268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≤ 9.00%</w:t>
            </w:r>
          </w:p>
        </w:tc>
      </w:tr>
      <w:tr>
        <w:tc>
          <w:tcPr>
            <w:tcW w:type="dxa" w:w="2041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总接纳（自动 + 人工）</w:t>
            </w:r>
          </w:p>
        </w:tc>
        <w:tc>
          <w:tcPr>
            <w:tcW w:type="dxa" w:w="2381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≤ 1.30%</w:t>
            </w:r>
          </w:p>
        </w:tc>
        <w:tc>
          <w:tcPr>
            <w:tcW w:type="dxa" w:w="2381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≤ 7.50%</w:t>
            </w:r>
          </w:p>
        </w:tc>
        <w:tc>
          <w:tcPr>
            <w:tcW w:type="dxa" w:w="2268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≤ 17.00%</w:t>
            </w:r>
          </w:p>
        </w:tc>
      </w:tr>
    </w:tbl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满足约束且累计通过率最高的阈值当选，形成三段策略：</w:t>
      </w:r>
    </w:p>
    <w:p>
      <w:pPr>
        <w:tabs>
          <w:tab w:pos="8787" w:val="right"/>
        </w:tabs>
        <w:spacing w:before="80" w:after="80"/>
        <w:jc w:val="center"/>
      </w:pPr>
      <w:r>
        <w:rPr>
          <w:rFonts w:ascii="Times New Roman" w:hAnsi="Times New Roman" w:eastAsia="Times New Roman"/>
          <w:b w:val="0"/>
          <w:sz w:val="24"/>
        </w:rPr>
        <w:t>自动通过：score ≤ 自动通过阈值</w:t>
        <w:tab/>
        <w:t>(3)</w:t>
      </w:r>
    </w:p>
    <w:p>
      <w:pPr>
        <w:tabs>
          <w:tab w:pos="8787" w:val="right"/>
        </w:tabs>
        <w:spacing w:before="80" w:after="80"/>
        <w:jc w:val="center"/>
      </w:pPr>
      <w:r>
        <w:rPr>
          <w:rFonts w:ascii="Times New Roman" w:hAnsi="Times New Roman" w:eastAsia="Times New Roman"/>
          <w:b w:val="0"/>
          <w:sz w:val="24"/>
        </w:rPr>
        <w:t>人工审核：自动通过阈值 &lt; score ≤ 总接纳阈值</w:t>
        <w:tab/>
        <w:t>(4)</w:t>
      </w:r>
    </w:p>
    <w:p>
      <w:pPr>
        <w:tabs>
          <w:tab w:pos="8787" w:val="right"/>
        </w:tabs>
        <w:spacing w:before="80" w:after="80"/>
        <w:jc w:val="center"/>
      </w:pPr>
      <w:r>
        <w:rPr>
          <w:rFonts w:ascii="Times New Roman" w:hAnsi="Times New Roman" w:eastAsia="Times New Roman"/>
          <w:b w:val="0"/>
          <w:sz w:val="24"/>
        </w:rPr>
        <w:t>拒绝：score &gt; 总接纳阈值</w:t>
        <w:tab/>
        <w:t>(5)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总接纳阈值不得严于自动通过阈值（若出现则对齐）；约束给出风险上限，目标为通过率最大化，实现“风险可控前提下业务量最大”的平衡。</w:t>
      </w:r>
    </w:p>
    <w:p>
      <w:pPr>
        <w:pStyle w:val="Heading1"/>
        <w:keepNext/>
        <w:pageBreakBefore/>
        <w:pBdr>
          <w:bottom w:val="single" w:sz="12" w:space="4" w:color="1F4E79"/>
        </w:pBdr>
        <w:spacing w:before="280" w:after="160"/>
      </w:pPr>
      <w:r>
        <w:t>五、方案验证</w:t>
      </w:r>
    </w:p>
    <w:p>
      <w:pPr>
        <w:keepNext/>
        <w:spacing w:after="80" w:before="160"/>
        <w:jc w:val="center"/>
      </w:pPr>
      <w:r>
        <w:rPr>
          <w:rFonts w:ascii="Times New Roman" w:hAnsi="Times New Roman" w:eastAsia="黑体"/>
          <w:b/>
          <w:color w:val="1F4E79"/>
          <w:sz w:val="21"/>
        </w:rPr>
        <w:t>表 7　验证指标体系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361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验证维度</w:t>
            </w:r>
          </w:p>
        </w:tc>
        <w:tc>
          <w:tcPr>
            <w:tcW w:type="dxa" w:w="1587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指标</w:t>
            </w:r>
          </w:p>
        </w:tc>
        <w:tc>
          <w:tcPr>
            <w:tcW w:type="dxa" w:w="6123"/>
            <w:vAlign w:val="center"/>
            <w:shd w:val="clear" w:fill="1F4E79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口径 / 判定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风险排序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单调性</w:t>
            </w:r>
          </w:p>
        </w:tc>
        <w:tc>
          <w:tcPr>
            <w:tcW w:type="dxa" w:w="6123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四切片（Dev / Val / Train / OOT）× 四类风险率是否非递减，输出倒挂次数与位置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分布稳定</w:t>
            </w:r>
          </w:p>
        </w:tc>
        <w:tc>
          <w:tcPr>
            <w:tcW w:type="dxa" w:w="1587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PSI</w:t>
            </w:r>
          </w:p>
        </w:tc>
        <w:tc>
          <w:tcPr>
            <w:tcW w:type="dxa" w:w="6123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Train 与 OOT 各档样本占比差异；&lt; 0.10 稳定，0.10~0.25 关注，≥ 0.25 明显变化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区分能力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AUC / KS</w:t>
            </w:r>
          </w:p>
        </w:tc>
        <w:tc>
          <w:tcPr>
            <w:tcW w:type="dxa" w:w="6123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Train / OOT × 1M30+ / 3M30+ 分别计算</w:t>
            </w:r>
          </w:p>
        </w:tc>
      </w:tr>
      <w:tr>
        <w:tc>
          <w:tcPr>
            <w:tcW w:type="dxa" w:w="1361"/>
            <w:vAlign w:val="center"/>
            <w:shd w:val="clear" w:fill="EAF1F8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时间稳定</w:t>
            </w:r>
          </w:p>
        </w:tc>
        <w:tc>
          <w:tcPr>
            <w:tcW w:type="dxa" w:w="1587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月度稳定性</w:t>
            </w:r>
          </w:p>
        </w:tc>
        <w:tc>
          <w:tcPr>
            <w:tcW w:type="dxa" w:w="6123"/>
            <w:vAlign w:val="center"/>
            <w:shd w:val="clear" w:fill="EAF1F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逐月检查主指标单调性、倒挂次数、最大单次风险跌幅，识别异常月份</w:t>
            </w:r>
          </w:p>
        </w:tc>
      </w:tr>
      <w:tr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>策略效果</w:t>
            </w:r>
          </w:p>
        </w:tc>
        <w:tc>
          <w:tcPr>
            <w:tcW w:type="dxa" w:w="1587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分段验证</w:t>
            </w:r>
          </w:p>
        </w:tc>
        <w:tc>
          <w:tcPr>
            <w:tcW w:type="dxa" w:w="6123"/>
            <w:vAlign w:val="center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自动通过 / 人工审核 / 拒绝三段在 Train 与 OOT 的规模与风险，应呈“低 &lt; 中 &lt; 高”梯度且不反转</w:t>
            </w:r>
          </w:p>
        </w:tc>
      </w:tr>
    </w:tbl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验证贯穿三个层次：Development 检查方案自身质量，Validation 检查跨期稳健性，OOT 作为独立数据做最终确认。</w:t>
      </w:r>
    </w:p>
    <w:p>
      <w:pPr>
        <w:pStyle w:val="Heading1"/>
        <w:keepNext/>
        <w:pageBreakBefore/>
        <w:pBdr>
          <w:bottom w:val="single" w:sz="12" w:space="4" w:color="1F4E79"/>
        </w:pBdr>
        <w:spacing w:before="280" w:after="160"/>
      </w:pPr>
      <w:r>
        <w:t>六、局限性与待讨论问题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以下局限按对上线决策的影响程度分为三级：高——上线前必须解决；中——上线前应明确处理方案；低——持续优化，不阻塞上线。</w:t>
      </w:r>
    </w:p>
    <w:p>
      <w:pPr>
        <w:keepNext/>
        <w:spacing w:before="200" w:after="80"/>
        <w:shd w:val="clear" w:fill="EAF1F8"/>
      </w:pPr>
      <w:r>
        <w:rPr>
          <w:rFonts w:ascii="Times New Roman" w:hAnsi="Times New Roman" w:eastAsia="黑体"/>
          <w:b/>
          <w:color w:val="1F4E79"/>
          <w:sz w:val="22"/>
        </w:rPr>
        <w:t>高优先级 · 上线前必须解决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拒绝样本与选择偏差：三段阈值与约束仅基于已获贷人群（自动通过 + 人工审核通过）的表现，被拒人群无标签、不进入逾期率估计；若模型在被拒人群上排序失效，实际风险可能被系统性低估，未引入拒绝推断或补充样本校准。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尾部箱风险估计精度：坏样本量下限 20 仅保证点估计，最坏端箱的 3M30+ 率置信区间宽度可达 ±10~20 个百分点，策略边际风险线可能落入区间内而无法与相邻约束水平可靠区分；未引入置信区间或精确检验（如 Clopper-Pearson）作为达标判定与约束加严的依据。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目标函数与约束取值：阈值优化目标仅为累计通过率最大化，未嵌入逾期损失、资金成本与收入模型，也未量化收严 / 放松一档对规模与风险的边际影响；表 6 约束值为示例配置，其业务依据需评审确认。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阈值边界取整与上线执行细节（边界落入真实分数值）待细化。</w:t>
      </w:r>
    </w:p>
    <w:p>
      <w:pPr>
        <w:keepNext/>
        <w:spacing w:before="200" w:after="80"/>
        <w:shd w:val="clear" w:fill="EAF1F8"/>
      </w:pPr>
      <w:r>
        <w:rPr>
          <w:rFonts w:ascii="Times New Roman" w:hAnsi="Times New Roman" w:eastAsia="黑体"/>
          <w:b/>
          <w:color w:val="1F4E79"/>
          <w:sz w:val="22"/>
        </w:rPr>
        <w:t>中优先级 · 上线前应明确处理方案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分箱保鲜期与刷新机制：边界与阈值绑定当前 score_mlt 版本，模型重构、重校准或客群结构变化后边界逐步退化；未定义定期重估周期、刷新触发条件及新旧分箱并轨验证（shadow）安排。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账龄结构干扰：1M30+ / 3M30+ 需要 1~3 个月观察窗，Train 尾部与 OOT 前期账龄未成熟、成熟率低，月度稳定性与分月指标易受账龄结构变化（而非真实风险变化）干扰；未按账龄分层复核成熟度充分性。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当前仅输出一套“平衡型”策略，未做保守 / 增长多策略对比与人工审核产能约束的联动分析。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金额口径依赖剩余本金估计字段，其估计准确性直接影响金额指标可信度。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候选评分权重与 PSI 偏好线（0.05）、可接受线（0.10）、Validation 容忍倒挂（0.3pp）等经验值，未做系统性敏感性分析。</w:t>
      </w:r>
    </w:p>
    <w:p>
      <w:pPr>
        <w:keepNext/>
        <w:spacing w:before="200" w:after="80"/>
        <w:shd w:val="clear" w:fill="EAF1F8"/>
      </w:pPr>
      <w:r>
        <w:rPr>
          <w:rFonts w:ascii="Times New Roman" w:hAnsi="Times New Roman" w:eastAsia="黑体"/>
          <w:b/>
          <w:color w:val="1F4E79"/>
          <w:sz w:val="22"/>
        </w:rPr>
        <w:t>低优先级 · 持续优化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候选择优的抽样稳定性：候选评分与选择仅在 Development 单一样本上执行一次，未用 bootstrap / 子样本扰动验证最优方案与箱边界是否会翻转；最优与次优候选得分接近时结论稳健性未知。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初始 20 箱、最终 6~8 档（目标 7）为经验设定，未用数据驱动方式确定最优档位数。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单调性仅做相邻箱检查，无全局趋势检验（如 Cochran-Armitage）；金额口径单调性未纳入硬约束。</w:t>
      </w:r>
    </w:p>
    <w:p>
      <w:pPr>
        <w:spacing w:line="336" w:lineRule="auto" w:after="40"/>
        <w:ind w:left="480" w:hanging="240"/>
        <w:jc w:val="both"/>
      </w:pPr>
      <w:r>
        <w:rPr>
          <w:rFonts w:ascii="Times New Roman" w:hAnsi="Times New Roman" w:eastAsia="宋体"/>
          <w:b w:val="0"/>
          <w:sz w:val="24"/>
        </w:rPr>
        <w:t>• 极端人群圈选数量（最好 / 最坏各 1 箱）为主观设定，其敏感性未检验。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17" w:bottom="1440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595959"/>
        <w:sz w:val="18"/>
      </w:rPr>
      <w:t xml:space="preserve">第 </w:t>
    </w:r>
    <w:r>
      <w:rPr>
        <w:rFonts w:ascii="Times New Roman" w:hAnsi="Times New Roman" w:eastAsia="宋体"/>
        <w:b w:val="0"/>
        <w:color w:val="595959"/>
        <w:sz w:val="18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b w:val="0"/>
        <w:color w:val="595959"/>
        <w:sz w:val="18"/>
      </w:rPr>
      <w:t xml:space="preserve"> 页 共 </w:t>
    </w:r>
    <w:r>
      <w:rPr>
        <w:rFonts w:ascii="Times New Roman" w:hAnsi="Times New Roman" w:eastAsia="宋体"/>
        <w:b w:val="0"/>
        <w:color w:val="595959"/>
        <w:sz w:val="18"/>
      </w:rPr>
      <w:fldChar w:fldCharType="begin"/>
      <w:instrText xml:space="preserve">NUMPAGES</w:instrText>
      <w:fldChar w:fldCharType="end"/>
    </w:r>
    <w:r>
      <w:rPr>
        <w:rFonts w:ascii="Times New Roman" w:hAnsi="Times New Roman" w:eastAsia="宋体"/>
        <w:b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8787" w:val="right"/>
      </w:tabs>
      <w:pBdr>
        <w:bottom w:val="single" w:sz="6" w:space="1" w:color="1F4E79"/>
      </w:pBdr>
    </w:pPr>
    <w:r>
      <w:rPr>
        <w:rFonts w:ascii="Times New Roman" w:hAnsi="Times New Roman" w:eastAsia="宋体"/>
        <w:b w:val="0"/>
        <w:color w:val="595959"/>
        <w:sz w:val="18"/>
      </w:rPr>
      <w:t>模型分数分箱与策略阈值设定方法说明</w:t>
    </w:r>
    <w:r>
      <w:rPr>
        <w:rFonts w:ascii="Times New Roman" w:hAnsi="Times New Roman" w:eastAsia="楷体"/>
        <w:b/>
        <w:color w:val="1F4E79"/>
        <w:sz w:val="18"/>
      </w:rPr>
      <w:tab/>
      <w:t>评审稿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模型分数分箱与策略阈值设定方法说明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