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9DA1C" w14:textId="3B5C86CD" w:rsidR="00247A63" w:rsidRDefault="00247A63">
      <w:pPr>
        <w:rPr>
          <w:sz w:val="24"/>
          <w:szCs w:val="24"/>
        </w:rPr>
      </w:pPr>
      <w:r w:rsidRPr="00247A63">
        <w:rPr>
          <w:sz w:val="24"/>
          <w:szCs w:val="24"/>
        </w:rPr>
        <w:t>Efficacy and safety of Semaglutide vs Tirzepatide for Weight Loss in Adults With Overweight or Obesity, a systematic review and meta analysis</w:t>
      </w:r>
    </w:p>
    <w:p w14:paraId="2C110226" w14:textId="77777777" w:rsidR="00247A63" w:rsidRPr="00247A63" w:rsidRDefault="00247A63">
      <w:pPr>
        <w:rPr>
          <w:sz w:val="24"/>
          <w:szCs w:val="24"/>
        </w:rPr>
      </w:pPr>
    </w:p>
    <w:p w14:paraId="676D7032" w14:textId="72AAE47B" w:rsidR="00594B75" w:rsidRDefault="00594B75">
      <w:r>
        <w:t xml:space="preserve">Table 1: Study Characteristics </w:t>
      </w:r>
    </w:p>
    <w:tbl>
      <w:tblPr>
        <w:tblStyle w:val="TableGrid"/>
        <w:tblpPr w:leftFromText="180" w:rightFromText="180" w:vertAnchor="page" w:horzAnchor="margin" w:tblpY="2861"/>
        <w:tblW w:w="0" w:type="auto"/>
        <w:tblLook w:val="04A0" w:firstRow="1" w:lastRow="0" w:firstColumn="1" w:lastColumn="0" w:noHBand="0" w:noVBand="1"/>
      </w:tblPr>
      <w:tblGrid>
        <w:gridCol w:w="1631"/>
        <w:gridCol w:w="1288"/>
        <w:gridCol w:w="1609"/>
        <w:gridCol w:w="1692"/>
        <w:gridCol w:w="1651"/>
        <w:gridCol w:w="1717"/>
        <w:gridCol w:w="1112"/>
        <w:gridCol w:w="1658"/>
        <w:gridCol w:w="1590"/>
      </w:tblGrid>
      <w:tr w:rsidR="00150FC0" w14:paraId="1FB5B5C1" w14:textId="77777777" w:rsidTr="00150FC0">
        <w:tc>
          <w:tcPr>
            <w:tcW w:w="1631" w:type="dxa"/>
          </w:tcPr>
          <w:p w14:paraId="10D84844" w14:textId="77777777" w:rsidR="00150FC0" w:rsidRDefault="00150FC0" w:rsidP="00150FC0">
            <w:r>
              <w:t>Author, Year</w:t>
            </w:r>
          </w:p>
        </w:tc>
        <w:tc>
          <w:tcPr>
            <w:tcW w:w="1288" w:type="dxa"/>
          </w:tcPr>
          <w:p w14:paraId="545909C8" w14:textId="77777777" w:rsidR="00150FC0" w:rsidRDefault="00150FC0" w:rsidP="00150FC0">
            <w:r w:rsidRPr="00B5534A">
              <w:t>Study Design</w:t>
            </w:r>
          </w:p>
        </w:tc>
        <w:tc>
          <w:tcPr>
            <w:tcW w:w="1609" w:type="dxa"/>
          </w:tcPr>
          <w:p w14:paraId="76D91685" w14:textId="77777777" w:rsidR="00150FC0" w:rsidRDefault="00150FC0" w:rsidP="00150FC0">
            <w:r w:rsidRPr="00B5534A">
              <w:t>Sample Size</w:t>
            </w:r>
          </w:p>
        </w:tc>
        <w:tc>
          <w:tcPr>
            <w:tcW w:w="1692" w:type="dxa"/>
          </w:tcPr>
          <w:p w14:paraId="0141D67E" w14:textId="77777777" w:rsidR="00150FC0" w:rsidRDefault="00150FC0" w:rsidP="00150FC0">
            <w:r w:rsidRPr="00B5534A">
              <w:t>Intervention</w:t>
            </w:r>
          </w:p>
        </w:tc>
        <w:tc>
          <w:tcPr>
            <w:tcW w:w="1651" w:type="dxa"/>
          </w:tcPr>
          <w:p w14:paraId="55CE6215" w14:textId="77777777" w:rsidR="00150FC0" w:rsidRDefault="00150FC0" w:rsidP="00150FC0">
            <w:r w:rsidRPr="00B5534A">
              <w:t>Comparator</w:t>
            </w:r>
          </w:p>
        </w:tc>
        <w:tc>
          <w:tcPr>
            <w:tcW w:w="1717" w:type="dxa"/>
          </w:tcPr>
          <w:p w14:paraId="6995B650" w14:textId="77777777" w:rsidR="00150FC0" w:rsidRPr="00B5534A" w:rsidRDefault="00150FC0" w:rsidP="00150FC0">
            <w:r>
              <w:t>Objectives</w:t>
            </w:r>
          </w:p>
        </w:tc>
        <w:tc>
          <w:tcPr>
            <w:tcW w:w="1112" w:type="dxa"/>
          </w:tcPr>
          <w:p w14:paraId="2F801BF1" w14:textId="77777777" w:rsidR="00150FC0" w:rsidRPr="00B5534A" w:rsidRDefault="00150FC0" w:rsidP="00150FC0">
            <w:r>
              <w:t xml:space="preserve">Follow up </w:t>
            </w:r>
          </w:p>
        </w:tc>
        <w:tc>
          <w:tcPr>
            <w:tcW w:w="1658" w:type="dxa"/>
          </w:tcPr>
          <w:p w14:paraId="60BCB036" w14:textId="77777777" w:rsidR="00150FC0" w:rsidRPr="00B5534A" w:rsidRDefault="00150FC0" w:rsidP="00150FC0">
            <w:r w:rsidRPr="00B5534A">
              <w:t>Outcomes Measured</w:t>
            </w:r>
          </w:p>
        </w:tc>
        <w:tc>
          <w:tcPr>
            <w:tcW w:w="1590" w:type="dxa"/>
          </w:tcPr>
          <w:p w14:paraId="41C0E248" w14:textId="77777777" w:rsidR="00150FC0" w:rsidRPr="00B5534A" w:rsidRDefault="00150FC0" w:rsidP="00150FC0">
            <w:r>
              <w:t>Inclusion and exclusion criteria</w:t>
            </w:r>
          </w:p>
        </w:tc>
      </w:tr>
      <w:tr w:rsidR="00150FC0" w14:paraId="2ECC2132" w14:textId="77777777" w:rsidTr="00150FC0">
        <w:tc>
          <w:tcPr>
            <w:tcW w:w="1631" w:type="dxa"/>
          </w:tcPr>
          <w:p w14:paraId="190A7F89" w14:textId="77777777" w:rsidR="00150FC0" w:rsidRPr="00594B75" w:rsidRDefault="00150FC0" w:rsidP="00150FC0">
            <w:pPr>
              <w:rPr>
                <w:sz w:val="18"/>
                <w:szCs w:val="18"/>
              </w:rPr>
            </w:pPr>
            <w:hyperlink r:id="rId8" w:tgtFrame="_blank" w:history="1">
              <w:r w:rsidRPr="00594B75">
                <w:rPr>
                  <w:rStyle w:val="Hyperlink"/>
                  <w:color w:val="auto"/>
                  <w:sz w:val="18"/>
                  <w:szCs w:val="18"/>
                  <w:u w:val="none"/>
                </w:rPr>
                <w:t>Patricia J. Rodriguez</w:t>
              </w:r>
            </w:hyperlink>
            <w:r w:rsidRPr="00594B75">
              <w:rPr>
                <w:sz w:val="18"/>
                <w:szCs w:val="18"/>
              </w:rPr>
              <w:t>, et al. 2024</w:t>
            </w:r>
            <w:r w:rsidRPr="00594B75">
              <w:rPr>
                <w:rStyle w:val="FootnoteReference"/>
                <w:sz w:val="18"/>
                <w:szCs w:val="18"/>
              </w:rPr>
              <w:footnoteReference w:id="1"/>
            </w:r>
          </w:p>
          <w:p w14:paraId="42CB7D1E" w14:textId="77777777" w:rsidR="00150FC0" w:rsidRPr="00594B75" w:rsidRDefault="00150FC0" w:rsidP="00150FC0">
            <w:pPr>
              <w:rPr>
                <w:sz w:val="18"/>
                <w:szCs w:val="18"/>
              </w:rPr>
            </w:pPr>
          </w:p>
        </w:tc>
        <w:tc>
          <w:tcPr>
            <w:tcW w:w="1288" w:type="dxa"/>
          </w:tcPr>
          <w:p w14:paraId="138BB348" w14:textId="77777777" w:rsidR="00150FC0" w:rsidRPr="00594B75" w:rsidRDefault="00150FC0" w:rsidP="00150FC0">
            <w:pPr>
              <w:rPr>
                <w:sz w:val="18"/>
                <w:szCs w:val="18"/>
              </w:rPr>
            </w:pPr>
            <w:r w:rsidRPr="00594B75">
              <w:rPr>
                <w:sz w:val="18"/>
                <w:szCs w:val="18"/>
              </w:rPr>
              <w:t> cohort study</w:t>
            </w:r>
          </w:p>
        </w:tc>
        <w:tc>
          <w:tcPr>
            <w:tcW w:w="1609" w:type="dxa"/>
          </w:tcPr>
          <w:p w14:paraId="71697A4A" w14:textId="77777777" w:rsidR="00150FC0" w:rsidRPr="00594B75" w:rsidRDefault="00150FC0" w:rsidP="00150FC0">
            <w:pPr>
              <w:rPr>
                <w:sz w:val="18"/>
                <w:szCs w:val="18"/>
              </w:rPr>
            </w:pPr>
            <w:r w:rsidRPr="00594B75">
              <w:rPr>
                <w:sz w:val="18"/>
                <w:szCs w:val="18"/>
              </w:rPr>
              <w:t>Total: 18 386 (After propensity match)</w:t>
            </w:r>
          </w:p>
          <w:p w14:paraId="76855E5E" w14:textId="77777777" w:rsidR="00150FC0" w:rsidRPr="00594B75" w:rsidRDefault="00150FC0" w:rsidP="00150FC0">
            <w:pPr>
              <w:rPr>
                <w:sz w:val="18"/>
                <w:szCs w:val="18"/>
              </w:rPr>
            </w:pPr>
            <w:r w:rsidRPr="00594B75">
              <w:rPr>
                <w:sz w:val="18"/>
                <w:szCs w:val="18"/>
              </w:rPr>
              <w:t>tirzepatide: 9193; semaglutide: 9192</w:t>
            </w:r>
          </w:p>
        </w:tc>
        <w:tc>
          <w:tcPr>
            <w:tcW w:w="1692" w:type="dxa"/>
          </w:tcPr>
          <w:p w14:paraId="75823528" w14:textId="77777777" w:rsidR="00150FC0" w:rsidRPr="00594B75" w:rsidRDefault="00150FC0" w:rsidP="00150FC0">
            <w:pPr>
              <w:rPr>
                <w:sz w:val="18"/>
                <w:szCs w:val="18"/>
              </w:rPr>
            </w:pPr>
            <w:r w:rsidRPr="00594B75">
              <w:rPr>
                <w:sz w:val="18"/>
                <w:szCs w:val="18"/>
              </w:rPr>
              <w:t>Tirzepatide: Initial dose of 5 mg</w:t>
            </w:r>
          </w:p>
          <w:p w14:paraId="1F3E26DC" w14:textId="77777777" w:rsidR="00150FC0" w:rsidRPr="00594B75" w:rsidRDefault="00150FC0" w:rsidP="00150FC0">
            <w:pPr>
              <w:rPr>
                <w:sz w:val="18"/>
                <w:szCs w:val="18"/>
              </w:rPr>
            </w:pPr>
            <w:r w:rsidRPr="00594B75">
              <w:rPr>
                <w:sz w:val="18"/>
                <w:szCs w:val="18"/>
              </w:rPr>
              <w:t>Semaglutide: Initial dose of 0.25 mg</w:t>
            </w:r>
          </w:p>
          <w:p w14:paraId="2E658BFB" w14:textId="77777777" w:rsidR="00150FC0" w:rsidRPr="00594B75" w:rsidRDefault="00150FC0" w:rsidP="00150FC0">
            <w:pPr>
              <w:rPr>
                <w:sz w:val="18"/>
                <w:szCs w:val="18"/>
              </w:rPr>
            </w:pPr>
            <w:r w:rsidRPr="00594B75">
              <w:rPr>
                <w:sz w:val="18"/>
                <w:szCs w:val="18"/>
              </w:rPr>
              <w:t>(with dose escalation every 4 weeks to reach the target maintenance dose)</w:t>
            </w:r>
          </w:p>
        </w:tc>
        <w:tc>
          <w:tcPr>
            <w:tcW w:w="1651" w:type="dxa"/>
          </w:tcPr>
          <w:p w14:paraId="08B7EFA8" w14:textId="77777777" w:rsidR="00150FC0" w:rsidRPr="00594B75" w:rsidRDefault="00150FC0" w:rsidP="00150FC0">
            <w:pPr>
              <w:rPr>
                <w:sz w:val="18"/>
                <w:szCs w:val="18"/>
              </w:rPr>
            </w:pPr>
            <w:r w:rsidRPr="00594B75">
              <w:rPr>
                <w:sz w:val="18"/>
                <w:szCs w:val="18"/>
              </w:rPr>
              <w:t>Tirzepatide Vs Semaglutide</w:t>
            </w:r>
          </w:p>
        </w:tc>
        <w:tc>
          <w:tcPr>
            <w:tcW w:w="1717" w:type="dxa"/>
          </w:tcPr>
          <w:p w14:paraId="1371C0D9" w14:textId="77777777" w:rsidR="00150FC0" w:rsidRPr="00594B75" w:rsidRDefault="00150FC0" w:rsidP="00150FC0">
            <w:pPr>
              <w:rPr>
                <w:sz w:val="18"/>
                <w:szCs w:val="18"/>
              </w:rPr>
            </w:pPr>
            <w:r w:rsidRPr="00594B75">
              <w:rPr>
                <w:sz w:val="18"/>
                <w:szCs w:val="18"/>
              </w:rPr>
              <w:t>on-treatment weight loss and rates of gastrointestinal adverse events</w:t>
            </w:r>
          </w:p>
        </w:tc>
        <w:tc>
          <w:tcPr>
            <w:tcW w:w="1112" w:type="dxa"/>
          </w:tcPr>
          <w:p w14:paraId="0DFFFCE2" w14:textId="77777777" w:rsidR="00150FC0" w:rsidRPr="00594B75" w:rsidRDefault="00150FC0" w:rsidP="00150FC0">
            <w:pPr>
              <w:rPr>
                <w:sz w:val="18"/>
                <w:szCs w:val="18"/>
              </w:rPr>
            </w:pPr>
            <w:r w:rsidRPr="00594B75">
              <w:rPr>
                <w:sz w:val="18"/>
                <w:szCs w:val="18"/>
              </w:rPr>
              <w:t>Mean days : 165</w:t>
            </w:r>
          </w:p>
        </w:tc>
        <w:tc>
          <w:tcPr>
            <w:tcW w:w="1658" w:type="dxa"/>
          </w:tcPr>
          <w:p w14:paraId="3095187C" w14:textId="77777777" w:rsidR="00150FC0" w:rsidRPr="00B42BC9" w:rsidRDefault="00150FC0" w:rsidP="00150FC0">
            <w:pPr>
              <w:rPr>
                <w:sz w:val="18"/>
                <w:szCs w:val="18"/>
              </w:rPr>
            </w:pPr>
            <w:r w:rsidRPr="00B42BC9">
              <w:rPr>
                <w:sz w:val="18"/>
                <w:szCs w:val="18"/>
              </w:rPr>
              <w:t>Weight loss: ≥5%, ≥10%, ≥15% (hazard ratios)</w:t>
            </w:r>
            <w:r w:rsidRPr="00594B75">
              <w:rPr>
                <w:sz w:val="18"/>
                <w:szCs w:val="18"/>
              </w:rPr>
              <w:t xml:space="preserve">; </w:t>
            </w:r>
          </w:p>
          <w:p w14:paraId="62D9113B" w14:textId="77777777" w:rsidR="00150FC0" w:rsidRPr="00B42BC9" w:rsidRDefault="00150FC0" w:rsidP="00150FC0">
            <w:pPr>
              <w:rPr>
                <w:sz w:val="18"/>
                <w:szCs w:val="18"/>
              </w:rPr>
            </w:pPr>
            <w:r w:rsidRPr="00B42BC9">
              <w:rPr>
                <w:sz w:val="18"/>
                <w:szCs w:val="18"/>
              </w:rPr>
              <w:t>Percentage weight change</w:t>
            </w:r>
            <w:r w:rsidRPr="00594B75">
              <w:rPr>
                <w:sz w:val="18"/>
                <w:szCs w:val="18"/>
              </w:rPr>
              <w:t>;</w:t>
            </w:r>
          </w:p>
          <w:p w14:paraId="3C76E983" w14:textId="77777777" w:rsidR="00150FC0" w:rsidRPr="00594B75" w:rsidRDefault="00150FC0" w:rsidP="00150FC0">
            <w:pPr>
              <w:rPr>
                <w:sz w:val="18"/>
                <w:szCs w:val="18"/>
              </w:rPr>
            </w:pPr>
            <w:r w:rsidRPr="00594B75">
              <w:rPr>
                <w:sz w:val="18"/>
                <w:szCs w:val="18"/>
              </w:rPr>
              <w:t>Gastrointestinal AEs: Hazard ratios.</w:t>
            </w:r>
          </w:p>
        </w:tc>
        <w:tc>
          <w:tcPr>
            <w:tcW w:w="1590" w:type="dxa"/>
          </w:tcPr>
          <w:p w14:paraId="38E921B4" w14:textId="77777777" w:rsidR="00150FC0" w:rsidRPr="00594B75" w:rsidRDefault="00150FC0" w:rsidP="00150FC0">
            <w:pPr>
              <w:rPr>
                <w:sz w:val="18"/>
                <w:szCs w:val="18"/>
              </w:rPr>
            </w:pPr>
            <w:r w:rsidRPr="00594B75">
              <w:rPr>
                <w:sz w:val="18"/>
                <w:szCs w:val="18"/>
              </w:rPr>
              <w:t>IC: New users of drugs with with overweight (BMI ≥27) or obesity (BMI ≥30); no prior GLP-1 RA use</w:t>
            </w:r>
          </w:p>
          <w:p w14:paraId="62BECB6F" w14:textId="77777777" w:rsidR="00150FC0" w:rsidRPr="00594B75" w:rsidRDefault="00150FC0" w:rsidP="00150FC0">
            <w:pPr>
              <w:rPr>
                <w:sz w:val="18"/>
                <w:szCs w:val="18"/>
              </w:rPr>
            </w:pPr>
          </w:p>
          <w:p w14:paraId="4C8F4162" w14:textId="77777777" w:rsidR="00150FC0" w:rsidRPr="00594B75" w:rsidRDefault="00150FC0" w:rsidP="00150FC0">
            <w:pPr>
              <w:rPr>
                <w:sz w:val="18"/>
                <w:szCs w:val="18"/>
              </w:rPr>
            </w:pPr>
            <w:r w:rsidRPr="00594B75">
              <w:rPr>
                <w:sz w:val="18"/>
                <w:szCs w:val="18"/>
              </w:rPr>
              <w:t>EC: History of severe gastrointestinal AEs</w:t>
            </w:r>
          </w:p>
        </w:tc>
      </w:tr>
    </w:tbl>
    <w:p w14:paraId="6D5DBC6C" w14:textId="77777777" w:rsidR="00150FC0" w:rsidRDefault="00150FC0"/>
    <w:p w14:paraId="101D7130" w14:textId="183E9956" w:rsidR="00594B75" w:rsidRDefault="00594B75">
      <w:r>
        <w:t xml:space="preserve">Table 2: </w:t>
      </w:r>
      <w:r w:rsidRPr="00594B75">
        <w:t>Efficacy Outcomes</w:t>
      </w:r>
    </w:p>
    <w:tbl>
      <w:tblPr>
        <w:tblStyle w:val="TableGrid"/>
        <w:tblW w:w="0" w:type="auto"/>
        <w:tblLook w:val="04A0" w:firstRow="1" w:lastRow="0" w:firstColumn="1" w:lastColumn="0" w:noHBand="0" w:noVBand="1"/>
      </w:tblPr>
      <w:tblGrid>
        <w:gridCol w:w="1773"/>
        <w:gridCol w:w="1655"/>
        <w:gridCol w:w="2184"/>
        <w:gridCol w:w="1808"/>
        <w:gridCol w:w="1857"/>
        <w:gridCol w:w="1637"/>
        <w:gridCol w:w="1361"/>
        <w:gridCol w:w="1673"/>
      </w:tblGrid>
      <w:tr w:rsidR="00586B4B" w14:paraId="039F8852" w14:textId="77777777" w:rsidTr="00586B4B">
        <w:tc>
          <w:tcPr>
            <w:tcW w:w="1773" w:type="dxa"/>
          </w:tcPr>
          <w:p w14:paraId="2F3A9443" w14:textId="27327679" w:rsidR="00586B4B" w:rsidRPr="00B5534A" w:rsidRDefault="00586B4B" w:rsidP="00586B4B">
            <w:r>
              <w:t>Author, Year</w:t>
            </w:r>
          </w:p>
        </w:tc>
        <w:tc>
          <w:tcPr>
            <w:tcW w:w="1655" w:type="dxa"/>
          </w:tcPr>
          <w:p w14:paraId="467B4AD2" w14:textId="444C0F6A" w:rsidR="00586B4B" w:rsidRPr="00B5534A" w:rsidRDefault="00586B4B" w:rsidP="00586B4B">
            <w:r>
              <w:t xml:space="preserve">Baseline weight </w:t>
            </w:r>
            <w:r w:rsidRPr="00B5534A">
              <w:t xml:space="preserve"> </w:t>
            </w:r>
          </w:p>
          <w:p w14:paraId="0D6751C5" w14:textId="3D2A1715" w:rsidR="00586B4B" w:rsidRDefault="00586B4B" w:rsidP="00586B4B"/>
        </w:tc>
        <w:tc>
          <w:tcPr>
            <w:tcW w:w="2184" w:type="dxa"/>
          </w:tcPr>
          <w:p w14:paraId="4FB8A1D8" w14:textId="5879916C" w:rsidR="00586B4B" w:rsidRDefault="00586B4B" w:rsidP="00586B4B">
            <w:r w:rsidRPr="00B5534A">
              <w:t xml:space="preserve"> % Weight </w:t>
            </w:r>
            <w:r>
              <w:t>change</w:t>
            </w:r>
          </w:p>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81"/>
            </w:tblGrid>
            <w:tr w:rsidR="00586B4B" w:rsidRPr="00B5534A" w14:paraId="1D980EAC" w14:textId="77777777" w:rsidTr="00B5534A">
              <w:trPr>
                <w:tblCellSpacing w:w="15" w:type="dxa"/>
              </w:trPr>
              <w:tc>
                <w:tcPr>
                  <w:tcW w:w="0" w:type="auto"/>
                  <w:vAlign w:val="center"/>
                  <w:hideMark/>
                </w:tcPr>
                <w:p w14:paraId="7AF4BF9D" w14:textId="3EA0FB00" w:rsidR="00586B4B" w:rsidRPr="00B5534A" w:rsidRDefault="00586B4B" w:rsidP="00586B4B">
                  <w:pPr>
                    <w:spacing w:after="0" w:line="240" w:lineRule="auto"/>
                  </w:pPr>
                  <w:r>
                    <w:t xml:space="preserve">% </w:t>
                  </w:r>
                  <w:r w:rsidRPr="00B5534A">
                    <w:t>Achieving ≥5% Weight Loss</w:t>
                  </w:r>
                </w:p>
              </w:tc>
              <w:tc>
                <w:tcPr>
                  <w:tcW w:w="0" w:type="auto"/>
                  <w:vAlign w:val="center"/>
                  <w:hideMark/>
                </w:tcPr>
                <w:p w14:paraId="1A67DD0D" w14:textId="7B34903F" w:rsidR="00586B4B" w:rsidRPr="00B5534A" w:rsidRDefault="00586B4B" w:rsidP="00586B4B">
                  <w:pPr>
                    <w:spacing w:after="0" w:line="240" w:lineRule="auto"/>
                  </w:pPr>
                </w:p>
              </w:tc>
            </w:tr>
          </w:tbl>
          <w:p w14:paraId="6D7792E1" w14:textId="77777777" w:rsidR="00586B4B" w:rsidRPr="00B5534A" w:rsidRDefault="00586B4B" w:rsidP="00586B4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6B4B" w:rsidRPr="00B5534A" w14:paraId="114154D6" w14:textId="77777777" w:rsidTr="00B5534A">
              <w:trPr>
                <w:tblCellSpacing w:w="15" w:type="dxa"/>
              </w:trPr>
              <w:tc>
                <w:tcPr>
                  <w:tcW w:w="0" w:type="auto"/>
                  <w:vAlign w:val="center"/>
                  <w:hideMark/>
                </w:tcPr>
                <w:p w14:paraId="1F4ABCFF" w14:textId="1F1B73C2" w:rsidR="00586B4B" w:rsidRPr="00B5534A" w:rsidRDefault="00586B4B" w:rsidP="00586B4B">
                  <w:pPr>
                    <w:spacing w:after="0" w:line="240" w:lineRule="auto"/>
                  </w:pPr>
                </w:p>
              </w:tc>
            </w:tr>
          </w:tbl>
          <w:p w14:paraId="7925CCE8" w14:textId="5E0E3FC3" w:rsidR="00586B4B" w:rsidRDefault="00586B4B" w:rsidP="00586B4B"/>
        </w:tc>
        <w:tc>
          <w:tcPr>
            <w:tcW w:w="1857" w:type="dxa"/>
          </w:tcPr>
          <w:p w14:paraId="3A32E0A2" w14:textId="496E4ACB" w:rsidR="00586B4B" w:rsidRDefault="00586B4B" w:rsidP="00586B4B">
            <w:r>
              <w:t xml:space="preserve">% </w:t>
            </w:r>
            <w:r w:rsidRPr="00B5534A">
              <w:t>Achieving ≥10% Weight Los</w:t>
            </w:r>
            <w:r>
              <w:t>s</w:t>
            </w:r>
          </w:p>
        </w:tc>
        <w:tc>
          <w:tcPr>
            <w:tcW w:w="1637" w:type="dxa"/>
          </w:tcPr>
          <w:p w14:paraId="0F5AE100" w14:textId="36582412" w:rsidR="00586B4B" w:rsidRPr="00D84CE1" w:rsidRDefault="00586B4B" w:rsidP="00586B4B">
            <w:r>
              <w:t xml:space="preserve">% </w:t>
            </w:r>
            <w:r w:rsidRPr="00B5534A">
              <w:t>Achieving ≥1</w:t>
            </w:r>
            <w:r>
              <w:t>5</w:t>
            </w:r>
            <w:r w:rsidRPr="00B5534A">
              <w:t>% Weight Los</w:t>
            </w:r>
            <w:r>
              <w:t>s</w:t>
            </w:r>
          </w:p>
        </w:tc>
        <w:tc>
          <w:tcPr>
            <w:tcW w:w="1361" w:type="dxa"/>
          </w:tcPr>
          <w:p w14:paraId="1CFD4C5E" w14:textId="076AEE8B" w:rsidR="00586B4B" w:rsidRPr="00D84CE1" w:rsidRDefault="00586B4B" w:rsidP="00586B4B">
            <w:r>
              <w:t xml:space="preserve">BMI </w:t>
            </w:r>
          </w:p>
        </w:tc>
        <w:tc>
          <w:tcPr>
            <w:tcW w:w="1673" w:type="dxa"/>
          </w:tcPr>
          <w:p w14:paraId="0F4AD73C" w14:textId="6B184433" w:rsidR="00586B4B" w:rsidRPr="00D84CE1" w:rsidRDefault="00586B4B" w:rsidP="00586B4B">
            <w:r w:rsidRPr="00D84CE1">
              <w:t>lipid profiles changes</w:t>
            </w:r>
          </w:p>
          <w:p w14:paraId="4CE08689" w14:textId="0CD2D53A" w:rsidR="00586B4B" w:rsidRDefault="00586B4B" w:rsidP="00586B4B"/>
        </w:tc>
      </w:tr>
      <w:tr w:rsidR="00586B4B" w14:paraId="667F4FED" w14:textId="77777777" w:rsidTr="00586B4B">
        <w:tc>
          <w:tcPr>
            <w:tcW w:w="1773" w:type="dxa"/>
          </w:tcPr>
          <w:p w14:paraId="142C102D" w14:textId="66B238A8" w:rsidR="00586B4B" w:rsidRPr="00594B75" w:rsidRDefault="00586B4B" w:rsidP="00586B4B">
            <w:pPr>
              <w:rPr>
                <w:sz w:val="18"/>
                <w:szCs w:val="18"/>
              </w:rPr>
            </w:pPr>
            <w:hyperlink r:id="rId9" w:tgtFrame="_blank" w:history="1">
              <w:r w:rsidRPr="00594B75">
                <w:rPr>
                  <w:rStyle w:val="Hyperlink"/>
                  <w:color w:val="auto"/>
                  <w:sz w:val="18"/>
                  <w:szCs w:val="18"/>
                  <w:u w:val="none"/>
                </w:rPr>
                <w:t>Patricia J. Rodriguez</w:t>
              </w:r>
            </w:hyperlink>
            <w:r w:rsidRPr="00594B75">
              <w:rPr>
                <w:sz w:val="18"/>
                <w:szCs w:val="18"/>
              </w:rPr>
              <w:t>, et al. 2024</w:t>
            </w:r>
          </w:p>
        </w:tc>
        <w:tc>
          <w:tcPr>
            <w:tcW w:w="1655" w:type="dxa"/>
          </w:tcPr>
          <w:p w14:paraId="2A44325E" w14:textId="77777777" w:rsidR="00586B4B" w:rsidRPr="00586B4B" w:rsidRDefault="00586B4B" w:rsidP="00586B4B">
            <w:pPr>
              <w:rPr>
                <w:sz w:val="18"/>
                <w:szCs w:val="18"/>
              </w:rPr>
            </w:pPr>
            <w:r w:rsidRPr="00586B4B">
              <w:rPr>
                <w:sz w:val="18"/>
                <w:szCs w:val="18"/>
              </w:rPr>
              <w:t>Baseline weight:</w:t>
            </w:r>
          </w:p>
          <w:p w14:paraId="154CF74C" w14:textId="77777777" w:rsidR="00586B4B" w:rsidRPr="00586B4B" w:rsidRDefault="00586B4B" w:rsidP="00586B4B">
            <w:pPr>
              <w:rPr>
                <w:sz w:val="18"/>
                <w:szCs w:val="18"/>
              </w:rPr>
            </w:pPr>
            <w:r w:rsidRPr="00586B4B">
              <w:rPr>
                <w:sz w:val="18"/>
                <w:szCs w:val="18"/>
              </w:rPr>
              <w:t>Tirzepatide: 110 (25.7) kg</w:t>
            </w:r>
          </w:p>
          <w:p w14:paraId="44B7EC76" w14:textId="77777777" w:rsidR="00586B4B" w:rsidRPr="00586B4B" w:rsidRDefault="00586B4B" w:rsidP="00586B4B">
            <w:pPr>
              <w:rPr>
                <w:sz w:val="18"/>
                <w:szCs w:val="18"/>
              </w:rPr>
            </w:pPr>
            <w:r w:rsidRPr="00586B4B">
              <w:rPr>
                <w:sz w:val="18"/>
                <w:szCs w:val="18"/>
              </w:rPr>
              <w:t>Semaglutide: 109 (25.2) kg</w:t>
            </w:r>
          </w:p>
          <w:p w14:paraId="35560821" w14:textId="77777777" w:rsidR="00586B4B" w:rsidRPr="00594B75" w:rsidRDefault="00586B4B" w:rsidP="00586B4B">
            <w:pPr>
              <w:rPr>
                <w:sz w:val="18"/>
                <w:szCs w:val="18"/>
              </w:rPr>
            </w:pPr>
          </w:p>
          <w:p w14:paraId="1A3D76E0" w14:textId="6686D6DD" w:rsidR="00586B4B" w:rsidRPr="00594B75" w:rsidRDefault="00586B4B" w:rsidP="00586B4B">
            <w:pPr>
              <w:rPr>
                <w:sz w:val="18"/>
                <w:szCs w:val="18"/>
              </w:rPr>
            </w:pPr>
            <w:r w:rsidRPr="00594B75">
              <w:rPr>
                <w:sz w:val="18"/>
                <w:szCs w:val="18"/>
              </w:rPr>
              <w:lastRenderedPageBreak/>
              <w:t>(End point not measured)</w:t>
            </w:r>
          </w:p>
        </w:tc>
        <w:tc>
          <w:tcPr>
            <w:tcW w:w="2184" w:type="dxa"/>
          </w:tcPr>
          <w:p w14:paraId="229F5489" w14:textId="671584CE" w:rsidR="00586B4B" w:rsidRPr="00B42BC9" w:rsidRDefault="00586B4B" w:rsidP="00586B4B">
            <w:pPr>
              <w:rPr>
                <w:sz w:val="18"/>
                <w:szCs w:val="18"/>
              </w:rPr>
            </w:pPr>
            <w:r w:rsidRPr="00B42BC9">
              <w:rPr>
                <w:sz w:val="18"/>
                <w:szCs w:val="18"/>
              </w:rPr>
              <w:lastRenderedPageBreak/>
              <w:t>3 months:</w:t>
            </w:r>
          </w:p>
          <w:p w14:paraId="557AC490" w14:textId="77777777" w:rsidR="00586B4B" w:rsidRPr="00B42BC9" w:rsidRDefault="00586B4B" w:rsidP="00586B4B">
            <w:pPr>
              <w:numPr>
                <w:ilvl w:val="0"/>
                <w:numId w:val="1"/>
              </w:numPr>
              <w:rPr>
                <w:sz w:val="18"/>
                <w:szCs w:val="18"/>
              </w:rPr>
            </w:pPr>
            <w:r w:rsidRPr="00B42BC9">
              <w:rPr>
                <w:sz w:val="18"/>
                <w:szCs w:val="18"/>
              </w:rPr>
              <w:t>Tirzepatide: −5.9% (95% CI, −6.0% to −5.8%)</w:t>
            </w:r>
          </w:p>
          <w:p w14:paraId="61D3BC60" w14:textId="77777777" w:rsidR="00586B4B" w:rsidRPr="00B42BC9" w:rsidRDefault="00586B4B" w:rsidP="00586B4B">
            <w:pPr>
              <w:numPr>
                <w:ilvl w:val="0"/>
                <w:numId w:val="1"/>
              </w:numPr>
              <w:rPr>
                <w:sz w:val="18"/>
                <w:szCs w:val="18"/>
              </w:rPr>
            </w:pPr>
            <w:r w:rsidRPr="00B42BC9">
              <w:rPr>
                <w:sz w:val="18"/>
                <w:szCs w:val="18"/>
              </w:rPr>
              <w:t>Semaglutide: −3.6% (95% CI, −3.7% to −3.4%)</w:t>
            </w:r>
          </w:p>
          <w:p w14:paraId="12EE9694" w14:textId="00170B35" w:rsidR="00586B4B" w:rsidRPr="00B42BC9" w:rsidRDefault="00586B4B" w:rsidP="00586B4B">
            <w:pPr>
              <w:rPr>
                <w:sz w:val="18"/>
                <w:szCs w:val="18"/>
              </w:rPr>
            </w:pPr>
            <w:r w:rsidRPr="00B42BC9">
              <w:rPr>
                <w:sz w:val="18"/>
                <w:szCs w:val="18"/>
              </w:rPr>
              <w:lastRenderedPageBreak/>
              <w:t>6 months:</w:t>
            </w:r>
          </w:p>
          <w:p w14:paraId="66136E3A" w14:textId="77777777" w:rsidR="00586B4B" w:rsidRPr="00B42BC9" w:rsidRDefault="00586B4B" w:rsidP="00586B4B">
            <w:pPr>
              <w:numPr>
                <w:ilvl w:val="0"/>
                <w:numId w:val="2"/>
              </w:numPr>
              <w:rPr>
                <w:sz w:val="18"/>
                <w:szCs w:val="18"/>
              </w:rPr>
            </w:pPr>
            <w:r w:rsidRPr="00B42BC9">
              <w:rPr>
                <w:sz w:val="18"/>
                <w:szCs w:val="18"/>
              </w:rPr>
              <w:t>Tirzepatide: −10.1% (95% CI, −10.4% to −9.9%)</w:t>
            </w:r>
          </w:p>
          <w:p w14:paraId="12788555" w14:textId="77777777" w:rsidR="00586B4B" w:rsidRPr="00B42BC9" w:rsidRDefault="00586B4B" w:rsidP="00586B4B">
            <w:pPr>
              <w:numPr>
                <w:ilvl w:val="0"/>
                <w:numId w:val="2"/>
              </w:numPr>
              <w:rPr>
                <w:sz w:val="18"/>
                <w:szCs w:val="18"/>
              </w:rPr>
            </w:pPr>
            <w:r w:rsidRPr="00B42BC9">
              <w:rPr>
                <w:sz w:val="18"/>
                <w:szCs w:val="18"/>
              </w:rPr>
              <w:t>Semaglutide: −5.8% (95% CI, −6.0% to −5.5%)</w:t>
            </w:r>
          </w:p>
          <w:p w14:paraId="349FD4B0" w14:textId="799B8FD8" w:rsidR="00586B4B" w:rsidRPr="00B42BC9" w:rsidRDefault="00586B4B" w:rsidP="00586B4B">
            <w:pPr>
              <w:rPr>
                <w:sz w:val="18"/>
                <w:szCs w:val="18"/>
              </w:rPr>
            </w:pPr>
            <w:r w:rsidRPr="00B42BC9">
              <w:rPr>
                <w:sz w:val="18"/>
                <w:szCs w:val="18"/>
              </w:rPr>
              <w:t>At 12 months:</w:t>
            </w:r>
          </w:p>
          <w:p w14:paraId="72AF305D" w14:textId="77777777" w:rsidR="00586B4B" w:rsidRPr="00B42BC9" w:rsidRDefault="00586B4B" w:rsidP="00586B4B">
            <w:pPr>
              <w:numPr>
                <w:ilvl w:val="0"/>
                <w:numId w:val="3"/>
              </w:numPr>
              <w:rPr>
                <w:sz w:val="18"/>
                <w:szCs w:val="18"/>
              </w:rPr>
            </w:pPr>
            <w:r w:rsidRPr="00B42BC9">
              <w:rPr>
                <w:sz w:val="18"/>
                <w:szCs w:val="18"/>
              </w:rPr>
              <w:t>Tirzepatide: −15.3% (95% CI, −16.0% to −14.5%)</w:t>
            </w:r>
          </w:p>
          <w:p w14:paraId="45DF441D" w14:textId="77777777" w:rsidR="00586B4B" w:rsidRPr="00B42BC9" w:rsidRDefault="00586B4B" w:rsidP="00586B4B">
            <w:pPr>
              <w:numPr>
                <w:ilvl w:val="0"/>
                <w:numId w:val="3"/>
              </w:numPr>
              <w:rPr>
                <w:sz w:val="18"/>
                <w:szCs w:val="18"/>
              </w:rPr>
            </w:pPr>
            <w:r w:rsidRPr="00B42BC9">
              <w:rPr>
                <w:sz w:val="18"/>
                <w:szCs w:val="18"/>
              </w:rPr>
              <w:t>Semaglutide: −8.3% (95% CI, −9% to −7.6%)</w:t>
            </w:r>
          </w:p>
          <w:p w14:paraId="430634FC" w14:textId="77777777" w:rsidR="00586B4B" w:rsidRPr="00594B75" w:rsidRDefault="00586B4B" w:rsidP="00586B4B">
            <w:pPr>
              <w:rPr>
                <w:sz w:val="18"/>
                <w:szCs w:val="18"/>
              </w:rPr>
            </w:pPr>
          </w:p>
        </w:tc>
        <w:tc>
          <w:tcPr>
            <w:tcW w:w="1808" w:type="dxa"/>
          </w:tcPr>
          <w:p w14:paraId="42FA3C97" w14:textId="77777777" w:rsidR="00586B4B" w:rsidRPr="00594B75" w:rsidRDefault="00586B4B" w:rsidP="00586B4B">
            <w:pPr>
              <w:rPr>
                <w:sz w:val="18"/>
                <w:szCs w:val="18"/>
              </w:rPr>
            </w:pPr>
            <w:r w:rsidRPr="00B42BC9">
              <w:rPr>
                <w:sz w:val="18"/>
                <w:szCs w:val="18"/>
              </w:rPr>
              <w:lastRenderedPageBreak/>
              <w:t>Tirzepatide: 81.8% (95% CI, 79.8%-83.7%</w:t>
            </w:r>
          </w:p>
          <w:p w14:paraId="602B7792" w14:textId="715AC9BD" w:rsidR="00586B4B" w:rsidRPr="00594B75" w:rsidRDefault="00586B4B" w:rsidP="00586B4B">
            <w:pPr>
              <w:rPr>
                <w:sz w:val="18"/>
                <w:szCs w:val="18"/>
              </w:rPr>
            </w:pPr>
            <w:r w:rsidRPr="00594B75">
              <w:rPr>
                <w:sz w:val="18"/>
                <w:szCs w:val="18"/>
              </w:rPr>
              <w:t>Semaglutide: 66.5% (95% CI, 64.3%-68.7%)</w:t>
            </w:r>
          </w:p>
        </w:tc>
        <w:tc>
          <w:tcPr>
            <w:tcW w:w="1857" w:type="dxa"/>
          </w:tcPr>
          <w:p w14:paraId="3E26867D" w14:textId="5C859048" w:rsidR="00586B4B" w:rsidRPr="00586B4B" w:rsidRDefault="00586B4B" w:rsidP="00586B4B">
            <w:pPr>
              <w:rPr>
                <w:sz w:val="18"/>
                <w:szCs w:val="18"/>
              </w:rPr>
            </w:pPr>
            <w:r w:rsidRPr="00586B4B">
              <w:rPr>
                <w:sz w:val="18"/>
                <w:szCs w:val="18"/>
              </w:rPr>
              <w:t>Tirzepatide: 62.1% (95% CI, 59.7%-64.3%)</w:t>
            </w:r>
          </w:p>
          <w:p w14:paraId="7E96F593" w14:textId="69E920BB" w:rsidR="00586B4B" w:rsidRPr="00594B75" w:rsidRDefault="00586B4B" w:rsidP="00586B4B">
            <w:pPr>
              <w:rPr>
                <w:sz w:val="18"/>
                <w:szCs w:val="18"/>
              </w:rPr>
            </w:pPr>
            <w:r w:rsidRPr="00594B75">
              <w:rPr>
                <w:sz w:val="18"/>
                <w:szCs w:val="18"/>
              </w:rPr>
              <w:t>Semaglutide: 37.1% (95% CI, 34.6%-39.4%)</w:t>
            </w:r>
          </w:p>
        </w:tc>
        <w:tc>
          <w:tcPr>
            <w:tcW w:w="1637" w:type="dxa"/>
          </w:tcPr>
          <w:p w14:paraId="3FCDD3FC" w14:textId="77777777" w:rsidR="00586B4B" w:rsidRPr="00594B75" w:rsidRDefault="00586B4B" w:rsidP="00586B4B">
            <w:pPr>
              <w:rPr>
                <w:sz w:val="18"/>
                <w:szCs w:val="18"/>
              </w:rPr>
            </w:pPr>
            <w:r w:rsidRPr="00586B4B">
              <w:rPr>
                <w:sz w:val="18"/>
                <w:szCs w:val="18"/>
              </w:rPr>
              <w:t>Tirzepatide: 42.3% (95% CI, 39.8%-44.6%)</w:t>
            </w:r>
          </w:p>
          <w:p w14:paraId="5946CD27" w14:textId="091683E0" w:rsidR="00586B4B" w:rsidRPr="00594B75" w:rsidRDefault="00586B4B" w:rsidP="00586B4B">
            <w:pPr>
              <w:rPr>
                <w:sz w:val="18"/>
                <w:szCs w:val="18"/>
              </w:rPr>
            </w:pPr>
            <w:r w:rsidRPr="00594B75">
              <w:rPr>
                <w:sz w:val="18"/>
                <w:szCs w:val="18"/>
              </w:rPr>
              <w:t>Semaglutide: 18.1% (95% CI, 16.1%-20.0%)</w:t>
            </w:r>
          </w:p>
        </w:tc>
        <w:tc>
          <w:tcPr>
            <w:tcW w:w="1361" w:type="dxa"/>
          </w:tcPr>
          <w:p w14:paraId="6A69C67A" w14:textId="65ACE126" w:rsidR="00586B4B" w:rsidRPr="00594B75" w:rsidRDefault="00586B4B" w:rsidP="00586B4B">
            <w:pPr>
              <w:rPr>
                <w:sz w:val="18"/>
                <w:szCs w:val="18"/>
              </w:rPr>
            </w:pPr>
            <w:r w:rsidRPr="00594B75">
              <w:rPr>
                <w:sz w:val="18"/>
                <w:szCs w:val="18"/>
              </w:rPr>
              <w:t xml:space="preserve">Not measured </w:t>
            </w:r>
          </w:p>
        </w:tc>
        <w:tc>
          <w:tcPr>
            <w:tcW w:w="1673" w:type="dxa"/>
          </w:tcPr>
          <w:p w14:paraId="00580AEF" w14:textId="3C678518" w:rsidR="00586B4B" w:rsidRPr="00594B75" w:rsidRDefault="00586B4B" w:rsidP="00586B4B">
            <w:pPr>
              <w:rPr>
                <w:sz w:val="18"/>
                <w:szCs w:val="18"/>
              </w:rPr>
            </w:pPr>
            <w:r w:rsidRPr="00594B75">
              <w:rPr>
                <w:sz w:val="18"/>
                <w:szCs w:val="18"/>
              </w:rPr>
              <w:t xml:space="preserve">Not measured </w:t>
            </w:r>
          </w:p>
        </w:tc>
      </w:tr>
    </w:tbl>
    <w:p w14:paraId="2073ED67" w14:textId="77777777" w:rsidR="00B5534A" w:rsidRDefault="00B5534A"/>
    <w:p w14:paraId="455F1F76" w14:textId="7060916F" w:rsidR="00594B75" w:rsidRDefault="00594B75">
      <w:r>
        <w:t xml:space="preserve">Table 3: Safety outcomes </w:t>
      </w:r>
    </w:p>
    <w:tbl>
      <w:tblPr>
        <w:tblStyle w:val="TableGrid"/>
        <w:tblW w:w="0" w:type="auto"/>
        <w:tblLook w:val="04A0" w:firstRow="1" w:lastRow="0" w:firstColumn="1" w:lastColumn="0" w:noHBand="0" w:noVBand="1"/>
      </w:tblPr>
      <w:tblGrid>
        <w:gridCol w:w="2319"/>
        <w:gridCol w:w="2319"/>
        <w:gridCol w:w="2304"/>
        <w:gridCol w:w="2319"/>
        <w:gridCol w:w="2319"/>
        <w:gridCol w:w="2319"/>
      </w:tblGrid>
      <w:tr w:rsidR="00594B75" w14:paraId="0947733C" w14:textId="21B7D16D" w:rsidTr="00C6334F">
        <w:tc>
          <w:tcPr>
            <w:tcW w:w="2319" w:type="dxa"/>
          </w:tcPr>
          <w:p w14:paraId="38CE8158" w14:textId="55F7DA52" w:rsidR="00594B75" w:rsidRDefault="00594B75" w:rsidP="00D84CE1">
            <w:r>
              <w:t>Author, Year</w:t>
            </w:r>
          </w:p>
        </w:tc>
        <w:tc>
          <w:tcPr>
            <w:tcW w:w="2319" w:type="dxa"/>
          </w:tcPr>
          <w:p w14:paraId="02964E65" w14:textId="12C55EB2" w:rsidR="00594B75" w:rsidRDefault="00594B75" w:rsidP="00D84CE1">
            <w:r>
              <w:t xml:space="preserve">Adverse events </w:t>
            </w:r>
          </w:p>
        </w:tc>
        <w:tc>
          <w:tcPr>
            <w:tcW w:w="2304" w:type="dxa"/>
          </w:tcPr>
          <w:p w14:paraId="5B4A3861" w14:textId="7744E32F" w:rsidR="00594B75" w:rsidRDefault="00594B75" w:rsidP="000422B0">
            <w:r w:rsidRPr="00B5534A">
              <w:t xml:space="preserve"> </w:t>
            </w:r>
            <w:r>
              <w:t xml:space="preserve">Serious Adverse events </w:t>
            </w:r>
          </w:p>
        </w:tc>
        <w:tc>
          <w:tcPr>
            <w:tcW w:w="2319" w:type="dxa"/>
          </w:tcPr>
          <w:p w14:paraId="7BBE857D" w14:textId="55D5D093" w:rsidR="00594B75" w:rsidRDefault="00594B75" w:rsidP="000422B0">
            <w:r w:rsidRPr="00594B75">
              <w:t>Drug Discontinuation Rate</w:t>
            </w:r>
          </w:p>
        </w:tc>
        <w:tc>
          <w:tcPr>
            <w:tcW w:w="23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66"/>
              <w:gridCol w:w="66"/>
              <w:gridCol w:w="66"/>
              <w:gridCol w:w="81"/>
            </w:tblGrid>
            <w:tr w:rsidR="00594B75" w:rsidRPr="00B5534A" w14:paraId="199C39CA" w14:textId="77777777" w:rsidTr="00B347AD">
              <w:trPr>
                <w:tblCellSpacing w:w="15" w:type="dxa"/>
              </w:trPr>
              <w:tc>
                <w:tcPr>
                  <w:tcW w:w="0" w:type="auto"/>
                  <w:vAlign w:val="center"/>
                  <w:hideMark/>
                </w:tcPr>
                <w:p w14:paraId="4961CA37" w14:textId="14257321" w:rsidR="00594B75" w:rsidRPr="00B5534A" w:rsidRDefault="00594B75" w:rsidP="000422B0">
                  <w:pPr>
                    <w:spacing w:after="0" w:line="240" w:lineRule="auto"/>
                  </w:pPr>
                  <w:r>
                    <w:t>Other side effects</w:t>
                  </w:r>
                </w:p>
              </w:tc>
              <w:tc>
                <w:tcPr>
                  <w:tcW w:w="0" w:type="auto"/>
                </w:tcPr>
                <w:p w14:paraId="23D3D120" w14:textId="77777777" w:rsidR="00594B75" w:rsidRPr="00B5534A" w:rsidRDefault="00594B75" w:rsidP="000422B0">
                  <w:pPr>
                    <w:spacing w:after="0" w:line="240" w:lineRule="auto"/>
                  </w:pPr>
                </w:p>
              </w:tc>
              <w:tc>
                <w:tcPr>
                  <w:tcW w:w="0" w:type="auto"/>
                </w:tcPr>
                <w:p w14:paraId="28516B5A" w14:textId="05FF079D" w:rsidR="00594B75" w:rsidRPr="00B5534A" w:rsidRDefault="00594B75" w:rsidP="000422B0">
                  <w:pPr>
                    <w:spacing w:after="0" w:line="240" w:lineRule="auto"/>
                  </w:pPr>
                </w:p>
              </w:tc>
              <w:tc>
                <w:tcPr>
                  <w:tcW w:w="0" w:type="auto"/>
                </w:tcPr>
                <w:p w14:paraId="5A17F1CB" w14:textId="77777777" w:rsidR="00594B75" w:rsidRPr="00B5534A" w:rsidRDefault="00594B75" w:rsidP="000422B0">
                  <w:pPr>
                    <w:spacing w:after="0" w:line="240" w:lineRule="auto"/>
                  </w:pPr>
                </w:p>
              </w:tc>
              <w:tc>
                <w:tcPr>
                  <w:tcW w:w="0" w:type="auto"/>
                  <w:vAlign w:val="center"/>
                  <w:hideMark/>
                </w:tcPr>
                <w:p w14:paraId="47977CD1" w14:textId="3E0B7F1B" w:rsidR="00594B75" w:rsidRPr="00B5534A" w:rsidRDefault="00594B75" w:rsidP="000422B0">
                  <w:pPr>
                    <w:spacing w:after="0" w:line="240" w:lineRule="auto"/>
                  </w:pPr>
                </w:p>
              </w:tc>
            </w:tr>
          </w:tbl>
          <w:p w14:paraId="1961C863" w14:textId="77777777" w:rsidR="00594B75" w:rsidRPr="00B5534A" w:rsidRDefault="00594B75" w:rsidP="000422B0">
            <w:pPr>
              <w:rPr>
                <w:vanish/>
              </w:rPr>
            </w:pPr>
          </w:p>
          <w:p w14:paraId="50C468AD" w14:textId="77777777" w:rsidR="00594B75" w:rsidRDefault="00594B75" w:rsidP="000422B0"/>
        </w:tc>
        <w:tc>
          <w:tcPr>
            <w:tcW w:w="2319" w:type="dxa"/>
          </w:tcPr>
          <w:p w14:paraId="23E9F759" w14:textId="4A2EA50A" w:rsidR="00594B75" w:rsidRDefault="00594B75" w:rsidP="000422B0">
            <w:r>
              <w:t xml:space="preserve">Conclusion </w:t>
            </w:r>
          </w:p>
        </w:tc>
      </w:tr>
      <w:tr w:rsidR="00594B75" w14:paraId="52AFA614" w14:textId="61C2E660" w:rsidTr="00C6334F">
        <w:tc>
          <w:tcPr>
            <w:tcW w:w="2319" w:type="dxa"/>
          </w:tcPr>
          <w:p w14:paraId="2045FA24" w14:textId="5E347E6A" w:rsidR="00594B75" w:rsidRPr="00594B75" w:rsidRDefault="00594B75" w:rsidP="000422B0">
            <w:pPr>
              <w:rPr>
                <w:sz w:val="18"/>
                <w:szCs w:val="18"/>
              </w:rPr>
            </w:pPr>
            <w:hyperlink r:id="rId10" w:tgtFrame="_blank" w:history="1">
              <w:r w:rsidRPr="00594B75">
                <w:rPr>
                  <w:rStyle w:val="Hyperlink"/>
                  <w:color w:val="auto"/>
                  <w:sz w:val="18"/>
                  <w:szCs w:val="18"/>
                  <w:u w:val="none"/>
                </w:rPr>
                <w:t>Patricia J. Rodriguez</w:t>
              </w:r>
            </w:hyperlink>
            <w:r w:rsidRPr="00594B75">
              <w:rPr>
                <w:sz w:val="18"/>
                <w:szCs w:val="18"/>
              </w:rPr>
              <w:t>, et al. 2024</w:t>
            </w:r>
          </w:p>
        </w:tc>
        <w:tc>
          <w:tcPr>
            <w:tcW w:w="2319" w:type="dxa"/>
          </w:tcPr>
          <w:p w14:paraId="151C8038" w14:textId="70CA6049" w:rsidR="00594B75" w:rsidRPr="00594B75" w:rsidRDefault="00594B75" w:rsidP="000422B0">
            <w:pPr>
              <w:rPr>
                <w:sz w:val="18"/>
                <w:szCs w:val="18"/>
              </w:rPr>
            </w:pPr>
            <w:r w:rsidRPr="00594B75">
              <w:rPr>
                <w:sz w:val="18"/>
                <w:szCs w:val="18"/>
              </w:rPr>
              <w:t xml:space="preserve">No significant differences in the risk of gastrointestinal adverse events (AEs) </w:t>
            </w:r>
          </w:p>
        </w:tc>
        <w:tc>
          <w:tcPr>
            <w:tcW w:w="2304" w:type="dxa"/>
          </w:tcPr>
          <w:p w14:paraId="016F9966" w14:textId="7CF2679F" w:rsidR="00594B75" w:rsidRPr="00594B75" w:rsidRDefault="00594B75" w:rsidP="00586B4B">
            <w:pPr>
              <w:rPr>
                <w:sz w:val="18"/>
                <w:szCs w:val="18"/>
              </w:rPr>
            </w:pPr>
            <w:r w:rsidRPr="00594B75">
              <w:rPr>
                <w:sz w:val="18"/>
                <w:szCs w:val="18"/>
              </w:rPr>
              <w:t>Not reported</w:t>
            </w:r>
          </w:p>
        </w:tc>
        <w:tc>
          <w:tcPr>
            <w:tcW w:w="2319" w:type="dxa"/>
          </w:tcPr>
          <w:p w14:paraId="7C60E430" w14:textId="77777777" w:rsidR="00594B75" w:rsidRPr="00594B75" w:rsidRDefault="00594B75" w:rsidP="000422B0">
            <w:pPr>
              <w:rPr>
                <w:sz w:val="18"/>
                <w:szCs w:val="18"/>
              </w:rPr>
            </w:pPr>
            <w:r w:rsidRPr="00594B75">
              <w:rPr>
                <w:sz w:val="18"/>
                <w:szCs w:val="18"/>
              </w:rPr>
              <w:t>T</w:t>
            </w:r>
            <w:r w:rsidRPr="00594B75">
              <w:rPr>
                <w:sz w:val="18"/>
                <w:szCs w:val="18"/>
              </w:rPr>
              <w:t xml:space="preserve">irzepatide: 5140 [55.9%]; </w:t>
            </w:r>
          </w:p>
          <w:p w14:paraId="3412B8CA" w14:textId="5ABC143A" w:rsidR="00594B75" w:rsidRPr="00594B75" w:rsidRDefault="00594B75" w:rsidP="000422B0">
            <w:pPr>
              <w:rPr>
                <w:sz w:val="18"/>
                <w:szCs w:val="18"/>
              </w:rPr>
            </w:pPr>
            <w:r w:rsidRPr="00594B75">
              <w:rPr>
                <w:sz w:val="18"/>
                <w:szCs w:val="18"/>
              </w:rPr>
              <w:t>semaglutide: 4823 [52.5%]</w:t>
            </w:r>
          </w:p>
        </w:tc>
        <w:tc>
          <w:tcPr>
            <w:tcW w:w="2319" w:type="dxa"/>
          </w:tcPr>
          <w:p w14:paraId="315C823F" w14:textId="5713F7B5" w:rsidR="00594B75" w:rsidRPr="00594B75" w:rsidRDefault="00594B75" w:rsidP="000422B0">
            <w:pPr>
              <w:rPr>
                <w:sz w:val="18"/>
                <w:szCs w:val="18"/>
              </w:rPr>
            </w:pPr>
            <w:r w:rsidRPr="00594B75">
              <w:rPr>
                <w:sz w:val="18"/>
                <w:szCs w:val="18"/>
              </w:rPr>
              <w:t xml:space="preserve">Not reported </w:t>
            </w:r>
          </w:p>
        </w:tc>
        <w:tc>
          <w:tcPr>
            <w:tcW w:w="2319" w:type="dxa"/>
          </w:tcPr>
          <w:p w14:paraId="0D0CD0F0" w14:textId="08413E04" w:rsidR="00594B75" w:rsidRPr="00594B75" w:rsidRDefault="00594B75" w:rsidP="000422B0">
            <w:pPr>
              <w:rPr>
                <w:sz w:val="18"/>
                <w:szCs w:val="18"/>
              </w:rPr>
            </w:pPr>
            <w:r w:rsidRPr="00594B75">
              <w:rPr>
                <w:sz w:val="18"/>
                <w:szCs w:val="18"/>
              </w:rPr>
              <w:t>In th</w:t>
            </w:r>
            <w:r w:rsidRPr="00594B75">
              <w:rPr>
                <w:sz w:val="18"/>
                <w:szCs w:val="18"/>
              </w:rPr>
              <w:t>e</w:t>
            </w:r>
            <w:r w:rsidRPr="00594B75">
              <w:rPr>
                <w:sz w:val="18"/>
                <w:szCs w:val="18"/>
              </w:rPr>
              <w:t xml:space="preserve"> population of adults with overweight or obesity, use of tirzepatide was associated with significantly greater weight loss than semaglutide</w:t>
            </w:r>
            <w:r w:rsidRPr="00594B75">
              <w:rPr>
                <w:sz w:val="18"/>
                <w:szCs w:val="18"/>
              </w:rPr>
              <w:t>.</w:t>
            </w:r>
          </w:p>
        </w:tc>
      </w:tr>
    </w:tbl>
    <w:p w14:paraId="550BE043" w14:textId="77777777" w:rsidR="00D84CE1" w:rsidRDefault="00D84CE1"/>
    <w:sectPr w:rsidR="00D84CE1" w:rsidSect="00B5534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D7A90" w14:textId="77777777" w:rsidR="00F852ED" w:rsidRDefault="00F852ED" w:rsidP="00594B75">
      <w:pPr>
        <w:spacing w:after="0" w:line="240" w:lineRule="auto"/>
      </w:pPr>
      <w:r>
        <w:separator/>
      </w:r>
    </w:p>
  </w:endnote>
  <w:endnote w:type="continuationSeparator" w:id="0">
    <w:p w14:paraId="68A3997C" w14:textId="77777777" w:rsidR="00F852ED" w:rsidRDefault="00F852ED" w:rsidP="0059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9BC74" w14:textId="77777777" w:rsidR="00F852ED" w:rsidRDefault="00F852ED" w:rsidP="00594B75">
      <w:pPr>
        <w:spacing w:after="0" w:line="240" w:lineRule="auto"/>
      </w:pPr>
      <w:r>
        <w:separator/>
      </w:r>
    </w:p>
  </w:footnote>
  <w:footnote w:type="continuationSeparator" w:id="0">
    <w:p w14:paraId="098F61E5" w14:textId="77777777" w:rsidR="00F852ED" w:rsidRDefault="00F852ED" w:rsidP="00594B75">
      <w:pPr>
        <w:spacing w:after="0" w:line="240" w:lineRule="auto"/>
      </w:pPr>
      <w:r>
        <w:continuationSeparator/>
      </w:r>
    </w:p>
  </w:footnote>
  <w:footnote w:id="1">
    <w:p w14:paraId="682257C6" w14:textId="77777777" w:rsidR="00150FC0" w:rsidRDefault="00150FC0" w:rsidP="00150FC0">
      <w:pPr>
        <w:pStyle w:val="FootnoteText"/>
      </w:pPr>
      <w:r>
        <w:rPr>
          <w:rStyle w:val="FootnoteReference"/>
        </w:rPr>
        <w:footnoteRef/>
      </w:r>
      <w:r>
        <w:t xml:space="preserve"> </w:t>
      </w:r>
      <w:r w:rsidRPr="00594B75">
        <w:t>Rodriguez PJ, Cartwright BM, Gratzl S, Brar R, Baker C, Gluckman TJ, Stucky NL. Semaglutide vs tirzepatide for weight loss in adults with overweight or obesity. JAMA internal medicine. 2024 Sep 1;184(9):1056-64.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574F1"/>
    <w:multiLevelType w:val="multilevel"/>
    <w:tmpl w:val="0B4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53B35"/>
    <w:multiLevelType w:val="multilevel"/>
    <w:tmpl w:val="362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65279"/>
    <w:multiLevelType w:val="multilevel"/>
    <w:tmpl w:val="6F9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33A6C"/>
    <w:multiLevelType w:val="multilevel"/>
    <w:tmpl w:val="1BF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314510">
    <w:abstractNumId w:val="2"/>
  </w:num>
  <w:num w:numId="2" w16cid:durableId="295717994">
    <w:abstractNumId w:val="0"/>
  </w:num>
  <w:num w:numId="3" w16cid:durableId="358359004">
    <w:abstractNumId w:val="1"/>
  </w:num>
  <w:num w:numId="4" w16cid:durableId="1933586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4A"/>
    <w:rsid w:val="00150FC0"/>
    <w:rsid w:val="00247A63"/>
    <w:rsid w:val="00361167"/>
    <w:rsid w:val="00586B4B"/>
    <w:rsid w:val="00594B75"/>
    <w:rsid w:val="006A52AB"/>
    <w:rsid w:val="007068BF"/>
    <w:rsid w:val="00933E8E"/>
    <w:rsid w:val="00B42BC9"/>
    <w:rsid w:val="00B52F8B"/>
    <w:rsid w:val="00B5534A"/>
    <w:rsid w:val="00B914FD"/>
    <w:rsid w:val="00D84CE1"/>
    <w:rsid w:val="00F852ED"/>
    <w:rsid w:val="00FB7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5305"/>
  <w15:chartTrackingRefBased/>
  <w15:docId w15:val="{8981B739-C548-457A-921C-06DB72F6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34A"/>
    <w:rPr>
      <w:rFonts w:eastAsiaTheme="majorEastAsia" w:cstheme="majorBidi"/>
      <w:color w:val="272727" w:themeColor="text1" w:themeTint="D8"/>
    </w:rPr>
  </w:style>
  <w:style w:type="paragraph" w:styleId="Title">
    <w:name w:val="Title"/>
    <w:basedOn w:val="Normal"/>
    <w:next w:val="Normal"/>
    <w:link w:val="TitleChar"/>
    <w:uiPriority w:val="10"/>
    <w:qFormat/>
    <w:rsid w:val="00B55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34A"/>
    <w:pPr>
      <w:spacing w:before="160"/>
      <w:jc w:val="center"/>
    </w:pPr>
    <w:rPr>
      <w:i/>
      <w:iCs/>
      <w:color w:val="404040" w:themeColor="text1" w:themeTint="BF"/>
    </w:rPr>
  </w:style>
  <w:style w:type="character" w:customStyle="1" w:styleId="QuoteChar">
    <w:name w:val="Quote Char"/>
    <w:basedOn w:val="DefaultParagraphFont"/>
    <w:link w:val="Quote"/>
    <w:uiPriority w:val="29"/>
    <w:rsid w:val="00B5534A"/>
    <w:rPr>
      <w:i/>
      <w:iCs/>
      <w:color w:val="404040" w:themeColor="text1" w:themeTint="BF"/>
    </w:rPr>
  </w:style>
  <w:style w:type="paragraph" w:styleId="ListParagraph">
    <w:name w:val="List Paragraph"/>
    <w:basedOn w:val="Normal"/>
    <w:uiPriority w:val="34"/>
    <w:qFormat/>
    <w:rsid w:val="00B5534A"/>
    <w:pPr>
      <w:ind w:left="720"/>
      <w:contextualSpacing/>
    </w:pPr>
  </w:style>
  <w:style w:type="character" w:styleId="IntenseEmphasis">
    <w:name w:val="Intense Emphasis"/>
    <w:basedOn w:val="DefaultParagraphFont"/>
    <w:uiPriority w:val="21"/>
    <w:qFormat/>
    <w:rsid w:val="00B5534A"/>
    <w:rPr>
      <w:i/>
      <w:iCs/>
      <w:color w:val="2F5496" w:themeColor="accent1" w:themeShade="BF"/>
    </w:rPr>
  </w:style>
  <w:style w:type="paragraph" w:styleId="IntenseQuote">
    <w:name w:val="Intense Quote"/>
    <w:basedOn w:val="Normal"/>
    <w:next w:val="Normal"/>
    <w:link w:val="IntenseQuoteChar"/>
    <w:uiPriority w:val="30"/>
    <w:qFormat/>
    <w:rsid w:val="00B55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34A"/>
    <w:rPr>
      <w:i/>
      <w:iCs/>
      <w:color w:val="2F5496" w:themeColor="accent1" w:themeShade="BF"/>
    </w:rPr>
  </w:style>
  <w:style w:type="character" w:styleId="IntenseReference">
    <w:name w:val="Intense Reference"/>
    <w:basedOn w:val="DefaultParagraphFont"/>
    <w:uiPriority w:val="32"/>
    <w:qFormat/>
    <w:rsid w:val="00B5534A"/>
    <w:rPr>
      <w:b/>
      <w:bCs/>
      <w:smallCaps/>
      <w:color w:val="2F5496" w:themeColor="accent1" w:themeShade="BF"/>
      <w:spacing w:val="5"/>
    </w:rPr>
  </w:style>
  <w:style w:type="table" w:styleId="TableGrid">
    <w:name w:val="Table Grid"/>
    <w:basedOn w:val="TableNormal"/>
    <w:uiPriority w:val="39"/>
    <w:rsid w:val="00B55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CE1"/>
    <w:rPr>
      <w:color w:val="0563C1" w:themeColor="hyperlink"/>
      <w:u w:val="single"/>
    </w:rPr>
  </w:style>
  <w:style w:type="character" w:styleId="UnresolvedMention">
    <w:name w:val="Unresolved Mention"/>
    <w:basedOn w:val="DefaultParagraphFont"/>
    <w:uiPriority w:val="99"/>
    <w:semiHidden/>
    <w:unhideWhenUsed/>
    <w:rsid w:val="00D84CE1"/>
    <w:rPr>
      <w:color w:val="605E5C"/>
      <w:shd w:val="clear" w:color="auto" w:fill="E1DFDD"/>
    </w:rPr>
  </w:style>
  <w:style w:type="paragraph" w:styleId="FootnoteText">
    <w:name w:val="footnote text"/>
    <w:basedOn w:val="Normal"/>
    <w:link w:val="FootnoteTextChar"/>
    <w:uiPriority w:val="99"/>
    <w:semiHidden/>
    <w:unhideWhenUsed/>
    <w:rsid w:val="00594B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4B75"/>
    <w:rPr>
      <w:sz w:val="20"/>
      <w:szCs w:val="20"/>
    </w:rPr>
  </w:style>
  <w:style w:type="character" w:styleId="FootnoteReference">
    <w:name w:val="footnote reference"/>
    <w:basedOn w:val="DefaultParagraphFont"/>
    <w:uiPriority w:val="99"/>
    <w:semiHidden/>
    <w:unhideWhenUsed/>
    <w:rsid w:val="00594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7008">
      <w:bodyDiv w:val="1"/>
      <w:marLeft w:val="0"/>
      <w:marRight w:val="0"/>
      <w:marTop w:val="0"/>
      <w:marBottom w:val="0"/>
      <w:divBdr>
        <w:top w:val="none" w:sz="0" w:space="0" w:color="auto"/>
        <w:left w:val="none" w:sz="0" w:space="0" w:color="auto"/>
        <w:bottom w:val="none" w:sz="0" w:space="0" w:color="auto"/>
        <w:right w:val="none" w:sz="0" w:space="0" w:color="auto"/>
      </w:divBdr>
    </w:div>
    <w:div w:id="157233025">
      <w:bodyDiv w:val="1"/>
      <w:marLeft w:val="0"/>
      <w:marRight w:val="0"/>
      <w:marTop w:val="0"/>
      <w:marBottom w:val="0"/>
      <w:divBdr>
        <w:top w:val="none" w:sz="0" w:space="0" w:color="auto"/>
        <w:left w:val="none" w:sz="0" w:space="0" w:color="auto"/>
        <w:bottom w:val="none" w:sz="0" w:space="0" w:color="auto"/>
        <w:right w:val="none" w:sz="0" w:space="0" w:color="auto"/>
      </w:divBdr>
    </w:div>
    <w:div w:id="184176875">
      <w:bodyDiv w:val="1"/>
      <w:marLeft w:val="0"/>
      <w:marRight w:val="0"/>
      <w:marTop w:val="0"/>
      <w:marBottom w:val="0"/>
      <w:divBdr>
        <w:top w:val="none" w:sz="0" w:space="0" w:color="auto"/>
        <w:left w:val="none" w:sz="0" w:space="0" w:color="auto"/>
        <w:bottom w:val="none" w:sz="0" w:space="0" w:color="auto"/>
        <w:right w:val="none" w:sz="0" w:space="0" w:color="auto"/>
      </w:divBdr>
    </w:div>
    <w:div w:id="250429823">
      <w:bodyDiv w:val="1"/>
      <w:marLeft w:val="0"/>
      <w:marRight w:val="0"/>
      <w:marTop w:val="0"/>
      <w:marBottom w:val="0"/>
      <w:divBdr>
        <w:top w:val="none" w:sz="0" w:space="0" w:color="auto"/>
        <w:left w:val="none" w:sz="0" w:space="0" w:color="auto"/>
        <w:bottom w:val="none" w:sz="0" w:space="0" w:color="auto"/>
        <w:right w:val="none" w:sz="0" w:space="0" w:color="auto"/>
      </w:divBdr>
    </w:div>
    <w:div w:id="316153654">
      <w:bodyDiv w:val="1"/>
      <w:marLeft w:val="0"/>
      <w:marRight w:val="0"/>
      <w:marTop w:val="0"/>
      <w:marBottom w:val="0"/>
      <w:divBdr>
        <w:top w:val="none" w:sz="0" w:space="0" w:color="auto"/>
        <w:left w:val="none" w:sz="0" w:space="0" w:color="auto"/>
        <w:bottom w:val="none" w:sz="0" w:space="0" w:color="auto"/>
        <w:right w:val="none" w:sz="0" w:space="0" w:color="auto"/>
      </w:divBdr>
    </w:div>
    <w:div w:id="514731429">
      <w:bodyDiv w:val="1"/>
      <w:marLeft w:val="0"/>
      <w:marRight w:val="0"/>
      <w:marTop w:val="0"/>
      <w:marBottom w:val="0"/>
      <w:divBdr>
        <w:top w:val="none" w:sz="0" w:space="0" w:color="auto"/>
        <w:left w:val="none" w:sz="0" w:space="0" w:color="auto"/>
        <w:bottom w:val="none" w:sz="0" w:space="0" w:color="auto"/>
        <w:right w:val="none" w:sz="0" w:space="0" w:color="auto"/>
      </w:divBdr>
    </w:div>
    <w:div w:id="696005122">
      <w:bodyDiv w:val="1"/>
      <w:marLeft w:val="0"/>
      <w:marRight w:val="0"/>
      <w:marTop w:val="0"/>
      <w:marBottom w:val="0"/>
      <w:divBdr>
        <w:top w:val="none" w:sz="0" w:space="0" w:color="auto"/>
        <w:left w:val="none" w:sz="0" w:space="0" w:color="auto"/>
        <w:bottom w:val="none" w:sz="0" w:space="0" w:color="auto"/>
        <w:right w:val="none" w:sz="0" w:space="0" w:color="auto"/>
      </w:divBdr>
    </w:div>
    <w:div w:id="854853158">
      <w:bodyDiv w:val="1"/>
      <w:marLeft w:val="0"/>
      <w:marRight w:val="0"/>
      <w:marTop w:val="0"/>
      <w:marBottom w:val="0"/>
      <w:divBdr>
        <w:top w:val="none" w:sz="0" w:space="0" w:color="auto"/>
        <w:left w:val="none" w:sz="0" w:space="0" w:color="auto"/>
        <w:bottom w:val="none" w:sz="0" w:space="0" w:color="auto"/>
        <w:right w:val="none" w:sz="0" w:space="0" w:color="auto"/>
      </w:divBdr>
    </w:div>
    <w:div w:id="993533697">
      <w:bodyDiv w:val="1"/>
      <w:marLeft w:val="0"/>
      <w:marRight w:val="0"/>
      <w:marTop w:val="0"/>
      <w:marBottom w:val="0"/>
      <w:divBdr>
        <w:top w:val="none" w:sz="0" w:space="0" w:color="auto"/>
        <w:left w:val="none" w:sz="0" w:space="0" w:color="auto"/>
        <w:bottom w:val="none" w:sz="0" w:space="0" w:color="auto"/>
        <w:right w:val="none" w:sz="0" w:space="0" w:color="auto"/>
      </w:divBdr>
    </w:div>
    <w:div w:id="1015306435">
      <w:bodyDiv w:val="1"/>
      <w:marLeft w:val="0"/>
      <w:marRight w:val="0"/>
      <w:marTop w:val="0"/>
      <w:marBottom w:val="0"/>
      <w:divBdr>
        <w:top w:val="none" w:sz="0" w:space="0" w:color="auto"/>
        <w:left w:val="none" w:sz="0" w:space="0" w:color="auto"/>
        <w:bottom w:val="none" w:sz="0" w:space="0" w:color="auto"/>
        <w:right w:val="none" w:sz="0" w:space="0" w:color="auto"/>
      </w:divBdr>
    </w:div>
    <w:div w:id="1063143661">
      <w:bodyDiv w:val="1"/>
      <w:marLeft w:val="0"/>
      <w:marRight w:val="0"/>
      <w:marTop w:val="0"/>
      <w:marBottom w:val="0"/>
      <w:divBdr>
        <w:top w:val="none" w:sz="0" w:space="0" w:color="auto"/>
        <w:left w:val="none" w:sz="0" w:space="0" w:color="auto"/>
        <w:bottom w:val="none" w:sz="0" w:space="0" w:color="auto"/>
        <w:right w:val="none" w:sz="0" w:space="0" w:color="auto"/>
      </w:divBdr>
    </w:div>
    <w:div w:id="1113981076">
      <w:bodyDiv w:val="1"/>
      <w:marLeft w:val="0"/>
      <w:marRight w:val="0"/>
      <w:marTop w:val="0"/>
      <w:marBottom w:val="0"/>
      <w:divBdr>
        <w:top w:val="none" w:sz="0" w:space="0" w:color="auto"/>
        <w:left w:val="none" w:sz="0" w:space="0" w:color="auto"/>
        <w:bottom w:val="none" w:sz="0" w:space="0" w:color="auto"/>
        <w:right w:val="none" w:sz="0" w:space="0" w:color="auto"/>
      </w:divBdr>
    </w:div>
    <w:div w:id="1140732153">
      <w:bodyDiv w:val="1"/>
      <w:marLeft w:val="0"/>
      <w:marRight w:val="0"/>
      <w:marTop w:val="0"/>
      <w:marBottom w:val="0"/>
      <w:divBdr>
        <w:top w:val="none" w:sz="0" w:space="0" w:color="auto"/>
        <w:left w:val="none" w:sz="0" w:space="0" w:color="auto"/>
        <w:bottom w:val="none" w:sz="0" w:space="0" w:color="auto"/>
        <w:right w:val="none" w:sz="0" w:space="0" w:color="auto"/>
      </w:divBdr>
    </w:div>
    <w:div w:id="1159537717">
      <w:bodyDiv w:val="1"/>
      <w:marLeft w:val="0"/>
      <w:marRight w:val="0"/>
      <w:marTop w:val="0"/>
      <w:marBottom w:val="0"/>
      <w:divBdr>
        <w:top w:val="none" w:sz="0" w:space="0" w:color="auto"/>
        <w:left w:val="none" w:sz="0" w:space="0" w:color="auto"/>
        <w:bottom w:val="none" w:sz="0" w:space="0" w:color="auto"/>
        <w:right w:val="none" w:sz="0" w:space="0" w:color="auto"/>
      </w:divBdr>
    </w:div>
    <w:div w:id="1324745554">
      <w:bodyDiv w:val="1"/>
      <w:marLeft w:val="0"/>
      <w:marRight w:val="0"/>
      <w:marTop w:val="0"/>
      <w:marBottom w:val="0"/>
      <w:divBdr>
        <w:top w:val="none" w:sz="0" w:space="0" w:color="auto"/>
        <w:left w:val="none" w:sz="0" w:space="0" w:color="auto"/>
        <w:bottom w:val="none" w:sz="0" w:space="0" w:color="auto"/>
        <w:right w:val="none" w:sz="0" w:space="0" w:color="auto"/>
      </w:divBdr>
    </w:div>
    <w:div w:id="1479348330">
      <w:bodyDiv w:val="1"/>
      <w:marLeft w:val="0"/>
      <w:marRight w:val="0"/>
      <w:marTop w:val="0"/>
      <w:marBottom w:val="0"/>
      <w:divBdr>
        <w:top w:val="none" w:sz="0" w:space="0" w:color="auto"/>
        <w:left w:val="none" w:sz="0" w:space="0" w:color="auto"/>
        <w:bottom w:val="none" w:sz="0" w:space="0" w:color="auto"/>
        <w:right w:val="none" w:sz="0" w:space="0" w:color="auto"/>
      </w:divBdr>
    </w:div>
    <w:div w:id="1516653447">
      <w:bodyDiv w:val="1"/>
      <w:marLeft w:val="0"/>
      <w:marRight w:val="0"/>
      <w:marTop w:val="0"/>
      <w:marBottom w:val="0"/>
      <w:divBdr>
        <w:top w:val="none" w:sz="0" w:space="0" w:color="auto"/>
        <w:left w:val="none" w:sz="0" w:space="0" w:color="auto"/>
        <w:bottom w:val="none" w:sz="0" w:space="0" w:color="auto"/>
        <w:right w:val="none" w:sz="0" w:space="0" w:color="auto"/>
      </w:divBdr>
    </w:div>
    <w:div w:id="1518543260">
      <w:bodyDiv w:val="1"/>
      <w:marLeft w:val="0"/>
      <w:marRight w:val="0"/>
      <w:marTop w:val="0"/>
      <w:marBottom w:val="0"/>
      <w:divBdr>
        <w:top w:val="none" w:sz="0" w:space="0" w:color="auto"/>
        <w:left w:val="none" w:sz="0" w:space="0" w:color="auto"/>
        <w:bottom w:val="none" w:sz="0" w:space="0" w:color="auto"/>
        <w:right w:val="none" w:sz="0" w:space="0" w:color="auto"/>
      </w:divBdr>
    </w:div>
    <w:div w:id="1552692567">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anetwork.com/searchresults?author=Patricia+J.+Rodriguez&amp;q=Patricia+J.+Rodrigue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amanetwork.com/searchresults?author=Patricia+J.+Rodriguez&amp;q=Patricia+J.+Rodriguez" TargetMode="External"/><Relationship Id="rId4" Type="http://schemas.openxmlformats.org/officeDocument/2006/relationships/settings" Target="settings.xml"/><Relationship Id="rId9" Type="http://schemas.openxmlformats.org/officeDocument/2006/relationships/hyperlink" Target="https://jamanetwork.com/searchresults?author=Patricia+J.+Rodriguez&amp;q=Patricia+J.+Rodrigu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3CF9-76BE-4631-935C-883FF089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2025-01-07T16:46:00Z</dcterms:created>
  <dcterms:modified xsi:type="dcterms:W3CDTF">2025-01-07T18:02:00Z</dcterms:modified>
</cp:coreProperties>
</file>