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Design Document for Red, Yellow, and Green Organizations</w:t>
      </w:r>
    </w:p>
    <w:p>
      <w:pPr>
        <w:pStyle w:val="Heading1"/>
      </w:pPr>
      <w:r>
        <w:t>1. Introduction</w:t>
      </w:r>
    </w:p>
    <w:p>
      <w:r>
        <w:t>This document presents the detailed design of a mission-critical network system for the organization 'Red', along with its associated entities 'Yellow' and 'Green'. The design covers the physical and logical layout, Active Directory infrastructure, IP schema, trust relationships, security policies, fault tolerance, and a disaster recovery plan. The purpose is to ensure high availability, secure access, delegated administration, and optimized performance.</w:t>
      </w:r>
    </w:p>
    <w:p>
      <w:pPr>
        <w:pStyle w:val="Heading1"/>
      </w:pPr>
      <w:r>
        <w:t>2. High-Level Network Design</w:t>
      </w:r>
    </w:p>
    <w:p>
      <w:r>
        <w:t>The organization has multiple sites:</w:t>
        <w:br/>
        <w:t>- Red HQ (Addis Ababa): Central Data Center</w:t>
        <w:br/>
        <w:t>- Red Field Offices: 3 sites across the country</w:t>
        <w:br/>
        <w:t>- Yellow HQ: Separate domain, same forest as Red</w:t>
        <w:br/>
        <w:t>- Green HQ: Separate forest with trust relationship to Red</w:t>
        <w:br/>
        <w:br/>
        <w:t>Each location is connected through a routed private IP network, with field offices having local domain controllers.</w:t>
        <w:br/>
        <w:t>Application servers for both Red and Yellow are hosted in Red's HQ data center.</w:t>
      </w:r>
    </w:p>
    <w:p>
      <w:pPr>
        <w:pStyle w:val="Heading1"/>
      </w:pPr>
      <w:r>
        <w:t>3. IP Addressing and Routing</w:t>
      </w:r>
    </w:p>
    <w:p>
      <w:r>
        <w:t>The following IP addressing scheme is proposed:</w:t>
        <w:br/>
        <w:t>- Red HQ: 10.0.0.0/24</w:t>
        <w:br/>
        <w:t>- Red Field Office 1: 10.0.1.0/24</w:t>
        <w:br/>
        <w:t>- Red Field Office 2: 10.0.2.0/24</w:t>
        <w:br/>
        <w:t>- Red Field Office 3: 10.0.3.0/24</w:t>
        <w:br/>
        <w:t>- Yellow HQ: 10.1.0.0/24</w:t>
        <w:br/>
        <w:t>- Green HQ: 10.2.0.0/24</w:t>
        <w:br/>
        <w:br/>
        <w:t>Routing is handled by Windows Server RRAS, with routing servers deployed at each major location.</w:t>
      </w:r>
    </w:p>
    <w:p>
      <w:pPr>
        <w:pStyle w:val="Heading1"/>
      </w:pPr>
      <w:r>
        <w:t>4. Active Directory &amp; DNS Setup</w:t>
      </w:r>
    </w:p>
    <w:p>
      <w:r>
        <w:t>- Red Forest: red.local</w:t>
        <w:br/>
        <w:t>- Domains: red.org and yellow.org (same forest), green.org (separate forest)</w:t>
        <w:br/>
        <w:t>- Each domain has at least one Domain Controller with integrated DNS</w:t>
        <w:br/>
        <w:t>- Field offices have local DCs to support independent authentication.</w:t>
      </w:r>
    </w:p>
    <w:p>
      <w:pPr>
        <w:pStyle w:val="Heading1"/>
      </w:pPr>
      <w:r>
        <w:t>5. Trust Relationships</w:t>
      </w:r>
    </w:p>
    <w:p>
      <w:r>
        <w:t>- Red and Yellow domains share a transitive trust within the same forest.</w:t>
        <w:br/>
        <w:t>- Red and Green forests are linked via a one-way forest trust, allowing Red admins limited access to Green.</w:t>
      </w:r>
    </w:p>
    <w:p>
      <w:pPr>
        <w:pStyle w:val="Heading1"/>
      </w:pPr>
      <w:r>
        <w:t>6. Administration Policies</w:t>
      </w:r>
    </w:p>
    <w:p>
      <w:r>
        <w:t>- Strong passwords: Minimum 8 characters, 45-day expiration</w:t>
        <w:br/>
        <w:t>- Account lockout after 5 failed attempts</w:t>
        <w:br/>
        <w:t>- Delegation: Local admins in each Red field office; Yellow managed by Red; Green partially delegated to Red</w:t>
      </w:r>
    </w:p>
    <w:p>
      <w:pPr>
        <w:pStyle w:val="Heading1"/>
      </w:pPr>
      <w:r>
        <w:t>7. Group Policies (GPO)</w:t>
      </w:r>
    </w:p>
    <w:p>
      <w:r>
        <w:t>Proposed GPOs:</w:t>
        <w:br/>
        <w:t>- Auto-lock screen after 5 minutes</w:t>
        <w:br/>
        <w:t>- Disable USB storage</w:t>
        <w:br/>
        <w:t>- Redirect Documents folder to network</w:t>
        <w:br/>
        <w:t>- Deploy shared printers by department</w:t>
      </w:r>
    </w:p>
    <w:p>
      <w:pPr>
        <w:pStyle w:val="Heading1"/>
      </w:pPr>
      <w:r>
        <w:t>8. File Server, Permissions, and Fault Tolerance</w:t>
      </w:r>
    </w:p>
    <w:p>
      <w:r>
        <w:t>- File servers hosted in Red HQ with RAID 5</w:t>
        <w:br/>
        <w:t>- Permissions:</w:t>
        <w:br/>
        <w:t xml:space="preserve">  - NTFS: Specific access per department</w:t>
        <w:br/>
        <w:t xml:space="preserve">  - Shared folders: Read-only or full access based on group</w:t>
        <w:br/>
        <w:t>- Critical files replicated to offsite storage or backup server</w:t>
      </w:r>
    </w:p>
    <w:p>
      <w:pPr>
        <w:pStyle w:val="Heading1"/>
      </w:pPr>
      <w:r>
        <w:t>9. Disaster Recovery Plan</w:t>
      </w:r>
    </w:p>
    <w:p>
      <w:r>
        <w:t>- Daily incremental and weekly full backups</w:t>
        <w:br/>
        <w:t>- Offsite/cloud storage</w:t>
        <w:br/>
        <w:t>- Documented server restore steps</w:t>
        <w:br/>
        <w:t>- Emergency contacts and escalation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