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Calibri" w:hAnsi="Calibri"/>
          <w:b/>
          <w:color w:val="1A3A5C"/>
          <w:sz w:val="72"/>
        </w:rPr>
        <w:t>CG-IDF v2</w:t>
      </w:r>
    </w:p>
    <w:p>
      <w:pPr>
        <w:spacing w:after="80"/>
        <w:jc w:val="center"/>
      </w:pPr>
      <w:r>
        <w:rPr>
          <w:rFonts w:ascii="Calibri" w:hAnsi="Calibri"/>
          <w:color w:val="2E6DB4"/>
          <w:sz w:val="36"/>
        </w:rPr>
        <w:t>Incentive Design Forensic Engine</w:t>
      </w:r>
    </w:p>
    <w:p>
      <w:pPr>
        <w:spacing w:after="1200"/>
        <w:jc w:val="center"/>
      </w:pPr>
      <w:r>
        <w:rPr>
          <w:rFonts w:ascii="Calibri" w:hAnsi="Calibri"/>
          <w:color w:val="606060"/>
          <w:sz w:val="24"/>
        </w:rPr>
        <w:t>Version 2.0.0  |  Application Architecture &amp; Output Report</w:t>
      </w:r>
    </w:p>
    <w:p>
      <w:pPr>
        <w:pBdr>
          <w:bottom w:val="single" w:sz="4" w:space="1" w:color="2E6DB4"/>
        </w:pBdr>
        <w:spacing w:before="40" w:after="200"/>
      </w:pPr>
    </w:p>
    <w:p>
      <w:pPr>
        <w:jc w:val="center"/>
      </w:pPr>
      <w:r>
        <w:rPr>
          <w:rFonts w:ascii="Calibri" w:hAnsi="Calibri"/>
          <w:color w:val="606060"/>
          <w:sz w:val="22"/>
        </w:rPr>
        <w:t>March 2026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A3A5C"/>
          <w:sz w:val="44"/>
        </w:rPr>
        <w:t>1. What Is CG-IDF v2?</w:t>
      </w:r>
    </w:p>
    <w:p>
      <w:pPr>
        <w:pBdr>
          <w:bottom w:val="single" w:sz="4" w:space="1" w:color="2E6DB4"/>
        </w:pBdr>
        <w:spacing w:before="40" w:after="200"/>
      </w:pPr>
    </w:p>
    <w:p>
      <w:pPr>
        <w:spacing w:after="80" w:before="0"/>
      </w:pPr>
      <w:r>
        <w:rPr>
          <w:rFonts w:ascii="Calibri" w:hAnsi="Calibri"/>
          <w:i w:val="0"/>
          <w:sz w:val="22"/>
        </w:rPr>
        <w:t>CG-IDF v2 (Consumer-Grade Incentive Design Forensic engine) is an AI-powered audit tool that analyses a mobile or web application's user interface for incentive design patterns — mechanisms that drive engagement, monetisation, retention, or social behaviour. It also detects dark patterns: manipulative design tactics that exploit psychological biases against the user's own interests.</w:t>
      </w:r>
    </w:p>
    <w:p>
      <w:pPr>
        <w:spacing w:after="80" w:before="0"/>
      </w:pPr>
      <w:r>
        <w:rPr>
          <w:rFonts w:ascii="Calibri" w:hAnsi="Calibri"/>
          <w:i w:val="0"/>
          <w:sz w:val="22"/>
        </w:rPr>
        <w:t>An analyst uploads screenshots of key app surfaces through a Streamlit web interface. The engine automatically runs a five-stage AI pipeline and produces a fully structured, scored report that maps every detected pattern to the specific evidence that supports it.</w:t>
      </w:r>
    </w:p>
    <w:p>
      <w:pPr>
        <w:spacing w:before="120" w:after="200"/>
        <w:ind w:left="288"/>
        <w:shd w:val="clear" w:color="auto" w:fill="EEF4FB"/>
      </w:pPr>
      <w:r>
        <w:rPr>
          <w:rFonts w:ascii="Calibri" w:hAnsi="Calibri"/>
          <w:i/>
          <w:color w:val="1A3A5C"/>
          <w:sz w:val="21"/>
        </w:rPr>
        <w:t>Key value proposition: CG-IDF v2 replaces manual UX audits with a reproducible, evidence-linked, two-LLM verification pipeline — reducing both analyst time and the risk of unsubstantiated findings.</w:t>
      </w:r>
    </w:p>
    <w:p>
      <w:pPr>
        <w:spacing w:before="360" w:after="120"/>
      </w:pPr>
      <w:r>
        <w:rPr>
          <w:rFonts w:ascii="Calibri" w:hAnsi="Calibri"/>
          <w:b/>
          <w:color w:val="1A3A5C"/>
          <w:sz w:val="44"/>
        </w:rPr>
        <w:t>2. Application Structure</w:t>
      </w:r>
    </w:p>
    <w:p>
      <w:pPr>
        <w:pBdr>
          <w:bottom w:val="single" w:sz="4" w:space="1" w:color="2E6DB4"/>
        </w:pBdr>
        <w:spacing w:before="40" w:after="200"/>
      </w:pPr>
    </w:p>
    <w:p>
      <w:pPr>
        <w:spacing w:after="80" w:before="0"/>
      </w:pPr>
      <w:r>
        <w:rPr>
          <w:rFonts w:ascii="Calibri" w:hAnsi="Calibri"/>
          <w:i w:val="0"/>
          <w:sz w:val="22"/>
        </w:rPr>
        <w:t>The Streamlit front-end exposes two primary screens: Evidence Collection and Audit Results. These screens act as a thin shell over the five-stage backend pipeline.</w:t>
      </w:r>
    </w:p>
    <w:p>
      <w:pPr>
        <w:spacing w:before="360" w:after="120"/>
      </w:pPr>
      <w:r>
        <w:rPr>
          <w:rFonts w:ascii="Calibri" w:hAnsi="Calibri"/>
          <w:b/>
          <w:color w:val="1A3A5C"/>
          <w:sz w:val="32"/>
        </w:rPr>
        <w:t>2.1  Evidence Collection Screen</w:t>
      </w:r>
    </w:p>
    <w:p>
      <w:pPr>
        <w:spacing w:after="80" w:before="0"/>
      </w:pPr>
      <w:r>
        <w:rPr>
          <w:rFonts w:ascii="Calibri" w:hAnsi="Calibri"/>
          <w:i w:val="0"/>
          <w:sz w:val="22"/>
        </w:rPr>
        <w:t>This is the entry point of every audit run. The analyst configures the LLM provider, uploads screenshots of the app surfaces to examine, and launches the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UI Element</w:t>
            </w:r>
          </w:p>
        </w:tc>
        <w:tc>
          <w:tcPr>
            <w:tcW w:type="dxa" w:w="4533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Sidebar — LLM Provider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Choose OpenAI or Anthropic as the analysis engine</w:t>
            </w:r>
          </w:p>
        </w:tc>
      </w:tr>
      <w:tr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Sidebar — Model Override</w:t>
            </w:r>
          </w:p>
        </w:tc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Optionally pin a specific model (e.g. gpt-4o, claude-sonnet-4-6)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Sidebar — API Key reminder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Surfaces the OPENAI_API_KEY / ANTHROPIC_API_KEY requirement</w:t>
            </w:r>
          </w:p>
        </w:tc>
      </w:tr>
      <w:tr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Add New Evidence panel</w:t>
            </w:r>
          </w:p>
        </w:tc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Upload one or more screenshots; each is auto-assigned an ID (ev_001, ev_002, …)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Captured Items table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Confirms uploaded files and their IDs before the audit starts</w:t>
            </w:r>
          </w:p>
        </w:tc>
      </w:tr>
      <w:tr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Start Incentive Audit button</w:t>
            </w:r>
          </w:p>
        </w:tc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Triggers the full five-stage pipeline (red CTA button)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Audit Complete badge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Replaces the trigger button once the pipeline run finishes</w:t>
            </w:r>
          </w:p>
        </w:tc>
      </w:tr>
    </w:tbl>
    <w:p/>
    <w:p>
      <w:pPr>
        <w:spacing w:before="120" w:after="200"/>
        <w:ind w:left="288"/>
        <w:shd w:val="clear" w:color="auto" w:fill="EEF4FB"/>
      </w:pPr>
      <w:r>
        <w:rPr>
          <w:rFonts w:ascii="Calibri" w:hAnsi="Calibri"/>
          <w:i/>
          <w:color w:val="1A3A5C"/>
          <w:sz w:val="21"/>
        </w:rPr>
        <w:t>Design note: Evidence IDs are deterministic (ev_001 … ev_N), making every pipeline run fully reproducible and comparable across audits of the same product.</w:t>
      </w:r>
    </w:p>
    <w:p>
      <w:pPr>
        <w:spacing w:before="360" w:after="120"/>
      </w:pPr>
      <w:r>
        <w:rPr>
          <w:rFonts w:ascii="Calibri" w:hAnsi="Calibri"/>
          <w:b/>
          <w:color w:val="1A3A5C"/>
          <w:sz w:val="32"/>
        </w:rPr>
        <w:t>2.2  Audit Results Screen</w:t>
      </w:r>
    </w:p>
    <w:p>
      <w:pPr>
        <w:spacing w:after="80" w:before="0"/>
      </w:pPr>
      <w:r>
        <w:rPr>
          <w:rFonts w:ascii="Calibri" w:hAnsi="Calibri"/>
          <w:i w:val="0"/>
          <w:sz w:val="22"/>
        </w:rPr>
        <w:t>The results screen is divided into four visual zones stacked vertically.</w:t>
      </w:r>
    </w:p>
    <w:p>
      <w:pPr>
        <w:spacing w:before="360" w:after="120"/>
      </w:pPr>
      <w:r>
        <w:rPr>
          <w:rFonts w:ascii="Calibri" w:hAnsi="Calibri"/>
          <w:b/>
          <w:color w:val="1A3A5C"/>
          <w:sz w:val="26"/>
        </w:rPr>
        <w:t>2.2.1  Score Summary Bar</w:t>
      </w:r>
    </w:p>
    <w:p>
      <w:pPr>
        <w:spacing w:after="80" w:before="0"/>
      </w:pPr>
      <w:r>
        <w:rPr>
          <w:rFonts w:ascii="Calibri" w:hAnsi="Calibri"/>
          <w:i w:val="0"/>
          <w:sz w:val="22"/>
        </w:rPr>
        <w:t>Three top-level metrics give an immediate audit health signal: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022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Value (Example Run)</w:t>
            </w:r>
          </w:p>
        </w:tc>
        <w:tc>
          <w:tcPr>
            <w:tcW w:type="dxa" w:w="3022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Overall Score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0.9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Mean of all five layer rollup scores (0.0 – 1.0)</w:t>
            </w:r>
          </w:p>
        </w:tc>
      </w:tr>
      <w:tr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Flags Detected</w:t>
            </w:r>
          </w:p>
        </w:tc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Total number of pipeline issues raised</w:t>
            </w:r>
          </w:p>
        </w:tc>
      </w:tr>
      <w:tr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Summary text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Auto-generated sentence: highest layer, flag breakdown</w:t>
            </w:r>
          </w:p>
        </w:tc>
      </w:tr>
      <w:tr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Download JSON Report</w:t>
            </w:r>
          </w:p>
        </w:tc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Full structured FinalReport as a downloadable file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1A3A5C"/>
          <w:sz w:val="26"/>
        </w:rPr>
        <w:t>2.2.2  Incentive Profile — Radar Chart</w:t>
      </w:r>
    </w:p>
    <w:p>
      <w:pPr>
        <w:spacing w:after="80" w:before="0"/>
      </w:pPr>
      <w:r>
        <w:rPr>
          <w:rFonts w:ascii="Calibri" w:hAnsi="Calibri"/>
          <w:i w:val="0"/>
          <w:sz w:val="22"/>
        </w:rPr>
        <w:t>A radar (spider) chart plots rollup scores for all five analysis layers simultaneously. The shape gives an immediate visual fingerprint of the app's incentive footprint: a layer that fills the outer ring (score ≈ 1.0) is saturated with detectable patterns; a collapsed axis means evidence was absent or inconclusive.</w:t>
      </w:r>
    </w:p>
    <w:p>
      <w:pPr>
        <w:spacing w:before="360" w:after="120"/>
      </w:pPr>
      <w:r>
        <w:rPr>
          <w:rFonts w:ascii="Calibri" w:hAnsi="Calibri"/>
          <w:b/>
          <w:color w:val="1A3A5C"/>
          <w:sz w:val="26"/>
        </w:rPr>
        <w:t>2.2.3  Layer Scores — Bar Chart</w:t>
      </w:r>
    </w:p>
    <w:p>
      <w:pPr>
        <w:spacing w:after="80" w:before="0"/>
      </w:pPr>
      <w:r>
        <w:rPr>
          <w:rFonts w:ascii="Calibri" w:hAnsi="Calibri"/>
          <w:i w:val="0"/>
          <w:sz w:val="22"/>
        </w:rPr>
        <w:t>Horizontal bars give precise numeric rollup scores per layer: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533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Score (Example Run)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Engagement Incentives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0.93</w:t>
            </w:r>
          </w:p>
        </w:tc>
      </w:tr>
      <w:tr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Monetisation Incentives</w:t>
            </w:r>
          </w:p>
        </w:tc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1.00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Retention Incentives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1.00</w:t>
            </w:r>
          </w:p>
        </w:tc>
      </w:tr>
      <w:tr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Social &amp; Sharing Incentives</w:t>
            </w:r>
          </w:p>
        </w:tc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1.00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Dark Pattern Detection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0.65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1A3A5C"/>
          <w:sz w:val="26"/>
        </w:rPr>
        <w:t>2.2.4  Audit Flags Panel</w:t>
      </w:r>
    </w:p>
    <w:p>
      <w:pPr>
        <w:spacing w:after="80" w:before="0"/>
      </w:pPr>
      <w:r>
        <w:rPr>
          <w:rFonts w:ascii="Calibri" w:hAnsi="Calibri"/>
          <w:i w:val="0"/>
          <w:sz w:val="22"/>
        </w:rPr>
        <w:t>Collapsible flag groups list every issue raised during the pipeline. Each group shows the flag type and count; expanding it reveals the specific question IDs affected.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Flag Code</w:t>
            </w:r>
          </w:p>
        </w:tc>
        <w:tc>
          <w:tcPr>
            <w:tcW w:type="dxa" w:w="3022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022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MISSING_SURFACE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 required surface (home feed / checkout / onboarding) was not uploaded</w:t>
            </w:r>
          </w:p>
        </w:tc>
      </w:tr>
      <w:tr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MISSING_ANSWER</w:t>
            </w:r>
          </w:p>
        </w:tc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The LLM could not answer a question from the available evidence</w:t>
            </w:r>
          </w:p>
        </w:tc>
      </w:tr>
      <w:tr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LOW_CONFIDENCE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The LLM answered but confidence fell below the 0.6 threshold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1A3A5C"/>
          <w:sz w:val="26"/>
        </w:rPr>
        <w:t>2.2.5  Detailed Breakdown Panel</w:t>
      </w:r>
    </w:p>
    <w:p>
      <w:pPr>
        <w:spacing w:after="80" w:before="0"/>
      </w:pPr>
      <w:r>
        <w:rPr>
          <w:rFonts w:ascii="Calibri" w:hAnsi="Calibri"/>
          <w:i w:val="0"/>
          <w:sz w:val="22"/>
        </w:rPr>
        <w:t>A layer selector lets the analyst drill into individual questions within any layer. Each question shows a status icon (green check = answered &amp; verified; red question mark = missing or low-confidence), the question ID and text, and an expandable detail section with the full LLM answer, confidence score, evidence references, and any verification notes added by Provider B.</w:t>
      </w:r>
    </w:p>
    <w:p>
      <w:pPr>
        <w:spacing w:after="80" w:before="0"/>
      </w:pPr>
      <w:r>
        <w:rPr>
          <w:rFonts w:ascii="Calibri" w:hAnsi="Calibri"/>
          <w:i w:val="0"/>
          <w:sz w:val="22"/>
        </w:rPr>
        <w:t>Example questions visible in the Engagement layer: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ENG_01: What UI patterns drive the user to spend more time in the app?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ENG_02: Are there infinite scroll or auto-play mechanisms present?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ENG_03: Does the app use variable-reward mechanics (e.g., likes, streaks)?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ENG_04: Are notification or badge counts visible on the main surface?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A3A5C"/>
          <w:sz w:val="44"/>
        </w:rPr>
        <w:t>3. Backend Architecture</w:t>
      </w:r>
    </w:p>
    <w:p>
      <w:pPr>
        <w:pBdr>
          <w:bottom w:val="single" w:sz="4" w:space="1" w:color="2E6DB4"/>
        </w:pBdr>
        <w:spacing w:before="40" w:after="200"/>
      </w:pPr>
    </w:p>
    <w:p>
      <w:pPr>
        <w:spacing w:before="360" w:after="120"/>
      </w:pPr>
      <w:r>
        <w:rPr>
          <w:rFonts w:ascii="Calibri" w:hAnsi="Calibri"/>
          <w:b/>
          <w:color w:val="1A3A5C"/>
          <w:sz w:val="32"/>
        </w:rPr>
        <w:t>3.1  Pipeline Overview</w:t>
      </w:r>
    </w:p>
    <w:p>
      <w:pPr>
        <w:spacing w:after="80" w:before="0"/>
      </w:pPr>
      <w:r>
        <w:rPr>
          <w:rFonts w:ascii="Calibri" w:hAnsi="Calibri"/>
          <w:i w:val="0"/>
          <w:sz w:val="22"/>
        </w:rPr>
        <w:t>The engine is built on LangGraph — a state-machine orchestration framework. The pipeline is a directed acyclic graph (DAG) with five stages and one conditional branch:</w:t>
      </w:r>
    </w:p>
    <w:p>
      <w:pPr>
        <w:spacing w:before="80" w:after="160"/>
        <w:ind w:left="432"/>
        <w:shd w:val="clear" w:color="auto" w:fill="F0F4F8"/>
      </w:pPr>
      <w:r>
        <w:rPr>
          <w:rFonts w:ascii="Courier New" w:hAnsi="Courier New"/>
          <w:color w:val="2B2B2B"/>
          <w:sz w:val="18"/>
        </w:rPr>
        <w:t>Evidence + Screenshots</w:t>
        <w:br/>
        <w:t xml:space="preserve">       │</w:t>
        <w:br/>
        <w:t xml:space="preserve">       ▼</w:t>
        <w:br/>
        <w:t xml:space="preserve">  ┌─────────────────┐</w:t>
        <w:br/>
        <w:t xml:space="preserve">  │  Provider A     │   Multimodal LLM — answers 20 questions across 5 layers</w:t>
        <w:br/>
        <w:t xml:space="preserve">  └────────┬────────┘</w:t>
        <w:br/>
        <w:t xml:space="preserve">           │</w:t>
        <w:br/>
        <w:t xml:space="preserve">           ▼</w:t>
        <w:br/>
        <w:t xml:space="preserve">  ┌─────────────────┐</w:t>
        <w:br/>
        <w:t xml:space="preserve">  │  Rules Engine   │   Deterministic Python — flags issues, builds review queue</w:t>
        <w:br/>
        <w:t xml:space="preserve">  └────────┬────────┘</w:t>
        <w:br/>
        <w:t xml:space="preserve">           │</w:t>
        <w:br/>
        <w:t xml:space="preserve">    ┌──────┴──────┐</w:t>
        <w:br/>
        <w:t xml:space="preserve"> [queue &gt; 0]  [queue empty]</w:t>
        <w:br/>
        <w:t xml:space="preserve">       │              │</w:t>
        <w:br/>
        <w:t xml:space="preserve">       ▼              │</w:t>
        <w:br/>
        <w:t xml:space="preserve">  ┌─────────────────┐ │</w:t>
        <w:br/>
        <w:t xml:space="preserve">  │  Provider B     │ │   Text-only LLM — verifies flagged answers</w:t>
        <w:br/>
        <w:t xml:space="preserve">  └────────┬────────┘ │</w:t>
        <w:br/>
        <w:t xml:space="preserve">           │          │</w:t>
        <w:br/>
        <w:t xml:space="preserve">           └────┬─────┘</w:t>
        <w:br/>
        <w:t xml:space="preserve">                ▼</w:t>
        <w:br/>
        <w:t xml:space="preserve">  ┌─────────────────────┐</w:t>
        <w:br/>
        <w:t xml:space="preserve">  │  Merge + Scoring    │   Adjusts confidence, computes scores, builds FinalReport</w:t>
        <w:br/>
        <w:t xml:space="preserve">  └─────────────────────┘</w:t>
        <w:br/>
        <w:t xml:space="preserve">                ▼</w:t>
        <w:br/>
        <w:t xml:space="preserve">         FinalReport (JSON)</w:t>
      </w:r>
    </w:p>
    <w:p>
      <w:pPr>
        <w:spacing w:before="360" w:after="120"/>
      </w:pPr>
      <w:r>
        <w:rPr>
          <w:rFonts w:ascii="Calibri" w:hAnsi="Calibri"/>
          <w:b/>
          <w:color w:val="1A3A5C"/>
          <w:sz w:val="32"/>
        </w:rPr>
        <w:t>3.2  File Map</w:t>
      </w:r>
    </w:p>
    <w:p>
      <w:pPr>
        <w:spacing w:before="80" w:after="160"/>
        <w:ind w:left="432"/>
        <w:shd w:val="clear" w:color="auto" w:fill="F0F4F8"/>
      </w:pPr>
      <w:r>
        <w:rPr>
          <w:rFonts w:ascii="Courier New" w:hAnsi="Courier New"/>
          <w:color w:val="2B2B2B"/>
          <w:sz w:val="18"/>
        </w:rPr>
        <w:t>cg-idf-v2/</w:t>
        <w:br/>
        <w:t>├── app.py                  # Streamlit UI</w:t>
        <w:br/>
        <w:t>├── graph.py                # LangGraph DAG + conditional routing</w:t>
        <w:br/>
        <w:t>├── schema.py               # Pydantic models (AuditState, FinalReport, Layer, …)</w:t>
        <w:br/>
        <w:t>├── llm.py                  # Unified OpenAI / Anthropic client</w:t>
        <w:br/>
        <w:t>├── main.py                 # CLI entry point</w:t>
        <w:br/>
        <w:t>└── nodes/</w:t>
        <w:br/>
        <w:t xml:space="preserve">    ├── provider_a.py       # Step 2 — multimodal LLM analysis</w:t>
        <w:br/>
        <w:t xml:space="preserve">    ├── rules_engine.py     # Step 3 — deterministic validation</w:t>
        <w:br/>
        <w:t xml:space="preserve">    ├── provider_b.py       # Step 4 — text-only verification</w:t>
        <w:br/>
        <w:t xml:space="preserve">    └── merge_scoring.py    # Step 5 — confidence adjustment + scoring</w:t>
      </w:r>
    </w:p>
    <w:p>
      <w:pPr>
        <w:spacing w:before="360" w:after="120"/>
      </w:pPr>
      <w:r>
        <w:rPr>
          <w:rFonts w:ascii="Calibri" w:hAnsi="Calibri"/>
          <w:b/>
          <w:color w:val="1A3A5C"/>
          <w:sz w:val="32"/>
        </w:rPr>
        <w:t>3.3  Node-by-Node Summary</w:t>
      </w:r>
    </w:p>
    <w:p>
      <w:pPr>
        <w:spacing w:before="360" w:after="120"/>
      </w:pPr>
      <w:r>
        <w:rPr>
          <w:rFonts w:ascii="Calibri" w:hAnsi="Calibri"/>
          <w:b/>
          <w:color w:val="1A3A5C"/>
          <w:sz w:val="26"/>
        </w:rPr>
        <w:t>Provider A — Primary LLM Analysis</w:t>
      </w:r>
    </w:p>
    <w:p>
      <w:pPr>
        <w:spacing w:after="80" w:before="0"/>
      </w:pPr>
      <w:r>
        <w:rPr>
          <w:rFonts w:ascii="Calibri" w:hAnsi="Calibri"/>
          <w:i w:val="0"/>
          <w:sz w:val="22"/>
        </w:rPr>
        <w:t>Provider A is the first and most expensive LLM call. It receives all uploaded evidence items together with their base64-encoded screenshots and answers 20 structured questions spread across five analysis layers (4 questions per layer). Every answer is classified as: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2"/>
        </w:rPr>
        <w:t xml:space="preserve">supported  — </w:t>
      </w:r>
      <w:r>
        <w:rPr>
          <w:rFonts w:ascii="Calibri" w:hAnsi="Calibri"/>
          <w:sz w:val="22"/>
        </w:rPr>
        <w:t>supported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directly backed by at least one cited evidence reference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2"/>
        </w:rPr>
        <w:t xml:space="preserve">inferred  — </w:t>
      </w:r>
      <w:r>
        <w:rPr>
          <w:rFonts w:ascii="Calibri" w:hAnsi="Calibri"/>
          <w:sz w:val="22"/>
        </w:rPr>
        <w:t>inferred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reasonable deduction without a direct screenshot reference</w:t>
      </w:r>
    </w:p>
    <w:p>
      <w:pPr>
        <w:pStyle w:val="ListBullet"/>
        <w:spacing w:after="60" w:before="0"/>
      </w:pPr>
      <w:r>
        <w:rPr>
          <w:rFonts w:ascii="Calibri" w:hAnsi="Calibri"/>
          <w:b/>
          <w:sz w:val="22"/>
        </w:rPr>
        <w:t xml:space="preserve">unknown  — </w:t>
      </w:r>
      <w:r>
        <w:rPr>
          <w:rFonts w:ascii="Calibri" w:hAnsi="Calibri"/>
          <w:sz w:val="22"/>
        </w:rPr>
        <w:t>unknown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insufficient evidence to form a conclusion</w:t>
      </w:r>
    </w:p>
    <w:p>
      <w:pPr>
        <w:spacing w:after="200" w:before="0"/>
      </w:pPr>
      <w:r>
        <w:rPr>
          <w:rFonts w:ascii="Calibri" w:hAnsi="Calibri"/>
          <w:i w:val="0"/>
          <w:sz w:val="22"/>
        </w:rPr>
        <w:t>The node automatically demotes a 'supported' claim to 'inferred' if no evidence_refs were actually cited, preventing the LLM from over-claiming evidence quality.</w:t>
      </w:r>
    </w:p>
    <w:p>
      <w:pPr>
        <w:spacing w:before="360" w:after="120"/>
      </w:pPr>
      <w:r>
        <w:rPr>
          <w:rFonts w:ascii="Calibri" w:hAnsi="Calibri"/>
          <w:b/>
          <w:color w:val="1A3A5C"/>
          <w:sz w:val="26"/>
        </w:rPr>
        <w:t>Rules Engine — Deterministic Gating</w:t>
      </w:r>
    </w:p>
    <w:p>
      <w:pPr>
        <w:spacing w:after="80" w:before="0"/>
      </w:pPr>
      <w:r>
        <w:rPr>
          <w:rFonts w:ascii="Calibri" w:hAnsi="Calibri"/>
          <w:i w:val="0"/>
          <w:sz w:val="22"/>
        </w:rPr>
        <w:t>The rules engine is pure Python — no LLM involved. It applies five deterministic checks to Provider A's output and is the primary quality gate of the pipeline: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022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Flag Raised</w:t>
            </w:r>
          </w:p>
        </w:tc>
        <w:tc>
          <w:tcPr>
            <w:tcW w:type="dxa" w:w="3022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Threshold</w:t>
            </w:r>
          </w:p>
        </w:tc>
      </w:tr>
      <w:tr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Required surface coverage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MISSING_SURFACE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home_feed, checkout, onboarding must be present</w:t>
            </w:r>
          </w:p>
        </w:tc>
      </w:tr>
      <w:tr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Unsupported claim check</w:t>
            </w:r>
          </w:p>
        </w:tc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UNSUPPORTED_CLAIM</w:t>
            </w:r>
          </w:p>
        </w:tc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answered 'supported' but no evidence_refs cited</w:t>
            </w:r>
          </w:p>
        </w:tc>
      </w:tr>
      <w:tr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Missing answer check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MISSING_ANSWER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 answer_text or answer_type = unknown</w:t>
            </w:r>
          </w:p>
        </w:tc>
      </w:tr>
      <w:tr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Low confidence check</w:t>
            </w:r>
          </w:p>
        </w:tc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LOW_CONFIDENCE</w:t>
            </w:r>
          </w:p>
        </w:tc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confidence &lt; 0.6</w:t>
            </w:r>
          </w:p>
        </w:tc>
      </w:tr>
      <w:tr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Incomplete layer coverage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LAYER_MISSING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any of the 5 required layers absent</w:t>
            </w:r>
          </w:p>
        </w:tc>
      </w:tr>
    </w:tbl>
    <w:p/>
    <w:p>
      <w:pPr>
        <w:spacing w:after="80" w:before="0"/>
      </w:pPr>
      <w:r>
        <w:rPr>
          <w:rFonts w:ascii="Calibri" w:hAnsi="Calibri"/>
          <w:i w:val="0"/>
          <w:sz w:val="22"/>
        </w:rPr>
        <w:t>Items that trigger a flag are added to the review_queue. The graph's conditional router sends the pipeline to Provider B only if this queue is non-empty, keeping costs low when the first-pass analysis is clean.</w:t>
      </w:r>
    </w:p>
    <w:p>
      <w:pPr>
        <w:spacing w:before="360" w:after="120"/>
      </w:pPr>
      <w:r>
        <w:rPr>
          <w:rFonts w:ascii="Calibri" w:hAnsi="Calibri"/>
          <w:b/>
          <w:color w:val="1A3A5C"/>
          <w:sz w:val="26"/>
        </w:rPr>
        <w:t>Provider B — Verification LLM</w:t>
      </w:r>
    </w:p>
    <w:p>
      <w:pPr>
        <w:spacing w:after="80" w:before="0"/>
      </w:pPr>
      <w:r>
        <w:rPr>
          <w:rFonts w:ascii="Calibri" w:hAnsi="Calibri"/>
          <w:i w:val="0"/>
          <w:sz w:val="22"/>
        </w:rPr>
        <w:t>Provider B is a targeted, text-only verification step. It receives only the flagged items from the review queue — not the full set of 20 questions — and returns one of five verdicts for each: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4533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confirm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Answer well-supported; no change needed</w:t>
            </w:r>
          </w:p>
        </w:tc>
      </w:tr>
      <w:tr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downgrade</w:t>
            </w:r>
          </w:p>
        </w:tc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Partially correct; confidence should be reduced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contradiction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Evidence contradicts the answer</w:t>
            </w:r>
          </w:p>
        </w:tc>
      </w:tr>
      <w:tr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insufficient_evidence</w:t>
            </w:r>
          </w:p>
        </w:tc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Evidence too thin to support the claim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missing_evidence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Referenced evidence absent or uninformative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1A3A5C"/>
          <w:sz w:val="26"/>
        </w:rPr>
        <w:t>Merge + Scoring — Final Assembly</w:t>
      </w:r>
    </w:p>
    <w:p>
      <w:pPr>
        <w:spacing w:after="80" w:before="0"/>
      </w:pPr>
      <w:r>
        <w:rPr>
          <w:rFonts w:ascii="Calibri" w:hAnsi="Calibri"/>
          <w:i w:val="0"/>
          <w:sz w:val="22"/>
        </w:rPr>
        <w:t>The merge node applies Provider B verdicts to the question objects and then computes the scoring hierarchy: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Verdict Applied</w:t>
            </w:r>
          </w:p>
        </w:tc>
        <w:tc>
          <w:tcPr>
            <w:tcW w:type="dxa" w:w="3022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Confidence Effect</w:t>
            </w:r>
          </w:p>
        </w:tc>
        <w:tc>
          <w:tcPr>
            <w:tcW w:type="dxa" w:w="3022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Side Effect</w:t>
            </w:r>
          </w:p>
        </w:tc>
      </w:tr>
      <w:tr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confirm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 change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downgrade</w:t>
            </w:r>
          </w:p>
        </w:tc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× 0.6 (floor: 0.1)</w:t>
            </w:r>
          </w:p>
        </w:tc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Note appended to question</w:t>
            </w:r>
          </w:p>
        </w:tc>
      </w:tr>
      <w:tr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contradiction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Forced to 0.1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AuditFlag raised + note</w:t>
            </w:r>
          </w:p>
        </w:tc>
      </w:tr>
      <w:tr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insufficient_evidence</w:t>
            </w:r>
          </w:p>
        </w:tc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× 0.6 (floor: 0.1)</w:t>
            </w:r>
          </w:p>
        </w:tc>
        <w:tc>
          <w:tcPr>
            <w:tcW w:type="dxa" w:w="302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Note appended to question</w:t>
            </w:r>
          </w:p>
        </w:tc>
      </w:tr>
      <w:tr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missing_evidence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× 0.6 (floor: 0.1)</w:t>
            </w:r>
          </w:p>
        </w:tc>
        <w:tc>
          <w:tcPr>
            <w:tcW w:type="dxa" w:w="3022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Note appended to question</w:t>
            </w:r>
          </w:p>
        </w:tc>
      </w:tr>
    </w:tbl>
    <w:p/>
    <w:p>
      <w:pPr>
        <w:spacing w:after="80" w:before="0"/>
      </w:pPr>
      <w:r>
        <w:rPr>
          <w:rFonts w:ascii="Calibri" w:hAnsi="Calibri"/>
          <w:i w:val="0"/>
          <w:sz w:val="22"/>
        </w:rPr>
        <w:t>Layer rollup = mean confidence across all questions in the layer. Unanswered or 'unknown' questions contribute 0.0, so gaps actively penalise the score rather than being silently excluded. Overall score = mean of all five layer rollups.</w:t>
      </w:r>
    </w:p>
    <w:p>
      <w:pPr>
        <w:spacing w:before="360" w:after="120"/>
      </w:pPr>
      <w:r>
        <w:rPr>
          <w:rFonts w:ascii="Calibri" w:hAnsi="Calibri"/>
          <w:b/>
          <w:color w:val="1A3A5C"/>
          <w:sz w:val="32"/>
        </w:rPr>
        <w:t>3.4  Data Model Flow</w:t>
      </w:r>
    </w:p>
    <w:p>
      <w:pPr>
        <w:spacing w:before="80" w:after="160"/>
        <w:ind w:left="432"/>
        <w:shd w:val="clear" w:color="auto" w:fill="F0F4F8"/>
      </w:pPr>
      <w:r>
        <w:rPr>
          <w:rFonts w:ascii="Courier New" w:hAnsi="Courier New"/>
          <w:color w:val="2B2B2B"/>
          <w:sz w:val="18"/>
        </w:rPr>
        <w:t>Evidence[]  ──▶  AuditState</w:t>
        <w:br/>
        <w:t xml:space="preserve">                    ├── screen_facts[]          (extracted by Provider A)</w:t>
        <w:br/>
        <w:t xml:space="preserve">                    ├── layers{}                (5 layers × 4 questions each)</w:t>
        <w:br/>
        <w:t xml:space="preserve">                    │       └── questions[]</w:t>
        <w:br/>
        <w:t xml:space="preserve">                    │               ├── llm_answer</w:t>
        <w:br/>
        <w:t xml:space="preserve">                    │               ├── answer_type</w:t>
        <w:br/>
        <w:t xml:space="preserve">                    │               ├── confidence</w:t>
        <w:br/>
        <w:t xml:space="preserve">                    │               └── evidence_refs[]</w:t>
        <w:br/>
        <w:t xml:space="preserve">                    ├── review_queue[]           (built by Rules Engine)</w:t>
        <w:br/>
        <w:t xml:space="preserve">                    ├── verifications[]          (returned by Provider B)</w:t>
        <w:br/>
        <w:t xml:space="preserve">                    ├── pipeline_flags[]         (rules + contradiction flags)</w:t>
        <w:br/>
        <w:t xml:space="preserve">                    └── final_report             (assembled by Merge node)</w:t>
        <w:br/>
        <w:t xml:space="preserve">                            ├── layers{}  (with rollup_scores)</w:t>
        <w:br/>
        <w:t xml:space="preserve">                            ├── flags[]</w:t>
        <w:br/>
        <w:t xml:space="preserve">                            ├── overall_score</w:t>
        <w:br/>
        <w:t xml:space="preserve">                            └── summary (auto-generated text)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A3A5C"/>
          <w:sz w:val="44"/>
        </w:rPr>
        <w:t>4. Output Analysis — Example Run</w:t>
      </w:r>
    </w:p>
    <w:p>
      <w:pPr>
        <w:pBdr>
          <w:bottom w:val="single" w:sz="4" w:space="1" w:color="2E6DB4"/>
        </w:pBdr>
        <w:spacing w:before="40" w:after="200"/>
      </w:pPr>
    </w:p>
    <w:p>
      <w:pPr>
        <w:spacing w:after="80" w:before="0"/>
      </w:pPr>
      <w:r>
        <w:rPr>
          <w:rFonts w:ascii="Calibri" w:hAnsi="Calibri"/>
          <w:i w:val="0"/>
          <w:sz w:val="22"/>
        </w:rPr>
        <w:t>The example audit processed a single screenshot (ev_001) and produced scores across all five layers. The table below interprets the key findings: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Observation</w:t>
            </w:r>
          </w:p>
        </w:tc>
        <w:tc>
          <w:tcPr>
            <w:tcW w:type="dxa" w:w="4533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Monetisation, Retention, Social all at 1.00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Provider A found strong, high-confidence signals in the single screenshot</w:t>
            </w:r>
          </w:p>
        </w:tc>
      </w:tr>
      <w:tr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Dark Pattern Detection at 0.65</w:t>
            </w:r>
          </w:p>
        </w:tc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Partial evidence — some patterns were inferred rather than directly supported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1× MISSING_SURFACE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The screenshot did not cover one of the three required surfaces (home feed, checkout, or onboarding)</w:t>
            </w:r>
          </w:p>
        </w:tc>
      </w:tr>
      <w:tr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2× MISSING_ANSWER</w:t>
            </w:r>
          </w:p>
        </w:tc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Two questions had no answerable evidence in the uploaded material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2× LOW_CONFIDENCE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Two answers fell below the 0.6 confidence threshold and were sent to Provider B</w:t>
            </w:r>
          </w:p>
        </w:tc>
      </w:tr>
      <w:tr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Overall score 0.9</w:t>
            </w:r>
          </w:p>
        </w:tc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High density of detectable incentive patterns across the audited surface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Highest layer: 'Monetisation Incentives'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The screenshot contained the strongest monetisation signals of any layer</w:t>
            </w:r>
          </w:p>
        </w:tc>
      </w:tr>
    </w:tbl>
    <w:p/>
    <w:p>
      <w:pPr>
        <w:spacing w:before="120" w:after="200"/>
        <w:ind w:left="288"/>
        <w:shd w:val="clear" w:color="auto" w:fill="EEF4FB"/>
      </w:pPr>
      <w:r>
        <w:rPr>
          <w:rFonts w:ascii="Calibri" w:hAnsi="Calibri"/>
          <w:i/>
          <w:color w:val="1A3A5C"/>
          <w:sz w:val="21"/>
        </w:rPr>
        <w:t>Important — score direction: A high score does NOT mean 'good design.' It means the app is dense with detectable incentive mechanisms. A score of 1.00 on Dark Pattern Detection is a serious red flag, not a positive result.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A3A5C"/>
          <w:sz w:val="44"/>
        </w:rPr>
        <w:t>5. What Can Be Improved in the Output</w:t>
      </w:r>
    </w:p>
    <w:p>
      <w:pPr>
        <w:pBdr>
          <w:bottom w:val="single" w:sz="4" w:space="1" w:color="2E6DB4"/>
        </w:pBdr>
        <w:spacing w:before="40" w:after="200"/>
      </w:pPr>
    </w:p>
    <w:p>
      <w:pPr>
        <w:spacing w:after="80" w:before="0"/>
      </w:pPr>
      <w:r>
        <w:rPr>
          <w:rFonts w:ascii="Calibri" w:hAnsi="Calibri"/>
          <w:i w:val="0"/>
          <w:sz w:val="22"/>
        </w:rPr>
        <w:t>The pipeline logic and data model are sound. The main improvement opportunities are in how the output is communicated to human reviewers.</w:t>
      </w:r>
    </w:p>
    <w:p>
      <w:pPr>
        <w:spacing w:before="240" w:after="80"/>
      </w:pPr>
      <w:r>
        <w:rPr>
          <w:rFonts w:ascii="Calibri" w:hAnsi="Calibri"/>
          <w:b/>
          <w:color w:val="2E6DB4"/>
          <w:sz w:val="24"/>
        </w:rPr>
        <w:t>1.  Score Interpretation Guidance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Current state: Numeric scores (0.93, 1.00, 0.65, …) are displayed without contextual meaning.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Improvement: Add threshold bands with colour coding: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 xml:space="preserve">    🟢  0.0 – 0.3  Low pattern density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 xml:space="preserve">    🟡  0.3 – 0.6  Moderate density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 xml:space="preserve">    🔴  0.6 – 1.0  High density — warrants review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Critical for Dark Pattern Detection specifically: a high score there should surface a warning callout rather than rendering identically to a high Engagement score.</w:t>
      </w:r>
    </w:p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2E6DB4"/>
          <w:sz w:val="24"/>
        </w:rPr>
        <w:t>2.  Human-Readable Flag Labels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Current state: Flags display as FlagCode.MISSING_ANSWER (2) — raw Python enum names.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Improvement: Strip the FlagCode. prefix and add plain-English descriptions: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 xml:space="preserve">    Missing Answer (2) — The LLM could not find evidence to answer these questions.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 xml:space="preserve">    Low Confidence (2) — These answers may be unreliable; consider uploading more screenshots.</w:t>
      </w:r>
    </w:p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2E6DB4"/>
          <w:sz w:val="24"/>
        </w:rPr>
        <w:t>3.  Inline Evidence Thumbnails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Current state: The Detailed Breakdown shows answers and evidence IDs as text only.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Improvement: Display a thumbnail of the referenced screenshot next to each question answer so a human reviewer can immediately verify the claim visually without switching context to a file browser.</w:t>
      </w:r>
    </w:p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2E6DB4"/>
          <w:sz w:val="24"/>
        </w:rPr>
        <w:t>4.  Dedicated Contradictions Panel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Current state: Contradictions are present in the JSON output but have no dedicated UI section.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Improvement: Add a 'Contradictions Detected' panel that appears only when contradictions[] is non-empty, showing Provider A's original answer and Provider B's counter-finding side by side for easy human arbitration.</w:t>
      </w:r>
    </w:p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2E6DB4"/>
          <w:sz w:val="24"/>
        </w:rPr>
        <w:t>5.  Limited-Evidence Warning Banner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Current state: Three layers scored 1.00 from a single screenshot — statistically fragile.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Improvement: Show a dismissible banner when fewer than 3 evidence items are provided: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 xml:space="preserve">    'Audit based on limited evidence. Scores may not reflect the full product.'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Consider weighting rollup scores by evidence count to dampen over-confident results.</w:t>
      </w:r>
    </w:p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2E6DB4"/>
          <w:sz w:val="24"/>
        </w:rPr>
        <w:t>6.  Additional Export Formats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Current state: Only a JSON download is available.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Improvement: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 xml:space="preserve">    PDF export — formatted report with the radar chart embedded, suitable for sharing.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 xml:space="preserve">    CSV export — question-level data for stakeholders who prefer spreadsheet analysis.</w:t>
      </w:r>
    </w:p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2E6DB4"/>
          <w:sz w:val="24"/>
        </w:rPr>
        <w:t>7.  Inverted Radar Axis for Dark Patterns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Current state: All five radar axes point outward equally, making a 'bigger shape' appear uniformly positive.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Improvement: Invert the Dark Pattern Detection axis (or render it in red) so the radar chart intuitively represents a healthy product: large engagement / retention footprint, small dark-pattern footprint.</w:t>
      </w:r>
    </w:p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2E6DB4"/>
          <w:sz w:val="24"/>
        </w:rPr>
        <w:t>8.  Audit History &amp; Version Comparison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Current state: Each run is standalone with no persistence between sessions.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Improvement: Store run history in a local SQLite or file-based store and allow overlaying two radar charts — enabling before/after comparisons after a product update, or competitor benchmarking.</w:t>
      </w:r>
    </w:p>
    <w:p>
      <w:pPr>
        <w:spacing w:after="4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A3A5C"/>
          <w:sz w:val="44"/>
        </w:rPr>
        <w:t>6. Summary</w:t>
      </w:r>
    </w:p>
    <w:p>
      <w:pPr>
        <w:pBdr>
          <w:bottom w:val="single" w:sz="4" w:space="1" w:color="2E6DB4"/>
        </w:pBdr>
        <w:spacing w:before="40" w:after="200"/>
      </w:pPr>
    </w:p>
    <w:p>
      <w:pPr>
        <w:spacing w:after="80" w:before="0"/>
      </w:pPr>
      <w:r>
        <w:rPr>
          <w:rFonts w:ascii="Calibri" w:hAnsi="Calibri"/>
          <w:i w:val="0"/>
          <w:sz w:val="22"/>
        </w:rPr>
        <w:t>CG-IDF v2 is a well-structured, evidence-linked incentive audit system. Its core strengths are the deterministic rules engine (which prevents LLM hallucinations from silently inflating scores), the conditional Provider B verification step (cost-efficient and targeted), and the fully structured JSON output (machine-readable and suitable for downstream integrations).</w:t>
      </w:r>
    </w:p>
    <w:p>
      <w:pPr>
        <w:spacing w:after="80" w:before="0"/>
      </w:pPr>
      <w:r>
        <w:rPr>
          <w:rFonts w:ascii="Calibri" w:hAnsi="Calibri"/>
          <w:i w:val="0"/>
          <w:sz w:val="22"/>
        </w:rPr>
        <w:t>The areas most worth improving are in output communication — making scores interpretable, flags human-readable, and evidence visually traceable — rather than in the underlying pipeline logic, which is architecturally sound.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Strength</w:t>
            </w:r>
          </w:p>
        </w:tc>
        <w:tc>
          <w:tcPr>
            <w:tcW w:type="dxa" w:w="4533"/>
            <w:shd w:val="clear" w:color="auto" w:fill="1A3A5C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Improvement Opportunity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Two-LLM review with deterministic gating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Score threshold bands + direction for Dark Patterns</w:t>
            </w:r>
          </w:p>
        </w:tc>
      </w:tr>
      <w:tr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Evidence-linked answers (supported / inferred / unknown)</w:t>
            </w:r>
          </w:p>
        </w:tc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Inline screenshot thumbnails per answer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Conditional routing (cost-efficient)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Limited-evidence warning banner</w:t>
            </w:r>
          </w:p>
        </w:tc>
      </w:tr>
      <w:tr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Structured FinalReport JSON</w:t>
            </w:r>
          </w:p>
        </w:tc>
        <w:tc>
          <w:tcPr>
            <w:tcW w:type="dxa" w:w="4533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PDF and CSV export options</w:t>
            </w:r>
          </w:p>
        </w:tc>
      </w:tr>
      <w:tr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Reproducible evidence IDs</w:t>
            </w:r>
          </w:p>
        </w:tc>
        <w:tc>
          <w:tcPr>
            <w:tcW w:type="dxa" w:w="4533"/>
            <w:shd w:val="clear" w:color="auto" w:fill="EEF4FB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Audit history + radar overlay comparison</w:t>
            </w:r>
          </w:p>
        </w:tc>
      </w:tr>
    </w:tbl>
    <w:p/>
    <w:p>
      <w:pPr>
        <w:spacing w:before="120" w:after="200"/>
        <w:ind w:left="288"/>
        <w:shd w:val="clear" w:color="auto" w:fill="EEF4FB"/>
      </w:pPr>
      <w:r>
        <w:rPr>
          <w:rFonts w:ascii="Calibri" w:hAnsi="Calibri"/>
          <w:i/>
          <w:color w:val="1A3A5C"/>
          <w:sz w:val="21"/>
        </w:rPr>
        <w:t>Pipeline Run ID referenced in example output: 0168fc35-52f1-4257-bb93-1f11b6769772</w:t>
        <w:br/>
        <w:t>Report generated from CG-IDF v2 source code and UI screenshots — March 2026.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