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31384" w14:textId="0D6642AD" w:rsidR="00812490" w:rsidRDefault="00205A21" w:rsidP="00205A21">
      <w:pPr>
        <w:jc w:val="center"/>
        <w:rPr>
          <w:rFonts w:asciiTheme="majorHAnsi" w:hAnsiTheme="majorHAnsi"/>
          <w:sz w:val="32"/>
          <w:szCs w:val="32"/>
        </w:rPr>
      </w:pPr>
      <w:r>
        <w:rPr>
          <w:rFonts w:asciiTheme="majorHAnsi" w:hAnsiTheme="majorHAnsi"/>
          <w:sz w:val="32"/>
          <w:szCs w:val="32"/>
        </w:rPr>
        <w:t>IP, Ethics, &amp; Privacy Policies</w:t>
      </w:r>
    </w:p>
    <w:p w14:paraId="782419F5" w14:textId="77777777" w:rsidR="00205A21" w:rsidRDefault="00205A21" w:rsidP="00205A21">
      <w:pPr>
        <w:rPr>
          <w:sz w:val="24"/>
          <w:szCs w:val="24"/>
        </w:rPr>
      </w:pPr>
    </w:p>
    <w:p w14:paraId="160C7707" w14:textId="156A0534" w:rsidR="00205A21" w:rsidRDefault="00620FF2" w:rsidP="00205A21">
      <w:pPr>
        <w:rPr>
          <w:sz w:val="24"/>
          <w:szCs w:val="24"/>
        </w:rPr>
      </w:pPr>
      <w:r>
        <w:rPr>
          <w:sz w:val="24"/>
          <w:szCs w:val="24"/>
        </w:rPr>
        <w:t>IP Legislations:</w:t>
      </w:r>
    </w:p>
    <w:p w14:paraId="62D5D107" w14:textId="24065A07" w:rsidR="006305FE" w:rsidRPr="006305FE" w:rsidRDefault="006305FE" w:rsidP="006305FE">
      <w:pPr>
        <w:pStyle w:val="ListParagraph"/>
        <w:numPr>
          <w:ilvl w:val="0"/>
          <w:numId w:val="1"/>
        </w:numPr>
        <w:rPr>
          <w:sz w:val="24"/>
          <w:szCs w:val="24"/>
        </w:rPr>
      </w:pPr>
      <w:bookmarkStart w:id="0" w:name="_Ref181181905"/>
      <w:r w:rsidRPr="006305FE">
        <w:rPr>
          <w:sz w:val="24"/>
          <w:szCs w:val="24"/>
        </w:rPr>
        <w:t>Copyright:</w:t>
      </w:r>
      <w:bookmarkEnd w:id="0"/>
    </w:p>
    <w:p w14:paraId="3FC0F122" w14:textId="77777777" w:rsidR="006305FE" w:rsidRDefault="006305FE" w:rsidP="006305FE">
      <w:pPr>
        <w:ind w:left="720"/>
        <w:rPr>
          <w:sz w:val="24"/>
          <w:szCs w:val="24"/>
        </w:rPr>
      </w:pPr>
      <w:r>
        <w:rPr>
          <w:sz w:val="24"/>
          <w:szCs w:val="24"/>
        </w:rPr>
        <w:t>Australian Copyright Act 1968</w:t>
      </w:r>
    </w:p>
    <w:p w14:paraId="67EF6BEF" w14:textId="77777777" w:rsidR="006305FE" w:rsidRDefault="006305FE" w:rsidP="006305FE">
      <w:pPr>
        <w:ind w:left="720"/>
        <w:rPr>
          <w:sz w:val="24"/>
          <w:szCs w:val="24"/>
        </w:rPr>
      </w:pPr>
      <w:r>
        <w:rPr>
          <w:sz w:val="24"/>
          <w:szCs w:val="24"/>
        </w:rPr>
        <w:t>Copyright is a type of property that is founded on a person’s creative skill and labour. Copyright protects the form or way an idea or information is expressed, not the idea or information itself.</w:t>
      </w:r>
    </w:p>
    <w:p w14:paraId="44B9EEB7" w14:textId="1E3F93AB" w:rsidR="00A8092C" w:rsidRDefault="00000000" w:rsidP="006305FE">
      <w:pPr>
        <w:ind w:left="720"/>
        <w:rPr>
          <w:sz w:val="24"/>
          <w:szCs w:val="24"/>
        </w:rPr>
      </w:pPr>
      <w:hyperlink r:id="rId5" w:history="1">
        <w:r w:rsidR="006305FE" w:rsidRPr="009D2827">
          <w:rPr>
            <w:rStyle w:val="Hyperlink"/>
            <w:rFonts w:ascii="Segoe UI" w:hAnsi="Segoe UI" w:cs="Segoe UI"/>
            <w:sz w:val="18"/>
            <w:szCs w:val="18"/>
            <w:shd w:val="clear" w:color="auto" w:fill="FFFFFF"/>
          </w:rPr>
          <w:t>https://www.legislation.gov.au/Details/C2019C00042</w:t>
        </w:r>
      </w:hyperlink>
    </w:p>
    <w:p w14:paraId="3DB61462" w14:textId="60FB6465" w:rsidR="00B05F43" w:rsidRPr="006305FE" w:rsidRDefault="00B05F43" w:rsidP="006305FE">
      <w:pPr>
        <w:pStyle w:val="ListParagraph"/>
        <w:numPr>
          <w:ilvl w:val="0"/>
          <w:numId w:val="1"/>
        </w:numPr>
        <w:rPr>
          <w:sz w:val="24"/>
          <w:szCs w:val="24"/>
        </w:rPr>
      </w:pPr>
      <w:proofErr w:type="gramStart"/>
      <w:r w:rsidRPr="006305FE">
        <w:rPr>
          <w:sz w:val="24"/>
          <w:szCs w:val="24"/>
        </w:rPr>
        <w:t>Trade Marks</w:t>
      </w:r>
      <w:proofErr w:type="gramEnd"/>
      <w:r w:rsidRPr="006305FE">
        <w:rPr>
          <w:sz w:val="24"/>
          <w:szCs w:val="24"/>
        </w:rPr>
        <w:t>:</w:t>
      </w:r>
    </w:p>
    <w:p w14:paraId="5349C3FE" w14:textId="6B57896E" w:rsidR="00A8092C" w:rsidRDefault="00A8092C" w:rsidP="00B05F43">
      <w:pPr>
        <w:ind w:left="720"/>
        <w:rPr>
          <w:sz w:val="24"/>
          <w:szCs w:val="24"/>
        </w:rPr>
      </w:pPr>
      <w:r>
        <w:rPr>
          <w:sz w:val="24"/>
          <w:szCs w:val="24"/>
        </w:rPr>
        <w:t xml:space="preserve">Australian </w:t>
      </w:r>
      <w:proofErr w:type="gramStart"/>
      <w:r>
        <w:rPr>
          <w:sz w:val="24"/>
          <w:szCs w:val="24"/>
        </w:rPr>
        <w:t>Trade Marks</w:t>
      </w:r>
      <w:proofErr w:type="gramEnd"/>
      <w:r>
        <w:rPr>
          <w:sz w:val="24"/>
          <w:szCs w:val="24"/>
        </w:rPr>
        <w:t xml:space="preserve"> Act 1995</w:t>
      </w:r>
    </w:p>
    <w:p w14:paraId="11FFCFCB" w14:textId="764A6164" w:rsidR="00B05F43" w:rsidRDefault="00B05F43" w:rsidP="00B05F43">
      <w:pPr>
        <w:ind w:left="720"/>
        <w:rPr>
          <w:sz w:val="24"/>
          <w:szCs w:val="24"/>
        </w:rPr>
      </w:pPr>
      <w:r>
        <w:rPr>
          <w:sz w:val="24"/>
          <w:szCs w:val="24"/>
        </w:rPr>
        <w:t xml:space="preserve">A </w:t>
      </w:r>
      <w:proofErr w:type="gramStart"/>
      <w:r>
        <w:rPr>
          <w:sz w:val="24"/>
          <w:szCs w:val="24"/>
        </w:rPr>
        <w:t>trade mark</w:t>
      </w:r>
      <w:proofErr w:type="gramEnd"/>
      <w:r>
        <w:rPr>
          <w:sz w:val="24"/>
          <w:szCs w:val="24"/>
        </w:rPr>
        <w:t xml:space="preserve"> is a sign used or intended to be used to distinguish goods or services dealt with or provided in the course of trade by a person from goods or services so dealt with or provided by any other person.</w:t>
      </w:r>
    </w:p>
    <w:p w14:paraId="111499CA" w14:textId="77777777" w:rsidR="006305FE" w:rsidRDefault="00000000" w:rsidP="006305FE">
      <w:pPr>
        <w:ind w:left="720"/>
        <w:rPr>
          <w:rFonts w:ascii="Segoe UI" w:hAnsi="Segoe UI" w:cs="Segoe UI"/>
          <w:color w:val="000000"/>
          <w:sz w:val="18"/>
          <w:szCs w:val="18"/>
          <w:shd w:val="clear" w:color="auto" w:fill="FFFFFF"/>
        </w:rPr>
      </w:pPr>
      <w:hyperlink r:id="rId6" w:history="1">
        <w:r w:rsidR="00A8092C" w:rsidRPr="00A8092C">
          <w:rPr>
            <w:rStyle w:val="Hyperlink"/>
            <w:rFonts w:ascii="Segoe UI" w:hAnsi="Segoe UI" w:cs="Segoe UI"/>
            <w:sz w:val="18"/>
            <w:szCs w:val="18"/>
            <w:shd w:val="clear" w:color="auto" w:fill="FFFFFF"/>
          </w:rPr>
          <w:t>https://www.legislation.gov.au/Details/C2017C00046</w:t>
        </w:r>
      </w:hyperlink>
    </w:p>
    <w:p w14:paraId="5CE24C67" w14:textId="79794C44" w:rsidR="006305FE" w:rsidRPr="006305FE" w:rsidRDefault="006305FE" w:rsidP="006305FE">
      <w:pPr>
        <w:pStyle w:val="ListParagraph"/>
        <w:numPr>
          <w:ilvl w:val="0"/>
          <w:numId w:val="1"/>
        </w:numPr>
        <w:rPr>
          <w:sz w:val="24"/>
          <w:szCs w:val="24"/>
        </w:rPr>
      </w:pPr>
      <w:r w:rsidRPr="006305FE">
        <w:rPr>
          <w:sz w:val="24"/>
          <w:szCs w:val="24"/>
        </w:rPr>
        <w:t>Patents:</w:t>
      </w:r>
    </w:p>
    <w:p w14:paraId="7099E182" w14:textId="77777777" w:rsidR="006305FE" w:rsidRDefault="006305FE" w:rsidP="006305FE">
      <w:pPr>
        <w:ind w:left="720"/>
        <w:rPr>
          <w:sz w:val="24"/>
          <w:szCs w:val="24"/>
        </w:rPr>
      </w:pPr>
      <w:r>
        <w:rPr>
          <w:sz w:val="24"/>
          <w:szCs w:val="24"/>
        </w:rPr>
        <w:t>Australian Patents Act 1990</w:t>
      </w:r>
    </w:p>
    <w:p w14:paraId="5A6D2D1D" w14:textId="77777777" w:rsidR="006305FE" w:rsidRDefault="006305FE" w:rsidP="006305FE">
      <w:pPr>
        <w:ind w:left="720"/>
        <w:rPr>
          <w:sz w:val="24"/>
          <w:szCs w:val="24"/>
        </w:rPr>
      </w:pPr>
      <w:r>
        <w:rPr>
          <w:sz w:val="24"/>
          <w:szCs w:val="24"/>
        </w:rPr>
        <w:t>A patent is a grant by the Commonwealth government that gives the patent’s owner exclusive right to the exploitation of an invention.</w:t>
      </w:r>
    </w:p>
    <w:p w14:paraId="7372A10A" w14:textId="2968992A" w:rsidR="00A8092C" w:rsidRDefault="00000000" w:rsidP="006305FE">
      <w:pPr>
        <w:ind w:left="720"/>
        <w:rPr>
          <w:rFonts w:ascii="Segoe UI" w:hAnsi="Segoe UI" w:cs="Segoe UI"/>
          <w:color w:val="000000"/>
          <w:sz w:val="18"/>
          <w:szCs w:val="18"/>
          <w:shd w:val="clear" w:color="auto" w:fill="FFFFFF"/>
        </w:rPr>
      </w:pPr>
      <w:hyperlink r:id="rId7" w:history="1">
        <w:r w:rsidR="006305FE" w:rsidRPr="00A8092C">
          <w:rPr>
            <w:rStyle w:val="Hyperlink"/>
            <w:rFonts w:ascii="Segoe UI" w:hAnsi="Segoe UI" w:cs="Segoe UI"/>
            <w:sz w:val="18"/>
            <w:szCs w:val="18"/>
            <w:shd w:val="clear" w:color="auto" w:fill="FFFFFF"/>
          </w:rPr>
          <w:t>https://www.legislation.gov.au/Details/C2017C00045</w:t>
        </w:r>
      </w:hyperlink>
    </w:p>
    <w:p w14:paraId="125BCEA3" w14:textId="77777777" w:rsidR="006305FE" w:rsidRDefault="006305FE" w:rsidP="006305FE">
      <w:pPr>
        <w:ind w:left="720"/>
        <w:rPr>
          <w:rFonts w:ascii="Segoe UI" w:hAnsi="Segoe UI" w:cs="Segoe UI"/>
          <w:color w:val="000000"/>
          <w:sz w:val="18"/>
          <w:szCs w:val="18"/>
          <w:shd w:val="clear" w:color="auto" w:fill="FFFFFF"/>
        </w:rPr>
      </w:pPr>
    </w:p>
    <w:p w14:paraId="60B95180" w14:textId="31D84DAE" w:rsidR="006305FE" w:rsidRPr="006305FE" w:rsidRDefault="00D35F1B" w:rsidP="006305FE">
      <w:pPr>
        <w:ind w:left="720"/>
        <w:rPr>
          <w:sz w:val="24"/>
          <w:szCs w:val="24"/>
        </w:rPr>
      </w:pPr>
      <w:r>
        <w:rPr>
          <w:sz w:val="24"/>
          <w:szCs w:val="24"/>
        </w:rPr>
        <w:t xml:space="preserve"> </w:t>
      </w:r>
      <w:r w:rsidR="00D12A3C">
        <w:rPr>
          <w:sz w:val="24"/>
          <w:szCs w:val="24"/>
        </w:rPr>
        <w:t xml:space="preserve">The Australian Copyright Act 1968 affects the games industry as games often include ideas in the form of original stories and original characters, and this act protects the way such things are expressed. The Australian Trade Marks Act 1995 affects the games industry as </w:t>
      </w:r>
      <w:r w:rsidR="004956A3">
        <w:rPr>
          <w:sz w:val="24"/>
          <w:szCs w:val="24"/>
        </w:rPr>
        <w:t>game companies use logos and names that fall under the protection of this act. The Australian Patents Act 1990</w:t>
      </w:r>
      <w:r w:rsidR="00950CCD">
        <w:rPr>
          <w:sz w:val="24"/>
          <w:szCs w:val="24"/>
        </w:rPr>
        <w:t xml:space="preserve"> affects the games industry as games make use of in-game mechanics that fall under the protection of this act that game developers may want exclusive rights to.</w:t>
      </w:r>
      <w:r w:rsidR="007C7237">
        <w:rPr>
          <w:sz w:val="24"/>
          <w:szCs w:val="24"/>
        </w:rPr>
        <w:t xml:space="preserve"> In conclusion, the games industry makes use of all 3 of these acts because of original stories and characters, company logos and names, and unique mechanics, which all fall under the protection of their respective acts.</w:t>
      </w:r>
    </w:p>
    <w:p w14:paraId="4F266289" w14:textId="77777777" w:rsidR="00620FF2" w:rsidRDefault="00620FF2" w:rsidP="00205A21">
      <w:pPr>
        <w:rPr>
          <w:sz w:val="24"/>
          <w:szCs w:val="24"/>
        </w:rPr>
      </w:pPr>
    </w:p>
    <w:p w14:paraId="074C3D23" w14:textId="12F7B019" w:rsidR="00620FF2" w:rsidRDefault="00620FF2" w:rsidP="00205A21">
      <w:pPr>
        <w:rPr>
          <w:sz w:val="24"/>
          <w:szCs w:val="24"/>
        </w:rPr>
      </w:pPr>
      <w:r>
        <w:rPr>
          <w:sz w:val="24"/>
          <w:szCs w:val="24"/>
        </w:rPr>
        <w:t>Privacy Policy Changes:</w:t>
      </w:r>
    </w:p>
    <w:p w14:paraId="721D7D5E" w14:textId="41486180" w:rsidR="00620FF2" w:rsidRDefault="007C7237" w:rsidP="007C7237">
      <w:pPr>
        <w:pStyle w:val="ListParagraph"/>
        <w:numPr>
          <w:ilvl w:val="0"/>
          <w:numId w:val="2"/>
        </w:numPr>
        <w:rPr>
          <w:sz w:val="24"/>
          <w:szCs w:val="24"/>
        </w:rPr>
      </w:pPr>
      <w:r>
        <w:rPr>
          <w:sz w:val="24"/>
          <w:szCs w:val="24"/>
        </w:rPr>
        <w:t>COPPA, GDPR.</w:t>
      </w:r>
    </w:p>
    <w:p w14:paraId="18F0C21E" w14:textId="31E071F9" w:rsidR="009C3158" w:rsidRDefault="009C3158" w:rsidP="009F59FF">
      <w:pPr>
        <w:pStyle w:val="ListParagraph"/>
        <w:numPr>
          <w:ilvl w:val="0"/>
          <w:numId w:val="2"/>
        </w:numPr>
        <w:rPr>
          <w:sz w:val="24"/>
          <w:szCs w:val="24"/>
        </w:rPr>
      </w:pPr>
      <w:r>
        <w:rPr>
          <w:sz w:val="24"/>
          <w:szCs w:val="24"/>
        </w:rPr>
        <w:t>Change age of consent to 18 to cover international releases.</w:t>
      </w:r>
    </w:p>
    <w:p w14:paraId="18C340D6" w14:textId="77777777" w:rsidR="009F59FF" w:rsidRPr="009F59FF" w:rsidRDefault="009F59FF" w:rsidP="009F59FF">
      <w:pPr>
        <w:ind w:left="720"/>
        <w:rPr>
          <w:sz w:val="24"/>
          <w:szCs w:val="24"/>
        </w:rPr>
      </w:pPr>
    </w:p>
    <w:p w14:paraId="1B3DCA84" w14:textId="77777777" w:rsidR="00620FF2" w:rsidRDefault="00620FF2" w:rsidP="00205A21">
      <w:pPr>
        <w:rPr>
          <w:sz w:val="24"/>
          <w:szCs w:val="24"/>
        </w:rPr>
      </w:pPr>
    </w:p>
    <w:p w14:paraId="018682FB" w14:textId="6753C180" w:rsidR="00620FF2" w:rsidRDefault="00620FF2" w:rsidP="00205A21">
      <w:pPr>
        <w:rPr>
          <w:sz w:val="24"/>
          <w:szCs w:val="24"/>
        </w:rPr>
      </w:pPr>
      <w:r>
        <w:rPr>
          <w:sz w:val="24"/>
          <w:szCs w:val="24"/>
        </w:rPr>
        <w:t>Code of Ethics Changes:</w:t>
      </w:r>
    </w:p>
    <w:p w14:paraId="507A0160" w14:textId="77777777" w:rsidR="00620FF2" w:rsidRDefault="00620FF2" w:rsidP="00205A21">
      <w:pPr>
        <w:rPr>
          <w:sz w:val="24"/>
          <w:szCs w:val="24"/>
        </w:rPr>
      </w:pPr>
    </w:p>
    <w:p w14:paraId="025FBD6E" w14:textId="77777777" w:rsidR="00620FF2" w:rsidRDefault="00620FF2" w:rsidP="00205A21">
      <w:pPr>
        <w:rPr>
          <w:sz w:val="24"/>
          <w:szCs w:val="24"/>
        </w:rPr>
      </w:pPr>
    </w:p>
    <w:p w14:paraId="581595FB" w14:textId="5679C12D" w:rsidR="00620FF2" w:rsidRDefault="00620FF2" w:rsidP="00205A21">
      <w:pPr>
        <w:rPr>
          <w:sz w:val="24"/>
          <w:szCs w:val="24"/>
        </w:rPr>
      </w:pPr>
      <w:r>
        <w:rPr>
          <w:sz w:val="24"/>
          <w:szCs w:val="24"/>
        </w:rPr>
        <w:t>Dispute Resolution:</w:t>
      </w:r>
    </w:p>
    <w:p w14:paraId="612007DD" w14:textId="77777777" w:rsidR="00954686" w:rsidRDefault="00954686" w:rsidP="00205A21">
      <w:pPr>
        <w:rPr>
          <w:sz w:val="24"/>
          <w:szCs w:val="24"/>
        </w:rPr>
      </w:pPr>
    </w:p>
    <w:p w14:paraId="6D9797C9" w14:textId="77777777" w:rsidR="00954686" w:rsidRDefault="00954686" w:rsidP="00205A21">
      <w:pPr>
        <w:rPr>
          <w:sz w:val="24"/>
          <w:szCs w:val="24"/>
        </w:rPr>
      </w:pPr>
    </w:p>
    <w:p w14:paraId="6FAB7B07" w14:textId="77777777" w:rsidR="00620FF2" w:rsidRPr="00205A21" w:rsidRDefault="00620FF2" w:rsidP="00205A21">
      <w:pPr>
        <w:rPr>
          <w:sz w:val="24"/>
          <w:szCs w:val="24"/>
        </w:rPr>
      </w:pPr>
    </w:p>
    <w:sectPr w:rsidR="00620FF2" w:rsidRPr="00205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631A8"/>
    <w:multiLevelType w:val="hybridMultilevel"/>
    <w:tmpl w:val="AC9A2436"/>
    <w:lvl w:ilvl="0" w:tplc="384C3EC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59F97021"/>
    <w:multiLevelType w:val="hybridMultilevel"/>
    <w:tmpl w:val="7C9AAD0A"/>
    <w:lvl w:ilvl="0" w:tplc="A6BC03A0">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639334629">
    <w:abstractNumId w:val="0"/>
  </w:num>
  <w:num w:numId="2" w16cid:durableId="866260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EE"/>
    <w:rsid w:val="00005E40"/>
    <w:rsid w:val="00135A97"/>
    <w:rsid w:val="00196686"/>
    <w:rsid w:val="00205A21"/>
    <w:rsid w:val="002F2D2D"/>
    <w:rsid w:val="004956A3"/>
    <w:rsid w:val="004E3CEC"/>
    <w:rsid w:val="00613B91"/>
    <w:rsid w:val="00620FF2"/>
    <w:rsid w:val="006305FE"/>
    <w:rsid w:val="006D070E"/>
    <w:rsid w:val="007C7237"/>
    <w:rsid w:val="0080792C"/>
    <w:rsid w:val="00812490"/>
    <w:rsid w:val="00950CCD"/>
    <w:rsid w:val="00954686"/>
    <w:rsid w:val="009C3158"/>
    <w:rsid w:val="009D2827"/>
    <w:rsid w:val="009F59FF"/>
    <w:rsid w:val="00A8092C"/>
    <w:rsid w:val="00B05F43"/>
    <w:rsid w:val="00D025EE"/>
    <w:rsid w:val="00D12A3C"/>
    <w:rsid w:val="00D35F1B"/>
    <w:rsid w:val="00EE6B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36F3"/>
  <w15:chartTrackingRefBased/>
  <w15:docId w15:val="{FFE7D7F4-2B92-45E6-8894-66518BE7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5EE"/>
    <w:rPr>
      <w:rFonts w:eastAsiaTheme="majorEastAsia" w:cstheme="majorBidi"/>
      <w:color w:val="272727" w:themeColor="text1" w:themeTint="D8"/>
    </w:rPr>
  </w:style>
  <w:style w:type="paragraph" w:styleId="Title">
    <w:name w:val="Title"/>
    <w:basedOn w:val="Normal"/>
    <w:next w:val="Normal"/>
    <w:link w:val="TitleChar"/>
    <w:uiPriority w:val="10"/>
    <w:qFormat/>
    <w:rsid w:val="00D02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5EE"/>
    <w:pPr>
      <w:spacing w:before="160"/>
      <w:jc w:val="center"/>
    </w:pPr>
    <w:rPr>
      <w:i/>
      <w:iCs/>
      <w:color w:val="404040" w:themeColor="text1" w:themeTint="BF"/>
    </w:rPr>
  </w:style>
  <w:style w:type="character" w:customStyle="1" w:styleId="QuoteChar">
    <w:name w:val="Quote Char"/>
    <w:basedOn w:val="DefaultParagraphFont"/>
    <w:link w:val="Quote"/>
    <w:uiPriority w:val="29"/>
    <w:rsid w:val="00D025EE"/>
    <w:rPr>
      <w:i/>
      <w:iCs/>
      <w:color w:val="404040" w:themeColor="text1" w:themeTint="BF"/>
    </w:rPr>
  </w:style>
  <w:style w:type="paragraph" w:styleId="ListParagraph">
    <w:name w:val="List Paragraph"/>
    <w:basedOn w:val="Normal"/>
    <w:uiPriority w:val="34"/>
    <w:qFormat/>
    <w:rsid w:val="00D025EE"/>
    <w:pPr>
      <w:ind w:left="720"/>
      <w:contextualSpacing/>
    </w:pPr>
  </w:style>
  <w:style w:type="character" w:styleId="IntenseEmphasis">
    <w:name w:val="Intense Emphasis"/>
    <w:basedOn w:val="DefaultParagraphFont"/>
    <w:uiPriority w:val="21"/>
    <w:qFormat/>
    <w:rsid w:val="00D025EE"/>
    <w:rPr>
      <w:i/>
      <w:iCs/>
      <w:color w:val="0F4761" w:themeColor="accent1" w:themeShade="BF"/>
    </w:rPr>
  </w:style>
  <w:style w:type="paragraph" w:styleId="IntenseQuote">
    <w:name w:val="Intense Quote"/>
    <w:basedOn w:val="Normal"/>
    <w:next w:val="Normal"/>
    <w:link w:val="IntenseQuoteChar"/>
    <w:uiPriority w:val="30"/>
    <w:qFormat/>
    <w:rsid w:val="00D02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5EE"/>
    <w:rPr>
      <w:i/>
      <w:iCs/>
      <w:color w:val="0F4761" w:themeColor="accent1" w:themeShade="BF"/>
    </w:rPr>
  </w:style>
  <w:style w:type="character" w:styleId="IntenseReference">
    <w:name w:val="Intense Reference"/>
    <w:basedOn w:val="DefaultParagraphFont"/>
    <w:uiPriority w:val="32"/>
    <w:qFormat/>
    <w:rsid w:val="00D025EE"/>
    <w:rPr>
      <w:b/>
      <w:bCs/>
      <w:smallCaps/>
      <w:color w:val="0F4761" w:themeColor="accent1" w:themeShade="BF"/>
      <w:spacing w:val="5"/>
    </w:rPr>
  </w:style>
  <w:style w:type="character" w:styleId="Hyperlink">
    <w:name w:val="Hyperlink"/>
    <w:basedOn w:val="DefaultParagraphFont"/>
    <w:uiPriority w:val="99"/>
    <w:unhideWhenUsed/>
    <w:rsid w:val="00A8092C"/>
    <w:rPr>
      <w:color w:val="467886" w:themeColor="hyperlink"/>
      <w:u w:val="single"/>
    </w:rPr>
  </w:style>
  <w:style w:type="character" w:styleId="UnresolvedMention">
    <w:name w:val="Unresolved Mention"/>
    <w:basedOn w:val="DefaultParagraphFont"/>
    <w:uiPriority w:val="99"/>
    <w:semiHidden/>
    <w:unhideWhenUsed/>
    <w:rsid w:val="00A8092C"/>
    <w:rPr>
      <w:color w:val="605E5C"/>
      <w:shd w:val="clear" w:color="auto" w:fill="E1DFDD"/>
    </w:rPr>
  </w:style>
  <w:style w:type="character" w:styleId="FollowedHyperlink">
    <w:name w:val="FollowedHyperlink"/>
    <w:basedOn w:val="DefaultParagraphFont"/>
    <w:uiPriority w:val="99"/>
    <w:semiHidden/>
    <w:unhideWhenUsed/>
    <w:rsid w:val="00A809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gislation.gov.au/Details/C2017C000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islation.gov.au/Details/C2017C00046" TargetMode="External"/><Relationship Id="rId5" Type="http://schemas.openxmlformats.org/officeDocument/2006/relationships/hyperlink" Target="https://www.legislation.gov.au/Details/C2019C000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Hurst</dc:creator>
  <cp:keywords/>
  <dc:description/>
  <cp:lastModifiedBy>Elias Hurst</cp:lastModifiedBy>
  <cp:revision>3</cp:revision>
  <dcterms:created xsi:type="dcterms:W3CDTF">2024-10-25T00:28:00Z</dcterms:created>
  <dcterms:modified xsi:type="dcterms:W3CDTF">2024-10-30T04:54:00Z</dcterms:modified>
</cp:coreProperties>
</file>