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31384" w14:textId="0D6642AD" w:rsidR="00812490" w:rsidRDefault="00205A21" w:rsidP="00205A21">
      <w:pPr>
        <w:jc w:val="center"/>
        <w:rPr>
          <w:rFonts w:asciiTheme="majorHAnsi" w:hAnsiTheme="majorHAnsi"/>
          <w:sz w:val="32"/>
          <w:szCs w:val="32"/>
        </w:rPr>
      </w:pPr>
      <w:r>
        <w:rPr>
          <w:rFonts w:asciiTheme="majorHAnsi" w:hAnsiTheme="majorHAnsi"/>
          <w:sz w:val="32"/>
          <w:szCs w:val="32"/>
        </w:rPr>
        <w:t>IP, Ethics, &amp; Privacy Policies</w:t>
      </w:r>
    </w:p>
    <w:p w14:paraId="782419F5" w14:textId="77777777" w:rsidR="00205A21" w:rsidRDefault="00205A21" w:rsidP="00205A21">
      <w:pPr>
        <w:rPr>
          <w:sz w:val="24"/>
          <w:szCs w:val="24"/>
        </w:rPr>
      </w:pPr>
    </w:p>
    <w:p w14:paraId="160C7707" w14:textId="156A0534" w:rsidR="00205A21" w:rsidRDefault="00620FF2" w:rsidP="00205A21">
      <w:pPr>
        <w:rPr>
          <w:sz w:val="24"/>
          <w:szCs w:val="24"/>
        </w:rPr>
      </w:pPr>
      <w:r>
        <w:rPr>
          <w:sz w:val="24"/>
          <w:szCs w:val="24"/>
        </w:rPr>
        <w:t>IP Legislations:</w:t>
      </w:r>
    </w:p>
    <w:p w14:paraId="62D5D107" w14:textId="24065A07" w:rsidR="006305FE" w:rsidRPr="006305FE" w:rsidRDefault="006305FE" w:rsidP="006305FE">
      <w:pPr>
        <w:pStyle w:val="ListParagraph"/>
        <w:numPr>
          <w:ilvl w:val="0"/>
          <w:numId w:val="1"/>
        </w:numPr>
        <w:rPr>
          <w:sz w:val="24"/>
          <w:szCs w:val="24"/>
        </w:rPr>
      </w:pPr>
      <w:bookmarkStart w:id="0" w:name="_Ref181181905"/>
      <w:r w:rsidRPr="006305FE">
        <w:rPr>
          <w:sz w:val="24"/>
          <w:szCs w:val="24"/>
        </w:rPr>
        <w:t>Copyright:</w:t>
      </w:r>
      <w:bookmarkEnd w:id="0"/>
    </w:p>
    <w:p w14:paraId="3FC0F122" w14:textId="77777777" w:rsidR="006305FE" w:rsidRDefault="006305FE" w:rsidP="006305FE">
      <w:pPr>
        <w:ind w:left="720"/>
        <w:rPr>
          <w:sz w:val="24"/>
          <w:szCs w:val="24"/>
        </w:rPr>
      </w:pPr>
      <w:r>
        <w:rPr>
          <w:sz w:val="24"/>
          <w:szCs w:val="24"/>
        </w:rPr>
        <w:t>Australian Copyright Act 1968</w:t>
      </w:r>
    </w:p>
    <w:p w14:paraId="67EF6BEF" w14:textId="77777777" w:rsidR="006305FE" w:rsidRDefault="006305FE" w:rsidP="006305FE">
      <w:pPr>
        <w:ind w:left="720"/>
        <w:rPr>
          <w:sz w:val="24"/>
          <w:szCs w:val="24"/>
        </w:rPr>
      </w:pPr>
      <w:r>
        <w:rPr>
          <w:sz w:val="24"/>
          <w:szCs w:val="24"/>
        </w:rPr>
        <w:t>Copyright is a type of property that is founded on a person’s creative skill and labour. Copyright protects the form or way an idea or information is expressed, not the idea or information itself.</w:t>
      </w:r>
    </w:p>
    <w:p w14:paraId="44B9EEB7" w14:textId="1E3F93AB" w:rsidR="00A8092C" w:rsidRDefault="00000000" w:rsidP="006305FE">
      <w:pPr>
        <w:ind w:left="720"/>
        <w:rPr>
          <w:sz w:val="24"/>
          <w:szCs w:val="24"/>
        </w:rPr>
      </w:pPr>
      <w:hyperlink r:id="rId5" w:history="1">
        <w:r w:rsidR="006305FE" w:rsidRPr="009D2827">
          <w:rPr>
            <w:rStyle w:val="Hyperlink"/>
            <w:rFonts w:ascii="Segoe UI" w:hAnsi="Segoe UI" w:cs="Segoe UI"/>
            <w:sz w:val="18"/>
            <w:szCs w:val="18"/>
            <w:shd w:val="clear" w:color="auto" w:fill="FFFFFF"/>
          </w:rPr>
          <w:t>https://www.legislation.gov.au/Details/C2019C00042</w:t>
        </w:r>
      </w:hyperlink>
    </w:p>
    <w:p w14:paraId="3DB61462" w14:textId="60FB6465" w:rsidR="00B05F43" w:rsidRPr="006305FE" w:rsidRDefault="00B05F43" w:rsidP="006305FE">
      <w:pPr>
        <w:pStyle w:val="ListParagraph"/>
        <w:numPr>
          <w:ilvl w:val="0"/>
          <w:numId w:val="1"/>
        </w:numPr>
        <w:rPr>
          <w:sz w:val="24"/>
          <w:szCs w:val="24"/>
        </w:rPr>
      </w:pPr>
      <w:r w:rsidRPr="006305FE">
        <w:rPr>
          <w:sz w:val="24"/>
          <w:szCs w:val="24"/>
        </w:rPr>
        <w:t>Trade Marks:</w:t>
      </w:r>
    </w:p>
    <w:p w14:paraId="5349C3FE" w14:textId="6B57896E" w:rsidR="00A8092C" w:rsidRDefault="00A8092C" w:rsidP="00B05F43">
      <w:pPr>
        <w:ind w:left="720"/>
        <w:rPr>
          <w:sz w:val="24"/>
          <w:szCs w:val="24"/>
        </w:rPr>
      </w:pPr>
      <w:r>
        <w:rPr>
          <w:sz w:val="24"/>
          <w:szCs w:val="24"/>
        </w:rPr>
        <w:t>Australian Trade Marks Act 1995</w:t>
      </w:r>
    </w:p>
    <w:p w14:paraId="11FFCFCB" w14:textId="764A6164" w:rsidR="00B05F43" w:rsidRDefault="00B05F43" w:rsidP="00B05F43">
      <w:pPr>
        <w:ind w:left="720"/>
        <w:rPr>
          <w:sz w:val="24"/>
          <w:szCs w:val="24"/>
        </w:rPr>
      </w:pPr>
      <w:r>
        <w:rPr>
          <w:sz w:val="24"/>
          <w:szCs w:val="24"/>
        </w:rPr>
        <w:t>A trade mark is a sign used or intended to be used to distinguish goods or services dealt with or provided in the course of trade by a person from goods or services so dealt with or provided by any other person.</w:t>
      </w:r>
    </w:p>
    <w:p w14:paraId="111499CA" w14:textId="77777777" w:rsidR="006305FE" w:rsidRDefault="00000000" w:rsidP="006305FE">
      <w:pPr>
        <w:ind w:left="720"/>
        <w:rPr>
          <w:rFonts w:ascii="Segoe UI" w:hAnsi="Segoe UI" w:cs="Segoe UI"/>
          <w:color w:val="000000"/>
          <w:sz w:val="18"/>
          <w:szCs w:val="18"/>
          <w:shd w:val="clear" w:color="auto" w:fill="FFFFFF"/>
        </w:rPr>
      </w:pPr>
      <w:hyperlink r:id="rId6" w:history="1">
        <w:r w:rsidR="00A8092C" w:rsidRPr="00A8092C">
          <w:rPr>
            <w:rStyle w:val="Hyperlink"/>
            <w:rFonts w:ascii="Segoe UI" w:hAnsi="Segoe UI" w:cs="Segoe UI"/>
            <w:sz w:val="18"/>
            <w:szCs w:val="18"/>
            <w:shd w:val="clear" w:color="auto" w:fill="FFFFFF"/>
          </w:rPr>
          <w:t>https://www.legislation.gov.au/Details/C2017C00046</w:t>
        </w:r>
      </w:hyperlink>
    </w:p>
    <w:p w14:paraId="5CE24C67" w14:textId="79794C44" w:rsidR="006305FE" w:rsidRPr="006305FE" w:rsidRDefault="006305FE" w:rsidP="006305FE">
      <w:pPr>
        <w:pStyle w:val="ListParagraph"/>
        <w:numPr>
          <w:ilvl w:val="0"/>
          <w:numId w:val="1"/>
        </w:numPr>
        <w:rPr>
          <w:sz w:val="24"/>
          <w:szCs w:val="24"/>
        </w:rPr>
      </w:pPr>
      <w:r w:rsidRPr="006305FE">
        <w:rPr>
          <w:sz w:val="24"/>
          <w:szCs w:val="24"/>
        </w:rPr>
        <w:t>Patents:</w:t>
      </w:r>
    </w:p>
    <w:p w14:paraId="7099E182" w14:textId="77777777" w:rsidR="006305FE" w:rsidRDefault="006305FE" w:rsidP="006305FE">
      <w:pPr>
        <w:ind w:left="720"/>
        <w:rPr>
          <w:sz w:val="24"/>
          <w:szCs w:val="24"/>
        </w:rPr>
      </w:pPr>
      <w:r>
        <w:rPr>
          <w:sz w:val="24"/>
          <w:szCs w:val="24"/>
        </w:rPr>
        <w:t>Australian Patents Act 1990</w:t>
      </w:r>
    </w:p>
    <w:p w14:paraId="5A6D2D1D" w14:textId="77777777" w:rsidR="006305FE" w:rsidRDefault="006305FE" w:rsidP="006305FE">
      <w:pPr>
        <w:ind w:left="720"/>
        <w:rPr>
          <w:sz w:val="24"/>
          <w:szCs w:val="24"/>
        </w:rPr>
      </w:pPr>
      <w:r>
        <w:rPr>
          <w:sz w:val="24"/>
          <w:szCs w:val="24"/>
        </w:rPr>
        <w:t>A patent is a grant by the Commonwealth government that gives the patent’s owner exclusive right to the exploitation of an invention.</w:t>
      </w:r>
    </w:p>
    <w:p w14:paraId="7372A10A" w14:textId="2968992A" w:rsidR="00A8092C" w:rsidRDefault="00000000" w:rsidP="006305FE">
      <w:pPr>
        <w:ind w:left="720"/>
        <w:rPr>
          <w:rFonts w:ascii="Segoe UI" w:hAnsi="Segoe UI" w:cs="Segoe UI"/>
          <w:color w:val="000000"/>
          <w:sz w:val="18"/>
          <w:szCs w:val="18"/>
          <w:shd w:val="clear" w:color="auto" w:fill="FFFFFF"/>
        </w:rPr>
      </w:pPr>
      <w:hyperlink r:id="rId7" w:history="1">
        <w:r w:rsidR="006305FE" w:rsidRPr="00A8092C">
          <w:rPr>
            <w:rStyle w:val="Hyperlink"/>
            <w:rFonts w:ascii="Segoe UI" w:hAnsi="Segoe UI" w:cs="Segoe UI"/>
            <w:sz w:val="18"/>
            <w:szCs w:val="18"/>
            <w:shd w:val="clear" w:color="auto" w:fill="FFFFFF"/>
          </w:rPr>
          <w:t>https://www.legislation.gov.au/Details/C2017C00045</w:t>
        </w:r>
      </w:hyperlink>
    </w:p>
    <w:p w14:paraId="125BCEA3" w14:textId="77777777" w:rsidR="006305FE" w:rsidRDefault="006305FE" w:rsidP="006305FE">
      <w:pPr>
        <w:ind w:left="720"/>
        <w:rPr>
          <w:rFonts w:ascii="Segoe UI" w:hAnsi="Segoe UI" w:cs="Segoe UI"/>
          <w:color w:val="000000"/>
          <w:sz w:val="18"/>
          <w:szCs w:val="18"/>
          <w:shd w:val="clear" w:color="auto" w:fill="FFFFFF"/>
        </w:rPr>
      </w:pPr>
    </w:p>
    <w:p w14:paraId="60B95180" w14:textId="31D84DAE" w:rsidR="006305FE" w:rsidRPr="006305FE" w:rsidRDefault="00D35F1B" w:rsidP="006305FE">
      <w:pPr>
        <w:ind w:left="720"/>
        <w:rPr>
          <w:sz w:val="24"/>
          <w:szCs w:val="24"/>
        </w:rPr>
      </w:pPr>
      <w:r>
        <w:rPr>
          <w:sz w:val="24"/>
          <w:szCs w:val="24"/>
        </w:rPr>
        <w:t xml:space="preserve"> </w:t>
      </w:r>
      <w:r w:rsidR="00D12A3C">
        <w:rPr>
          <w:sz w:val="24"/>
          <w:szCs w:val="24"/>
        </w:rPr>
        <w:t xml:space="preserve">The Australian Copyright Act 1968 affects the games industry as games often include ideas in the form of original stories and original characters, and this act protects the way such things are expressed. The Australian Trade Marks Act 1995 affects the games industry as </w:t>
      </w:r>
      <w:r w:rsidR="004956A3">
        <w:rPr>
          <w:sz w:val="24"/>
          <w:szCs w:val="24"/>
        </w:rPr>
        <w:t>game companies use logos and names that fall under the protection of this act. The Australian Patents Act 1990</w:t>
      </w:r>
      <w:r w:rsidR="00950CCD">
        <w:rPr>
          <w:sz w:val="24"/>
          <w:szCs w:val="24"/>
        </w:rPr>
        <w:t xml:space="preserve"> affects the games industry as games make use of in-game mechanics that fall under the protection of this act that game developers may want exclusive rights to.</w:t>
      </w:r>
      <w:r w:rsidR="007C7237">
        <w:rPr>
          <w:sz w:val="24"/>
          <w:szCs w:val="24"/>
        </w:rPr>
        <w:t xml:space="preserve"> In conclusion, the games industry makes use of all 3 of these acts because of original stories and characters, company logos and names, and unique mechanics, which all fall under the protection of their respective acts.</w:t>
      </w:r>
    </w:p>
    <w:p w14:paraId="4F266289" w14:textId="77777777" w:rsidR="00620FF2" w:rsidRDefault="00620FF2" w:rsidP="00205A21">
      <w:pPr>
        <w:rPr>
          <w:sz w:val="24"/>
          <w:szCs w:val="24"/>
        </w:rPr>
      </w:pPr>
    </w:p>
    <w:p w14:paraId="4C2CBBD8" w14:textId="77777777" w:rsidR="001C2E5D" w:rsidRDefault="001C2E5D" w:rsidP="001C2E5D">
      <w:pPr>
        <w:rPr>
          <w:sz w:val="24"/>
          <w:szCs w:val="24"/>
        </w:rPr>
      </w:pPr>
    </w:p>
    <w:p w14:paraId="2F1F94CE" w14:textId="09F27795" w:rsidR="0000023B" w:rsidRDefault="001C2E5D" w:rsidP="001C2E5D">
      <w:pPr>
        <w:rPr>
          <w:sz w:val="24"/>
          <w:szCs w:val="24"/>
        </w:rPr>
      </w:pPr>
      <w:r>
        <w:rPr>
          <w:sz w:val="24"/>
          <w:szCs w:val="24"/>
        </w:rPr>
        <w:t>Privacy Policy Changes:</w:t>
      </w:r>
    </w:p>
    <w:tbl>
      <w:tblPr>
        <w:tblStyle w:val="TableGrid"/>
        <w:tblpPr w:leftFromText="180" w:rightFromText="180" w:vertAnchor="page" w:horzAnchor="margin" w:tblpXSpec="center" w:tblpY="1306"/>
        <w:tblW w:w="10545" w:type="dxa"/>
        <w:tblLook w:val="04A0" w:firstRow="1" w:lastRow="0" w:firstColumn="1" w:lastColumn="0" w:noHBand="0" w:noVBand="1"/>
      </w:tblPr>
      <w:tblGrid>
        <w:gridCol w:w="3613"/>
        <w:gridCol w:w="3454"/>
        <w:gridCol w:w="3478"/>
      </w:tblGrid>
      <w:tr w:rsidR="001C2E5D" w14:paraId="0340698C" w14:textId="77777777" w:rsidTr="001C2E5D">
        <w:tc>
          <w:tcPr>
            <w:tcW w:w="3613" w:type="dxa"/>
          </w:tcPr>
          <w:p w14:paraId="7F55DC47" w14:textId="77777777" w:rsidR="001C2E5D" w:rsidRDefault="001C2E5D" w:rsidP="001C2E5D">
            <w:pPr>
              <w:rPr>
                <w:sz w:val="24"/>
                <w:szCs w:val="24"/>
              </w:rPr>
            </w:pPr>
            <w:r>
              <w:rPr>
                <w:sz w:val="24"/>
                <w:szCs w:val="24"/>
              </w:rPr>
              <w:lastRenderedPageBreak/>
              <w:t>Updated sections</w:t>
            </w:r>
          </w:p>
        </w:tc>
        <w:tc>
          <w:tcPr>
            <w:tcW w:w="3454" w:type="dxa"/>
          </w:tcPr>
          <w:p w14:paraId="1BF0952B" w14:textId="77777777" w:rsidR="001C2E5D" w:rsidRDefault="001C2E5D" w:rsidP="001C2E5D">
            <w:pPr>
              <w:rPr>
                <w:sz w:val="24"/>
                <w:szCs w:val="24"/>
              </w:rPr>
            </w:pPr>
            <w:r>
              <w:rPr>
                <w:sz w:val="24"/>
                <w:szCs w:val="24"/>
              </w:rPr>
              <w:t>Updates to sections</w:t>
            </w:r>
          </w:p>
        </w:tc>
        <w:tc>
          <w:tcPr>
            <w:tcW w:w="3478" w:type="dxa"/>
          </w:tcPr>
          <w:p w14:paraId="77975262" w14:textId="77777777" w:rsidR="001C2E5D" w:rsidRDefault="001C2E5D" w:rsidP="001C2E5D">
            <w:pPr>
              <w:rPr>
                <w:sz w:val="24"/>
                <w:szCs w:val="24"/>
              </w:rPr>
            </w:pPr>
            <w:r>
              <w:rPr>
                <w:sz w:val="24"/>
                <w:szCs w:val="24"/>
              </w:rPr>
              <w:t>Reason for update</w:t>
            </w:r>
          </w:p>
        </w:tc>
      </w:tr>
      <w:tr w:rsidR="001C2E5D" w14:paraId="00D61FE9" w14:textId="77777777" w:rsidTr="001C2E5D">
        <w:tc>
          <w:tcPr>
            <w:tcW w:w="3613" w:type="dxa"/>
          </w:tcPr>
          <w:p w14:paraId="591DE1B8" w14:textId="77777777" w:rsidR="001C2E5D" w:rsidRDefault="001C2E5D" w:rsidP="001C2E5D">
            <w:pPr>
              <w:rPr>
                <w:sz w:val="24"/>
                <w:szCs w:val="24"/>
              </w:rPr>
            </w:pPr>
            <w:r>
              <w:rPr>
                <w:sz w:val="24"/>
                <w:szCs w:val="24"/>
              </w:rPr>
              <w:t>Update to the ‘Children’ and ‘Changes to this Privacy Policy’ section:</w:t>
            </w:r>
          </w:p>
        </w:tc>
        <w:tc>
          <w:tcPr>
            <w:tcW w:w="3454" w:type="dxa"/>
          </w:tcPr>
          <w:p w14:paraId="6A694315" w14:textId="77777777" w:rsidR="001C2E5D" w:rsidRDefault="001C2E5D" w:rsidP="001C2E5D">
            <w:pPr>
              <w:rPr>
                <w:sz w:val="24"/>
                <w:szCs w:val="24"/>
              </w:rPr>
            </w:pPr>
            <w:r>
              <w:rPr>
                <w:sz w:val="24"/>
                <w:szCs w:val="24"/>
              </w:rPr>
              <w:t>‘Derivative Games does not knowingly request or collect personal information from children younger than 18 years of age.’</w:t>
            </w:r>
          </w:p>
          <w:p w14:paraId="633F7B68" w14:textId="77777777" w:rsidR="001C2E5D" w:rsidRDefault="001C2E5D" w:rsidP="001C2E5D">
            <w:pPr>
              <w:rPr>
                <w:sz w:val="24"/>
                <w:szCs w:val="24"/>
              </w:rPr>
            </w:pPr>
          </w:p>
          <w:p w14:paraId="156E2B83" w14:textId="77777777" w:rsidR="001C2E5D" w:rsidRDefault="001C2E5D" w:rsidP="001C2E5D">
            <w:pPr>
              <w:rPr>
                <w:sz w:val="24"/>
                <w:szCs w:val="24"/>
              </w:rPr>
            </w:pPr>
            <w:r>
              <w:rPr>
                <w:sz w:val="24"/>
                <w:szCs w:val="24"/>
              </w:rPr>
              <w:t>‘Our policy must be agreed to, to use our software, and you should be 18 years or older to do so. If you are not 18 years or older, a parent or guardian must agree to this policy before continuing.’</w:t>
            </w:r>
          </w:p>
        </w:tc>
        <w:tc>
          <w:tcPr>
            <w:tcW w:w="3478" w:type="dxa"/>
          </w:tcPr>
          <w:p w14:paraId="3E87F531" w14:textId="77777777" w:rsidR="001C2E5D" w:rsidRDefault="001C2E5D" w:rsidP="001C2E5D">
            <w:pPr>
              <w:rPr>
                <w:sz w:val="24"/>
                <w:szCs w:val="24"/>
              </w:rPr>
            </w:pPr>
            <w:r>
              <w:rPr>
                <w:sz w:val="24"/>
                <w:szCs w:val="24"/>
              </w:rPr>
              <w:t>These changes are compliant with GDPR and COPPA, as well as being a general fix for international releases.</w:t>
            </w:r>
          </w:p>
        </w:tc>
      </w:tr>
      <w:tr w:rsidR="001C2E5D" w14:paraId="7FB2FAA5" w14:textId="77777777" w:rsidTr="001C2E5D">
        <w:tc>
          <w:tcPr>
            <w:tcW w:w="3613" w:type="dxa"/>
          </w:tcPr>
          <w:p w14:paraId="3192EF95" w14:textId="77777777" w:rsidR="001C2E5D" w:rsidRDefault="001C2E5D" w:rsidP="001C2E5D">
            <w:pPr>
              <w:rPr>
                <w:sz w:val="24"/>
                <w:szCs w:val="24"/>
              </w:rPr>
            </w:pPr>
            <w:r>
              <w:rPr>
                <w:sz w:val="24"/>
                <w:szCs w:val="24"/>
              </w:rPr>
              <w:t>Update to the ‘Security’ section and new section ‘Contact Information’ added:</w:t>
            </w:r>
          </w:p>
          <w:p w14:paraId="6CFDFAF9" w14:textId="77777777" w:rsidR="001C2E5D" w:rsidRDefault="001C2E5D" w:rsidP="001C2E5D">
            <w:pPr>
              <w:rPr>
                <w:sz w:val="24"/>
                <w:szCs w:val="24"/>
              </w:rPr>
            </w:pPr>
          </w:p>
        </w:tc>
        <w:tc>
          <w:tcPr>
            <w:tcW w:w="3454" w:type="dxa"/>
          </w:tcPr>
          <w:p w14:paraId="6692119C" w14:textId="77777777" w:rsidR="001C2E5D" w:rsidRDefault="001C2E5D" w:rsidP="001C2E5D">
            <w:pPr>
              <w:rPr>
                <w:sz w:val="24"/>
                <w:szCs w:val="24"/>
              </w:rPr>
            </w:pPr>
            <w:r>
              <w:rPr>
                <w:sz w:val="24"/>
                <w:szCs w:val="24"/>
              </w:rPr>
              <w:t>‘Due to the anonymous nature of much of the data collected, we may not be able to supply you with specific data pertaining to you immediately. If you need data supplied to you or removed from our system, please contact us via the information provided at the end of the policy.’</w:t>
            </w:r>
          </w:p>
          <w:p w14:paraId="0CBA8C87" w14:textId="77777777" w:rsidR="001C2E5D" w:rsidRDefault="001C2E5D" w:rsidP="001C2E5D">
            <w:pPr>
              <w:rPr>
                <w:sz w:val="24"/>
                <w:szCs w:val="24"/>
              </w:rPr>
            </w:pPr>
          </w:p>
          <w:p w14:paraId="6BADDE5F" w14:textId="77777777" w:rsidR="001C2E5D" w:rsidRDefault="001C2E5D" w:rsidP="001C2E5D">
            <w:pPr>
              <w:rPr>
                <w:sz w:val="32"/>
                <w:szCs w:val="32"/>
              </w:rPr>
            </w:pPr>
            <w:r w:rsidRPr="001C2E5D">
              <w:rPr>
                <w:sz w:val="32"/>
                <w:szCs w:val="32"/>
              </w:rPr>
              <w:t>‘</w:t>
            </w:r>
            <w:r>
              <w:rPr>
                <w:sz w:val="32"/>
                <w:szCs w:val="32"/>
              </w:rPr>
              <w:t>Contact Information</w:t>
            </w:r>
          </w:p>
          <w:p w14:paraId="0838DFB8" w14:textId="77777777" w:rsidR="001C2E5D" w:rsidRDefault="001C2E5D" w:rsidP="001C2E5D">
            <w:pPr>
              <w:rPr>
                <w:sz w:val="24"/>
                <w:szCs w:val="24"/>
              </w:rPr>
            </w:pPr>
            <w:r>
              <w:rPr>
                <w:sz w:val="24"/>
                <w:szCs w:val="24"/>
              </w:rPr>
              <w:t>If you need to contact us, you can either reach us via phone or email.</w:t>
            </w:r>
          </w:p>
          <w:p w14:paraId="08EB5D67" w14:textId="77777777" w:rsidR="001C2E5D" w:rsidRDefault="001C2E5D" w:rsidP="001C2E5D">
            <w:pPr>
              <w:rPr>
                <w:sz w:val="24"/>
                <w:szCs w:val="24"/>
              </w:rPr>
            </w:pPr>
          </w:p>
          <w:p w14:paraId="486AFDCD" w14:textId="77777777" w:rsidR="001C2E5D" w:rsidRDefault="001C2E5D" w:rsidP="001C2E5D">
            <w:pPr>
              <w:rPr>
                <w:sz w:val="24"/>
                <w:szCs w:val="24"/>
              </w:rPr>
            </w:pPr>
            <w:r>
              <w:rPr>
                <w:sz w:val="24"/>
                <w:szCs w:val="24"/>
              </w:rPr>
              <w:t>Phone: (phone number)</w:t>
            </w:r>
          </w:p>
          <w:p w14:paraId="4B9782F4" w14:textId="77777777" w:rsidR="001C2E5D" w:rsidRDefault="001C2E5D" w:rsidP="001C2E5D">
            <w:pPr>
              <w:rPr>
                <w:sz w:val="24"/>
                <w:szCs w:val="24"/>
              </w:rPr>
            </w:pPr>
          </w:p>
          <w:p w14:paraId="0E87B08C" w14:textId="77777777" w:rsidR="001C2E5D" w:rsidRDefault="001C2E5D" w:rsidP="001C2E5D">
            <w:pPr>
              <w:rPr>
                <w:sz w:val="24"/>
                <w:szCs w:val="24"/>
              </w:rPr>
            </w:pPr>
            <w:r>
              <w:rPr>
                <w:sz w:val="24"/>
                <w:szCs w:val="24"/>
              </w:rPr>
              <w:t>Email: (email address)’</w:t>
            </w:r>
          </w:p>
          <w:p w14:paraId="068C9F8A" w14:textId="77777777" w:rsidR="001C2E5D" w:rsidRDefault="001C2E5D" w:rsidP="001C2E5D">
            <w:pPr>
              <w:rPr>
                <w:sz w:val="24"/>
                <w:szCs w:val="24"/>
              </w:rPr>
            </w:pPr>
          </w:p>
        </w:tc>
        <w:tc>
          <w:tcPr>
            <w:tcW w:w="3478" w:type="dxa"/>
          </w:tcPr>
          <w:p w14:paraId="5BD118D8" w14:textId="77777777" w:rsidR="001C2E5D" w:rsidRDefault="001C2E5D" w:rsidP="001C2E5D">
            <w:pPr>
              <w:rPr>
                <w:sz w:val="24"/>
                <w:szCs w:val="24"/>
              </w:rPr>
            </w:pPr>
            <w:r>
              <w:rPr>
                <w:sz w:val="24"/>
                <w:szCs w:val="24"/>
              </w:rPr>
              <w:t>These changes allow users a means to contact the company for removal or retrieval of data, or for any other necessary purpose.</w:t>
            </w:r>
          </w:p>
        </w:tc>
      </w:tr>
    </w:tbl>
    <w:p w14:paraId="0E45C479" w14:textId="273C7DD3" w:rsidR="008F75A1" w:rsidRPr="008F75A1" w:rsidRDefault="008F75A1" w:rsidP="00127975">
      <w:pPr>
        <w:ind w:left="720"/>
        <w:rPr>
          <w:sz w:val="24"/>
          <w:szCs w:val="24"/>
        </w:rPr>
      </w:pPr>
    </w:p>
    <w:p w14:paraId="1B3DCA84" w14:textId="77777777" w:rsidR="00620FF2" w:rsidRDefault="00620FF2" w:rsidP="00205A21">
      <w:pPr>
        <w:rPr>
          <w:sz w:val="24"/>
          <w:szCs w:val="24"/>
        </w:rPr>
      </w:pPr>
    </w:p>
    <w:p w14:paraId="018682FB" w14:textId="09389A4D" w:rsidR="00620FF2" w:rsidRDefault="00620FF2" w:rsidP="00205A21">
      <w:pPr>
        <w:rPr>
          <w:sz w:val="24"/>
          <w:szCs w:val="24"/>
        </w:rPr>
      </w:pPr>
      <w:r>
        <w:rPr>
          <w:sz w:val="24"/>
          <w:szCs w:val="24"/>
        </w:rPr>
        <w:t>Code of Ethics Changes:</w:t>
      </w:r>
    </w:p>
    <w:p w14:paraId="507A0160" w14:textId="290DCF05" w:rsidR="00620FF2" w:rsidRDefault="00235219" w:rsidP="00235219">
      <w:pPr>
        <w:pStyle w:val="ListParagraph"/>
        <w:numPr>
          <w:ilvl w:val="0"/>
          <w:numId w:val="3"/>
        </w:numPr>
        <w:rPr>
          <w:sz w:val="24"/>
          <w:szCs w:val="24"/>
        </w:rPr>
      </w:pPr>
      <w:r>
        <w:rPr>
          <w:sz w:val="24"/>
          <w:szCs w:val="24"/>
        </w:rPr>
        <w:t>Predatory practices</w:t>
      </w:r>
      <w:r w:rsidR="00A353A3">
        <w:rPr>
          <w:sz w:val="24"/>
          <w:szCs w:val="24"/>
        </w:rPr>
        <w:t xml:space="preserve"> in games</w:t>
      </w:r>
    </w:p>
    <w:p w14:paraId="022A8B8A" w14:textId="55DBE7BD" w:rsidR="00235219" w:rsidRPr="00235219" w:rsidRDefault="00235219" w:rsidP="00235219">
      <w:pPr>
        <w:pStyle w:val="ListParagraph"/>
        <w:numPr>
          <w:ilvl w:val="0"/>
          <w:numId w:val="3"/>
        </w:numPr>
        <w:rPr>
          <w:sz w:val="24"/>
          <w:szCs w:val="24"/>
        </w:rPr>
      </w:pPr>
      <w:r>
        <w:rPr>
          <w:sz w:val="24"/>
          <w:szCs w:val="24"/>
        </w:rPr>
        <w:t>Diversity in games</w:t>
      </w:r>
    </w:p>
    <w:p w14:paraId="025FBD6E" w14:textId="77777777" w:rsidR="00620FF2" w:rsidRDefault="00620FF2" w:rsidP="00205A21">
      <w:pPr>
        <w:rPr>
          <w:sz w:val="24"/>
          <w:szCs w:val="24"/>
        </w:rPr>
      </w:pPr>
    </w:p>
    <w:p w14:paraId="5F545CCE" w14:textId="01B5FA79" w:rsidR="003D28FF" w:rsidRDefault="0063232A" w:rsidP="00205A21">
      <w:pPr>
        <w:rPr>
          <w:sz w:val="24"/>
          <w:szCs w:val="24"/>
        </w:rPr>
      </w:pPr>
      <w:r>
        <w:rPr>
          <w:sz w:val="24"/>
          <w:szCs w:val="24"/>
        </w:rPr>
        <w:t xml:space="preserve">I will strive to ensure that games </w:t>
      </w:r>
      <w:r w:rsidR="003D28FF">
        <w:rPr>
          <w:sz w:val="24"/>
          <w:szCs w:val="24"/>
        </w:rPr>
        <w:t>I</w:t>
      </w:r>
      <w:r>
        <w:rPr>
          <w:sz w:val="24"/>
          <w:szCs w:val="24"/>
        </w:rPr>
        <w:t xml:space="preserve"> work on do not include limited time in-game purchases</w:t>
      </w:r>
      <w:r w:rsidR="003D28FF">
        <w:rPr>
          <w:sz w:val="24"/>
          <w:szCs w:val="24"/>
        </w:rPr>
        <w:t>, in-game purchases marketed towards younger audiences, or any other practices that may be considered predatory.</w:t>
      </w:r>
    </w:p>
    <w:p w14:paraId="3839942D" w14:textId="10CB1A40" w:rsidR="000E7EA9" w:rsidRDefault="009609E5" w:rsidP="00205A21">
      <w:pPr>
        <w:rPr>
          <w:sz w:val="24"/>
          <w:szCs w:val="24"/>
        </w:rPr>
      </w:pPr>
      <w:r>
        <w:rPr>
          <w:sz w:val="24"/>
          <w:szCs w:val="24"/>
        </w:rPr>
        <w:lastRenderedPageBreak/>
        <w:t>This inclusion will be added to the Code of Ethics because predatory practices could be harmful to audiences.</w:t>
      </w:r>
    </w:p>
    <w:p w14:paraId="73DBFF54" w14:textId="77777777" w:rsidR="009609E5" w:rsidRDefault="009609E5" w:rsidP="00205A21">
      <w:pPr>
        <w:rPr>
          <w:sz w:val="24"/>
          <w:szCs w:val="24"/>
        </w:rPr>
      </w:pPr>
    </w:p>
    <w:p w14:paraId="1756113D" w14:textId="59DF3C6A" w:rsidR="003D28FF" w:rsidRDefault="003D28FF" w:rsidP="00205A21">
      <w:pPr>
        <w:rPr>
          <w:sz w:val="24"/>
          <w:szCs w:val="24"/>
        </w:rPr>
      </w:pPr>
      <w:r>
        <w:rPr>
          <w:sz w:val="24"/>
          <w:szCs w:val="24"/>
        </w:rPr>
        <w:t>I will</w:t>
      </w:r>
      <w:r w:rsidR="000E7EA9">
        <w:rPr>
          <w:sz w:val="24"/>
          <w:szCs w:val="24"/>
        </w:rPr>
        <w:t xml:space="preserve"> strive to ensure that games I work on pertain to all audiences, and do not contain any material that could be offensive.</w:t>
      </w:r>
    </w:p>
    <w:p w14:paraId="144ACD63" w14:textId="71AE0E13" w:rsidR="009609E5" w:rsidRDefault="009609E5" w:rsidP="009609E5">
      <w:pPr>
        <w:rPr>
          <w:sz w:val="24"/>
          <w:szCs w:val="24"/>
        </w:rPr>
      </w:pPr>
      <w:r>
        <w:rPr>
          <w:sz w:val="24"/>
          <w:szCs w:val="24"/>
        </w:rPr>
        <w:t>This inclusion will be added to the Code of Ethics because</w:t>
      </w:r>
      <w:r>
        <w:rPr>
          <w:sz w:val="24"/>
          <w:szCs w:val="24"/>
        </w:rPr>
        <w:t xml:space="preserve"> it’s important that audiences feel safe to play our games.</w:t>
      </w:r>
    </w:p>
    <w:p w14:paraId="5DE77A47" w14:textId="77777777" w:rsidR="009609E5" w:rsidRDefault="009609E5" w:rsidP="00205A21">
      <w:pPr>
        <w:rPr>
          <w:sz w:val="24"/>
          <w:szCs w:val="24"/>
        </w:rPr>
      </w:pPr>
    </w:p>
    <w:p w14:paraId="581595FB" w14:textId="59186135" w:rsidR="00620FF2" w:rsidRDefault="00620FF2" w:rsidP="00205A21">
      <w:pPr>
        <w:rPr>
          <w:sz w:val="24"/>
          <w:szCs w:val="24"/>
        </w:rPr>
      </w:pPr>
      <w:r>
        <w:rPr>
          <w:sz w:val="24"/>
          <w:szCs w:val="24"/>
        </w:rPr>
        <w:t>Dispute Resolution:</w:t>
      </w:r>
    </w:p>
    <w:p w14:paraId="3EFBE87F" w14:textId="4988DEF0" w:rsidR="00AB37CF" w:rsidRDefault="006D2A0A" w:rsidP="00205A21">
      <w:pPr>
        <w:rPr>
          <w:sz w:val="24"/>
          <w:szCs w:val="24"/>
        </w:rPr>
      </w:pPr>
      <w:hyperlink r:id="rId8" w:history="1">
        <w:r w:rsidRPr="00354627">
          <w:rPr>
            <w:rStyle w:val="Hyperlink"/>
            <w:sz w:val="24"/>
            <w:szCs w:val="24"/>
          </w:rPr>
          <w:t>https://www.safework.sa.gov.au/workers/health-and-wellbeing/grievance-and-complaint-resolution</w:t>
        </w:r>
      </w:hyperlink>
    </w:p>
    <w:p w14:paraId="3C7C5E2C" w14:textId="05DA8DE8" w:rsidR="006D2A0A" w:rsidRDefault="006D2A0A" w:rsidP="00205A21">
      <w:pPr>
        <w:rPr>
          <w:sz w:val="24"/>
          <w:szCs w:val="24"/>
        </w:rPr>
      </w:pPr>
      <w:hyperlink r:id="rId9" w:history="1">
        <w:r w:rsidRPr="00354627">
          <w:rPr>
            <w:rStyle w:val="Hyperlink"/>
            <w:sz w:val="24"/>
            <w:szCs w:val="24"/>
          </w:rPr>
          <w:t>https://business.gov.au/people/disputes/resolve-disputes</w:t>
        </w:r>
      </w:hyperlink>
    </w:p>
    <w:p w14:paraId="6F4211EF" w14:textId="77777777" w:rsidR="006D2A0A" w:rsidRDefault="006D2A0A" w:rsidP="00205A21">
      <w:pPr>
        <w:rPr>
          <w:sz w:val="24"/>
          <w:szCs w:val="24"/>
        </w:rPr>
      </w:pPr>
    </w:p>
    <w:p w14:paraId="29F46AA2" w14:textId="5213501F" w:rsidR="00AB37CF" w:rsidRDefault="00AB37CF" w:rsidP="00AB37CF">
      <w:pPr>
        <w:pStyle w:val="ListParagraph"/>
        <w:numPr>
          <w:ilvl w:val="0"/>
          <w:numId w:val="4"/>
        </w:numPr>
        <w:rPr>
          <w:sz w:val="24"/>
          <w:szCs w:val="24"/>
        </w:rPr>
      </w:pPr>
      <w:r>
        <w:rPr>
          <w:sz w:val="24"/>
          <w:szCs w:val="24"/>
        </w:rPr>
        <w:t>Employee raises the concern.</w:t>
      </w:r>
    </w:p>
    <w:p w14:paraId="52823BAD" w14:textId="488AE81B" w:rsidR="00AB37CF" w:rsidRDefault="00DA058A" w:rsidP="00AB37CF">
      <w:pPr>
        <w:pStyle w:val="ListParagraph"/>
        <w:numPr>
          <w:ilvl w:val="0"/>
          <w:numId w:val="4"/>
        </w:numPr>
        <w:rPr>
          <w:sz w:val="24"/>
          <w:szCs w:val="24"/>
        </w:rPr>
      </w:pPr>
      <w:r>
        <w:rPr>
          <w:sz w:val="24"/>
          <w:szCs w:val="24"/>
        </w:rPr>
        <w:t>Employer communicates with both parties to understand both sides of the concern.</w:t>
      </w:r>
    </w:p>
    <w:p w14:paraId="0FB86749" w14:textId="5EFB8362" w:rsidR="00DA058A" w:rsidRDefault="00DA058A" w:rsidP="00AB37CF">
      <w:pPr>
        <w:pStyle w:val="ListParagraph"/>
        <w:numPr>
          <w:ilvl w:val="0"/>
          <w:numId w:val="4"/>
        </w:numPr>
        <w:rPr>
          <w:sz w:val="24"/>
          <w:szCs w:val="24"/>
        </w:rPr>
      </w:pPr>
      <w:r>
        <w:rPr>
          <w:sz w:val="24"/>
          <w:szCs w:val="24"/>
        </w:rPr>
        <w:t>Conversation is had with both parties while employee is present.</w:t>
      </w:r>
    </w:p>
    <w:p w14:paraId="0E515670" w14:textId="010702EE" w:rsidR="00DA058A" w:rsidRDefault="00DA058A" w:rsidP="00AB37CF">
      <w:pPr>
        <w:pStyle w:val="ListParagraph"/>
        <w:numPr>
          <w:ilvl w:val="0"/>
          <w:numId w:val="4"/>
        </w:numPr>
        <w:rPr>
          <w:sz w:val="24"/>
          <w:szCs w:val="24"/>
        </w:rPr>
      </w:pPr>
      <w:r>
        <w:rPr>
          <w:sz w:val="24"/>
          <w:szCs w:val="24"/>
        </w:rPr>
        <w:t>Compromise is made that ensures both parties feel as though the issue has been resolved.</w:t>
      </w:r>
    </w:p>
    <w:p w14:paraId="11EF6418" w14:textId="6866FD61" w:rsidR="00AB37CF" w:rsidRPr="00AB37CF" w:rsidRDefault="00AB37CF" w:rsidP="00AB37CF">
      <w:pPr>
        <w:pStyle w:val="ListParagraph"/>
        <w:numPr>
          <w:ilvl w:val="0"/>
          <w:numId w:val="4"/>
        </w:numPr>
        <w:rPr>
          <w:sz w:val="24"/>
          <w:szCs w:val="24"/>
        </w:rPr>
      </w:pPr>
      <w:r>
        <w:rPr>
          <w:sz w:val="24"/>
          <w:szCs w:val="24"/>
        </w:rPr>
        <w:t>If dispute/grievance cannot be resolved, the employee refers the dispute/grievance to the Fair Work Commission.</w:t>
      </w:r>
    </w:p>
    <w:sectPr w:rsidR="00AB37CF" w:rsidRPr="00AB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05751"/>
    <w:multiLevelType w:val="hybridMultilevel"/>
    <w:tmpl w:val="81B2FFB0"/>
    <w:lvl w:ilvl="0" w:tplc="E24042A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8631A8"/>
    <w:multiLevelType w:val="hybridMultilevel"/>
    <w:tmpl w:val="AC9A2436"/>
    <w:lvl w:ilvl="0" w:tplc="384C3EC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9F97021"/>
    <w:multiLevelType w:val="hybridMultilevel"/>
    <w:tmpl w:val="7C9AAD0A"/>
    <w:lvl w:ilvl="0" w:tplc="A6BC03A0">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E366390"/>
    <w:multiLevelType w:val="hybridMultilevel"/>
    <w:tmpl w:val="88FA5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39334629">
    <w:abstractNumId w:val="1"/>
  </w:num>
  <w:num w:numId="2" w16cid:durableId="866260684">
    <w:abstractNumId w:val="2"/>
  </w:num>
  <w:num w:numId="3" w16cid:durableId="1104494295">
    <w:abstractNumId w:val="0"/>
  </w:num>
  <w:num w:numId="4" w16cid:durableId="84674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EE"/>
    <w:rsid w:val="0000023B"/>
    <w:rsid w:val="00005E40"/>
    <w:rsid w:val="00025DB7"/>
    <w:rsid w:val="000266F8"/>
    <w:rsid w:val="000E7EA9"/>
    <w:rsid w:val="00127975"/>
    <w:rsid w:val="00135A97"/>
    <w:rsid w:val="00196686"/>
    <w:rsid w:val="001C2E5D"/>
    <w:rsid w:val="00205A21"/>
    <w:rsid w:val="00235219"/>
    <w:rsid w:val="002F2D2D"/>
    <w:rsid w:val="003D28FF"/>
    <w:rsid w:val="004956A3"/>
    <w:rsid w:val="004D7224"/>
    <w:rsid w:val="004E3CEC"/>
    <w:rsid w:val="00613B91"/>
    <w:rsid w:val="00620FF2"/>
    <w:rsid w:val="006305FE"/>
    <w:rsid w:val="0063232A"/>
    <w:rsid w:val="006D070E"/>
    <w:rsid w:val="006D2A0A"/>
    <w:rsid w:val="007C7237"/>
    <w:rsid w:val="0080792C"/>
    <w:rsid w:val="00812490"/>
    <w:rsid w:val="008D268E"/>
    <w:rsid w:val="008F75A1"/>
    <w:rsid w:val="00950CCD"/>
    <w:rsid w:val="00954686"/>
    <w:rsid w:val="009609E5"/>
    <w:rsid w:val="009C3158"/>
    <w:rsid w:val="009D2827"/>
    <w:rsid w:val="009F46BF"/>
    <w:rsid w:val="009F59FF"/>
    <w:rsid w:val="00A353A3"/>
    <w:rsid w:val="00A8092C"/>
    <w:rsid w:val="00AB37CF"/>
    <w:rsid w:val="00B05F43"/>
    <w:rsid w:val="00D025EE"/>
    <w:rsid w:val="00D12A3C"/>
    <w:rsid w:val="00D35F1B"/>
    <w:rsid w:val="00DA058A"/>
    <w:rsid w:val="00EE6B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36F3"/>
  <w15:chartTrackingRefBased/>
  <w15:docId w15:val="{FFE7D7F4-2B92-45E6-8894-66518BE7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5EE"/>
    <w:rPr>
      <w:rFonts w:eastAsiaTheme="majorEastAsia" w:cstheme="majorBidi"/>
      <w:color w:val="272727" w:themeColor="text1" w:themeTint="D8"/>
    </w:rPr>
  </w:style>
  <w:style w:type="paragraph" w:styleId="Title">
    <w:name w:val="Title"/>
    <w:basedOn w:val="Normal"/>
    <w:next w:val="Normal"/>
    <w:link w:val="TitleChar"/>
    <w:uiPriority w:val="10"/>
    <w:qFormat/>
    <w:rsid w:val="00D02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5EE"/>
    <w:pPr>
      <w:spacing w:before="160"/>
      <w:jc w:val="center"/>
    </w:pPr>
    <w:rPr>
      <w:i/>
      <w:iCs/>
      <w:color w:val="404040" w:themeColor="text1" w:themeTint="BF"/>
    </w:rPr>
  </w:style>
  <w:style w:type="character" w:customStyle="1" w:styleId="QuoteChar">
    <w:name w:val="Quote Char"/>
    <w:basedOn w:val="DefaultParagraphFont"/>
    <w:link w:val="Quote"/>
    <w:uiPriority w:val="29"/>
    <w:rsid w:val="00D025EE"/>
    <w:rPr>
      <w:i/>
      <w:iCs/>
      <w:color w:val="404040" w:themeColor="text1" w:themeTint="BF"/>
    </w:rPr>
  </w:style>
  <w:style w:type="paragraph" w:styleId="ListParagraph">
    <w:name w:val="List Paragraph"/>
    <w:basedOn w:val="Normal"/>
    <w:uiPriority w:val="34"/>
    <w:qFormat/>
    <w:rsid w:val="00D025EE"/>
    <w:pPr>
      <w:ind w:left="720"/>
      <w:contextualSpacing/>
    </w:pPr>
  </w:style>
  <w:style w:type="character" w:styleId="IntenseEmphasis">
    <w:name w:val="Intense Emphasis"/>
    <w:basedOn w:val="DefaultParagraphFont"/>
    <w:uiPriority w:val="21"/>
    <w:qFormat/>
    <w:rsid w:val="00D025EE"/>
    <w:rPr>
      <w:i/>
      <w:iCs/>
      <w:color w:val="0F4761" w:themeColor="accent1" w:themeShade="BF"/>
    </w:rPr>
  </w:style>
  <w:style w:type="paragraph" w:styleId="IntenseQuote">
    <w:name w:val="Intense Quote"/>
    <w:basedOn w:val="Normal"/>
    <w:next w:val="Normal"/>
    <w:link w:val="IntenseQuoteChar"/>
    <w:uiPriority w:val="30"/>
    <w:qFormat/>
    <w:rsid w:val="00D02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5EE"/>
    <w:rPr>
      <w:i/>
      <w:iCs/>
      <w:color w:val="0F4761" w:themeColor="accent1" w:themeShade="BF"/>
    </w:rPr>
  </w:style>
  <w:style w:type="character" w:styleId="IntenseReference">
    <w:name w:val="Intense Reference"/>
    <w:basedOn w:val="DefaultParagraphFont"/>
    <w:uiPriority w:val="32"/>
    <w:qFormat/>
    <w:rsid w:val="00D025EE"/>
    <w:rPr>
      <w:b/>
      <w:bCs/>
      <w:smallCaps/>
      <w:color w:val="0F4761" w:themeColor="accent1" w:themeShade="BF"/>
      <w:spacing w:val="5"/>
    </w:rPr>
  </w:style>
  <w:style w:type="character" w:styleId="Hyperlink">
    <w:name w:val="Hyperlink"/>
    <w:basedOn w:val="DefaultParagraphFont"/>
    <w:uiPriority w:val="99"/>
    <w:unhideWhenUsed/>
    <w:rsid w:val="00A8092C"/>
    <w:rPr>
      <w:color w:val="467886" w:themeColor="hyperlink"/>
      <w:u w:val="single"/>
    </w:rPr>
  </w:style>
  <w:style w:type="character" w:styleId="UnresolvedMention">
    <w:name w:val="Unresolved Mention"/>
    <w:basedOn w:val="DefaultParagraphFont"/>
    <w:uiPriority w:val="99"/>
    <w:semiHidden/>
    <w:unhideWhenUsed/>
    <w:rsid w:val="00A8092C"/>
    <w:rPr>
      <w:color w:val="605E5C"/>
      <w:shd w:val="clear" w:color="auto" w:fill="E1DFDD"/>
    </w:rPr>
  </w:style>
  <w:style w:type="character" w:styleId="FollowedHyperlink">
    <w:name w:val="FollowedHyperlink"/>
    <w:basedOn w:val="DefaultParagraphFont"/>
    <w:uiPriority w:val="99"/>
    <w:semiHidden/>
    <w:unhideWhenUsed/>
    <w:rsid w:val="00A8092C"/>
    <w:rPr>
      <w:color w:val="96607D" w:themeColor="followedHyperlink"/>
      <w:u w:val="single"/>
    </w:rPr>
  </w:style>
  <w:style w:type="table" w:styleId="TableGrid">
    <w:name w:val="Table Grid"/>
    <w:basedOn w:val="TableNormal"/>
    <w:uiPriority w:val="39"/>
    <w:rsid w:val="001C2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sa.gov.au/workers/health-and-wellbeing/grievance-and-complaint-resolution" TargetMode="External"/><Relationship Id="rId3" Type="http://schemas.openxmlformats.org/officeDocument/2006/relationships/settings" Target="settings.xml"/><Relationship Id="rId7" Type="http://schemas.openxmlformats.org/officeDocument/2006/relationships/hyperlink" Target="https://www.legislation.gov.au/Details/C2017C000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slation.gov.au/Details/C2017C00046" TargetMode="External"/><Relationship Id="rId11" Type="http://schemas.openxmlformats.org/officeDocument/2006/relationships/theme" Target="theme/theme1.xml"/><Relationship Id="rId5" Type="http://schemas.openxmlformats.org/officeDocument/2006/relationships/hyperlink" Target="https://www.legislation.gov.au/Details/C2019C000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siness.gov.au/people/disputes/resolve-disp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Hurst</dc:creator>
  <cp:keywords/>
  <dc:description/>
  <cp:lastModifiedBy>Elias Hurst</cp:lastModifiedBy>
  <cp:revision>4</cp:revision>
  <dcterms:created xsi:type="dcterms:W3CDTF">2024-10-25T00:28:00Z</dcterms:created>
  <dcterms:modified xsi:type="dcterms:W3CDTF">2024-10-31T06:15:00Z</dcterms:modified>
</cp:coreProperties>
</file>