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srmr5zp40ubu"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pPr w:leftFromText="180" w:rightFromText="180" w:topFromText="0" w:bottomFromText="0" w:vertAnchor="text" w:horzAnchor="text" w:tblpX="-650.9999999999997" w:tblpY="6709.4405924479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45"/>
        <w:gridCol w:w="1125"/>
        <w:gridCol w:w="825"/>
        <w:gridCol w:w="1815"/>
        <w:gridCol w:w="1185"/>
        <w:gridCol w:w="1185"/>
        <w:tblGridChange w:id="0">
          <w:tblGrid>
            <w:gridCol w:w="1335"/>
            <w:gridCol w:w="1080"/>
            <w:gridCol w:w="1245"/>
            <w:gridCol w:w="1125"/>
            <w:gridCol w:w="825"/>
            <w:gridCol w:w="1815"/>
            <w:gridCol w:w="1185"/>
            <w:gridCol w:w="1185"/>
          </w:tblGrid>
        </w:tblGridChange>
      </w:tblGrid>
      <w:tr>
        <w:trPr>
          <w:cantSplit w:val="0"/>
          <w:trHeight w:val="415" w:hRule="atLeast"/>
          <w:tblHeader w:val="0"/>
        </w:trPr>
        <w:tc>
          <w:tcPr>
            <w:gridSpan w:val="8"/>
            <w:vAlign w:val="center"/>
          </w:tcPr>
          <w:p w:rsidR="00000000" w:rsidDel="00000000" w:rsidP="00000000" w:rsidRDefault="00000000" w:rsidRPr="00000000" w14:paraId="0000000D">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tcBorders>
              <w:bottom w:color="6fa8dc" w:space="0" w:sz="6" w:val="single"/>
            </w:tcBorders>
            <w:vAlign w:val="center"/>
          </w:tcPr>
          <w:p w:rsidR="00000000" w:rsidDel="00000000" w:rsidP="00000000" w:rsidRDefault="00000000" w:rsidRPr="00000000" w14:paraId="00000015">
            <w:pPr>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bottom w:color="6fa8dc" w:space="0" w:sz="6" w:val="single"/>
            </w:tcBorders>
            <w:vAlign w:val="center"/>
          </w:tcPr>
          <w:p w:rsidR="00000000" w:rsidDel="00000000" w:rsidP="00000000" w:rsidRDefault="00000000" w:rsidRPr="00000000" w14:paraId="00000016">
            <w:pPr>
              <w:jc w:val="center"/>
              <w:rPr>
                <w:color w:val="1f3864"/>
                <w:sz w:val="18"/>
                <w:szCs w:val="18"/>
              </w:rPr>
            </w:pPr>
            <w:r w:rsidDel="00000000" w:rsidR="00000000" w:rsidRPr="00000000">
              <w:rPr>
                <w:color w:val="1f3864"/>
                <w:sz w:val="18"/>
                <w:szCs w:val="18"/>
                <w:rtl w:val="0"/>
              </w:rPr>
              <w:t xml:space="preserve">Actividades</w:t>
            </w:r>
          </w:p>
        </w:tc>
        <w:tc>
          <w:tcPr>
            <w:tcBorders>
              <w:bottom w:color="6fa8dc" w:space="0" w:sz="6" w:val="single"/>
            </w:tcBorders>
            <w:vAlign w:val="center"/>
          </w:tcPr>
          <w:p w:rsidR="00000000" w:rsidDel="00000000" w:rsidP="00000000" w:rsidRDefault="00000000" w:rsidRPr="00000000" w14:paraId="00000017">
            <w:pPr>
              <w:jc w:val="center"/>
              <w:rPr>
                <w:color w:val="1f3864"/>
                <w:sz w:val="18"/>
                <w:szCs w:val="18"/>
              </w:rPr>
            </w:pPr>
            <w:r w:rsidDel="00000000" w:rsidR="00000000" w:rsidRPr="00000000">
              <w:rPr>
                <w:color w:val="1f3864"/>
                <w:sz w:val="18"/>
                <w:szCs w:val="18"/>
                <w:rtl w:val="0"/>
              </w:rPr>
              <w:t xml:space="preserve">Recursos</w:t>
            </w:r>
          </w:p>
        </w:tc>
        <w:tc>
          <w:tcPr>
            <w:tcBorders>
              <w:bottom w:color="6fa8dc" w:space="0" w:sz="6" w:val="single"/>
            </w:tcBorders>
            <w:vAlign w:val="center"/>
          </w:tcPr>
          <w:p w:rsidR="00000000" w:rsidDel="00000000" w:rsidP="00000000" w:rsidRDefault="00000000" w:rsidRPr="00000000" w14:paraId="00000018">
            <w:pPr>
              <w:jc w:val="center"/>
              <w:rPr>
                <w:color w:val="1f3864"/>
                <w:sz w:val="18"/>
                <w:szCs w:val="18"/>
              </w:rPr>
            </w:pPr>
            <w:r w:rsidDel="00000000" w:rsidR="00000000" w:rsidRPr="00000000">
              <w:rPr>
                <w:color w:val="1f3864"/>
                <w:sz w:val="18"/>
                <w:szCs w:val="18"/>
                <w:rtl w:val="0"/>
              </w:rPr>
              <w:t xml:space="preserve">Duración de la actividad</w:t>
            </w:r>
          </w:p>
        </w:tc>
        <w:tc>
          <w:tcPr>
            <w:tcBorders>
              <w:bottom w:color="6fa8dc" w:space="0" w:sz="6" w:val="single"/>
            </w:tcBorders>
            <w:vAlign w:val="center"/>
          </w:tcPr>
          <w:p w:rsidR="00000000" w:rsidDel="00000000" w:rsidP="00000000" w:rsidRDefault="00000000" w:rsidRPr="00000000" w14:paraId="00000019">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tcBorders>
              <w:bottom w:color="6fa8dc" w:space="0" w:sz="6" w:val="single"/>
            </w:tcBorders>
            <w:vAlign w:val="center"/>
          </w:tcPr>
          <w:p w:rsidR="00000000" w:rsidDel="00000000" w:rsidP="00000000" w:rsidRDefault="00000000" w:rsidRPr="00000000" w14:paraId="0000001A">
            <w:pPr>
              <w:jc w:val="center"/>
              <w:rPr>
                <w:color w:val="1f3864"/>
                <w:sz w:val="18"/>
                <w:szCs w:val="18"/>
              </w:rPr>
            </w:pPr>
            <w:r w:rsidDel="00000000" w:rsidR="00000000" w:rsidRPr="00000000">
              <w:rPr>
                <w:color w:val="1f3864"/>
                <w:sz w:val="18"/>
                <w:szCs w:val="18"/>
                <w:rtl w:val="0"/>
              </w:rPr>
              <w:t xml:space="preserve">Observaciones</w:t>
            </w:r>
          </w:p>
        </w:tc>
        <w:tc>
          <w:tcPr>
            <w:tcBorders>
              <w:bottom w:color="6fa8dc" w:space="0" w:sz="6" w:val="single"/>
            </w:tcBorders>
            <w:vAlign w:val="center"/>
          </w:tcPr>
          <w:p w:rsidR="00000000" w:rsidDel="00000000" w:rsidP="00000000" w:rsidRDefault="00000000" w:rsidRPr="00000000" w14:paraId="0000001B">
            <w:pPr>
              <w:jc w:val="center"/>
              <w:rPr>
                <w:color w:val="1f3864"/>
                <w:sz w:val="18"/>
                <w:szCs w:val="18"/>
              </w:rPr>
            </w:pPr>
            <w:r w:rsidDel="00000000" w:rsidR="00000000" w:rsidRPr="00000000">
              <w:rPr>
                <w:color w:val="1f3864"/>
                <w:sz w:val="18"/>
                <w:szCs w:val="18"/>
                <w:rtl w:val="0"/>
              </w:rPr>
              <w:t xml:space="preserve">Estado de avance</w:t>
            </w:r>
          </w:p>
        </w:tc>
        <w:tc>
          <w:tcPr>
            <w:tcBorders>
              <w:bottom w:color="6fa8dc" w:space="0" w:sz="6" w:val="single"/>
            </w:tcBorders>
            <w:vAlign w:val="center"/>
          </w:tcPr>
          <w:p w:rsidR="00000000" w:rsidDel="00000000" w:rsidP="00000000" w:rsidRDefault="00000000" w:rsidRPr="00000000" w14:paraId="0000001C">
            <w:pPr>
              <w:jc w:val="center"/>
              <w:rPr>
                <w:color w:val="1f3864"/>
                <w:sz w:val="18"/>
                <w:szCs w:val="18"/>
              </w:rPr>
            </w:pPr>
            <w:r w:rsidDel="00000000" w:rsidR="00000000" w:rsidRPr="00000000">
              <w:rPr>
                <w:color w:val="1f3864"/>
                <w:sz w:val="18"/>
                <w:szCs w:val="18"/>
                <w:rtl w:val="0"/>
              </w:rPr>
              <w:t xml:space="preserve">Ajustes</w:t>
            </w:r>
          </w:p>
        </w:tc>
      </w:tr>
      <w:tr>
        <w:trPr>
          <w:cantSplit w:val="0"/>
          <w:trHeight w:val="971.8652343749999"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r w:rsidDel="00000000" w:rsidR="00000000" w:rsidRPr="00000000">
              <w:rPr>
                <w:rtl w:val="0"/>
              </w:rPr>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de requerimientos</w:t>
            </w:r>
            <w:r w:rsidDel="00000000" w:rsidR="00000000" w:rsidRPr="00000000">
              <w:rPr>
                <w:rtl w:val="0"/>
              </w:rPr>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Grabaciones, reuniones</w:t>
            </w:r>
            <w:r w:rsidDel="00000000" w:rsidR="00000000" w:rsidRPr="00000000">
              <w:rPr>
                <w:rtl w:val="0"/>
              </w:rPr>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Elías</w:t>
            </w:r>
            <w:r w:rsidDel="00000000" w:rsidR="00000000" w:rsidRPr="00000000">
              <w:rPr>
                <w:rtl w:val="0"/>
              </w:rPr>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Favorece la precisión, genera confianza con la comunidad</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Completado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Ninguno. Es la base para el desarrollo.</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Base de datos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BD (DER, normalización y documentación)</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Draw.io, MySQL</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Yerko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requiere el modelo lógico para pasar a la implementación.</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Completado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Ninguno.</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Base de datos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del Modelo Físico (backup.sql)</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MySQL Workbench, SGBD elegido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Yerko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PRIORIDAD: Es el script ejecutable. Necesario para que Fabián inicie el backend.</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curso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define como actividad bloqueante e inmediata a partir del DER.</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software</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arquitectura (Offline-First)</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Draw.io, Lucidchart, Documentación</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Elías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arquitectura híbrida debe guiar la lógica de sincronización de datos.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curso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formaliza la necesidad del modelo híbrido offline-first para la resiliencia del sistema.</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UI/UX</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Refinamiento a Prototipo de Alta Fidelidad</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Figma (Link), Código base del Mockup</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Yerko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FACILITADOR: La existencia del mockup en Figma acelera este paso. DIFICULTAD: Requiere validación final de la APR.</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Ajustada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pasa de mockup estático a prototipo interactivo funcional para validación de usabilidad.</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y Configuración de Repositorio Git</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GitHub/GitLab</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 semanas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PRIORIDAD ABSOLUTA: Permite la colaboración simultánea y el control de versiones.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iniciado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agrega como actividad bloqueante previa a la codificación.</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Módulo de Facturación - Backend (API)</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Node.js (Express), MySQL, Postman</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Fabián</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DIFICULTAD: Revisión semanal de endpoints. Depende totalmente del Modelo Físico (backup.sql) generado por Yerko.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curso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inicia con el diseño de la API (esquemas y rutas) esperando el DDL de la BD.</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Módulo de Facturación - Frontend (Vistas)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React/IONIC, Código base del Mockup</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Yerko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DIFICULTAD: Depende de que la API del Backend esté estable para realizar las peticiones de datos.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iniciado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mantiene la dependencia con el backend de Fabián.</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Pagos en Línea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 WEBPAY (u otro), Documentación</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Elías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DIFICULTAD: Posible dependencia de pruebas sandbox y requisitos legales/técnicos de la pasarela de pago.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iniciado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mantiene.</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 de Alertas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Firebase, API REST</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Fabián</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DIFICULTAD: Depende de la conectividad y de los endpoints de notificaciones bien definidos.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iniciado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mantiene.</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QA/Gestión de Calidad</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unitarias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Jest, Postman, Dataset Simulados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Yerko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DIFICULTAD: Se requiere crear un dataset simulado que cubra casos límite de facturación.</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iniciado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mantiene.</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QA/Gestión de Calidad</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de integración</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Entorno de prueba (Servidor local)</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Fabián</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DIFICULTAD: Requiere que todos los módulos estén funcionales para verificar la interacción.</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iniciado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mantiene.</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QA/Gestión de Calidad</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con usuarios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Datos reales (controlados)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Elías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DIFICULTAD/RIESGO: Posible resistencia al cambio por parte de los usuarios de la APR.</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iniciado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mantiene.</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manuales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Word, Canva, PPT</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Fabián</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Revisión docente previa.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iniciado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mantiene.</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Capacitación al personal</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Manuales, PPT</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Yerko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FACILITADOR: El prototipo interactivo ayuda a la capacitación.</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iniciado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mantiene.</w:t>
            </w:r>
          </w:p>
        </w:tc>
      </w:tr>
      <w:tr>
        <w:trPr>
          <w:cantSplit w:val="0"/>
          <w:trHeight w:val="2410" w:hRule="atLeast"/>
          <w:tblHeader w:val="0"/>
        </w:trPr>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Despliegue inicial</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Servidor local + hosting</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Monitoreo post–implementación.</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iniciado</w:t>
            </w:r>
          </w:p>
        </w:tc>
        <w:tc>
          <w:tcPr>
            <w:tcBorders>
              <w:top w:color="6fa8dc" w:space="0" w:sz="6" w:val="single"/>
              <w:left w:color="6fa8dc" w:space="0" w:sz="6" w:val="single"/>
              <w:bottom w:color="6fa8dc" w:space="0" w:sz="6" w:val="single"/>
              <w:right w:color="6fa8d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mantiene.</w:t>
            </w:r>
          </w:p>
        </w:tc>
      </w:tr>
    </w:tbl>
    <w:p w:rsidR="00000000" w:rsidDel="00000000" w:rsidP="00000000" w:rsidRDefault="00000000" w:rsidRPr="00000000" w14:paraId="0000009D">
      <w:pPr>
        <w:rPr>
          <w:color w:val="595959"/>
          <w:sz w:val="24"/>
          <w:szCs w:val="24"/>
        </w:rPr>
      </w:pPr>
      <w:r w:rsidDel="00000000" w:rsidR="00000000" w:rsidRPr="00000000">
        <w:rPr>
          <w:rtl w:val="0"/>
        </w:rPr>
      </w:r>
    </w:p>
    <w:tbl>
      <w:tblPr>
        <w:tblStyle w:val="Table3"/>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50"/>
        <w:gridCol w:w="7095"/>
        <w:tblGridChange w:id="0">
          <w:tblGrid>
            <w:gridCol w:w="2550"/>
            <w:gridCol w:w="7095"/>
          </w:tblGrid>
        </w:tblGridChange>
      </w:tblGrid>
      <w:tr>
        <w:trPr>
          <w:cantSplit w:val="0"/>
          <w:tblHeader w:val="0"/>
        </w:trPr>
        <w:tc>
          <w:tcPr>
            <w:vAlign w:val="center"/>
          </w:tcPr>
          <w:p w:rsidR="00000000" w:rsidDel="00000000" w:rsidP="00000000" w:rsidRDefault="00000000" w:rsidRPr="00000000" w14:paraId="0000009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Durante el desarrollo del proyecto APT, se han logrado avances significativos en varias de las actividades planificadas. En esta etapa, se completaron los siguientes elementos: el modelo de base de datos, elaborado por Yerko, junto con los mockups del sistema y levantamiento de requerimientos, desarrollados por Fabián, ambos marcados como finalizados (o en desarrollo) y diagrama de contexto por Elias. Estos entregables representan un progreso importante, ya que permiten definir con mayor claridad la estructura de la información y el diseño de la interfaz de usuario.</w:t>
            </w:r>
          </w:p>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Actualmente, se encuentra pendiente la generación del archivo backup.sql, también a cargo de Yerko, para el respaldo y despliegue de la base de datos. Por otra parte, Elías continúa con el modelo de arquitectura, el cual está en desarrollo, mientras que el modelo de despliegue aún no ha sido iniciado. Finalmente, el repositorio Git también se mantiene pendiente, paso fundamental para centralizar el control de versiones y la colaboración del equipo.</w:t>
            </w:r>
          </w:p>
          <w:p w:rsidR="00000000" w:rsidDel="00000000" w:rsidP="00000000" w:rsidRDefault="00000000" w:rsidRPr="00000000" w14:paraId="000000A1">
            <w:pPr>
              <w:jc w:val="both"/>
              <w:rPr>
                <w:i w:val="1"/>
                <w:color w:val="548dd4"/>
                <w:sz w:val="20"/>
                <w:szCs w:val="20"/>
              </w:rPr>
            </w:pPr>
            <w:r w:rsidDel="00000000" w:rsidR="00000000" w:rsidRPr="00000000">
              <w:rPr>
                <w:sz w:val="20"/>
                <w:szCs w:val="20"/>
                <w:rtl w:val="0"/>
              </w:rPr>
              <w:t xml:space="preserve">Hasta el momento, se han cumplido los objetivos específicos asociados a la definición del modelo de datos y la presentación visual del sistema. No se han registrado ajustes importantes en los objetivos ni en la metodología, aunque se prevé incorporar mejoras en la organización y gestión del repositorio para optimizar el flujo de trabajo en las próximas etapas.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A2">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En este informe se presentan dos evidencias principales: el modelo de base de datos el mockup. El modelo de base de datos muestra cómo se organizará la información en el sistema, mientras que los mockups ofrecen una idea clara del diseño y la interfaz que tendrá el usuario.</w:t>
            </w:r>
          </w:p>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Estas evidencias reflejan el avance real en el proyecto, mostrando que ya se definieron partes claves tanto técnicas como visuales.</w:t>
            </w:r>
          </w:p>
        </w:tc>
      </w:tr>
      <w:tr>
        <w:trPr>
          <w:cantSplit w:val="0"/>
          <w:trHeight w:val="440" w:hRule="atLeast"/>
          <w:tblHeader w:val="0"/>
        </w:trPr>
        <w:tc>
          <w:tcPr>
            <w:vAlign w:val="center"/>
          </w:tcPr>
          <w:p w:rsidR="00000000" w:rsidDel="00000000" w:rsidP="00000000" w:rsidRDefault="00000000" w:rsidRPr="00000000" w14:paraId="000000A5">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A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A7">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8">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A">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AB">
            <w:pPr>
              <w:jc w:val="both"/>
              <w:rPr>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sz w:val="20"/>
                <w:szCs w:val="20"/>
                <w:rtl w:val="0"/>
              </w:rPr>
              <w:t xml:space="preserve">Un factor que ha facilitado el desarrollo del proyecto es la comunicación dentro del equipo, que permitió retomar y avanzar en las actividades cuando se ejecutó bien. Sin embargo, la falta de supervisión y seguimiento constante por parte de nosotros mismos  afectó negativamente el progreso, provocando retrasos y actividades incompletas.</w:t>
            </w:r>
          </w:p>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Para solucionar estas dificultades, se planifica reactivar la comunicación y las interacciones dentro del equipo, organizando mejor las tareas y los tiempos según la carta Gantt. Se realizarán reuniones periódicas para supervisar el avance y apoyar a quienes tengan problemas, buscando así mantener el flujo de trabajo eficiente y detectar obstáculos a tiempo.</w:t>
            </w:r>
          </w:p>
          <w:p w:rsidR="00000000" w:rsidDel="00000000" w:rsidP="00000000" w:rsidRDefault="00000000" w:rsidRPr="00000000" w14:paraId="000000AD">
            <w:pPr>
              <w:jc w:val="both"/>
              <w:rPr>
                <w:rFonts w:ascii="Calibri" w:cs="Calibri" w:eastAsia="Calibri" w:hAnsi="Calibri"/>
                <w:i w:val="1"/>
                <w:color w:val="548dd4"/>
                <w:sz w:val="20"/>
                <w:szCs w:val="20"/>
              </w:rPr>
            </w:pPr>
            <w:r w:rsidDel="00000000" w:rsidR="00000000" w:rsidRPr="00000000">
              <w:rPr>
                <w:sz w:val="20"/>
                <w:szCs w:val="20"/>
                <w:rtl w:val="0"/>
              </w:rPr>
              <w:t xml:space="preserve">Esta reflexión ha permitido identificar la importancia de una supervisión más constante y una mejor coordinación para que el equipo pueda cumplir con los objetivos en los tiempos establecidos.</w:t>
            </w:r>
            <w:r w:rsidDel="00000000" w:rsidR="00000000" w:rsidRPr="00000000">
              <w:rPr>
                <w:rtl w:val="0"/>
              </w:rPr>
            </w:r>
          </w:p>
        </w:tc>
      </w:tr>
    </w:tbl>
    <w:p w:rsidR="00000000" w:rsidDel="00000000" w:rsidP="00000000" w:rsidRDefault="00000000" w:rsidRPr="00000000" w14:paraId="000000AE">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AF">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sz w:val="20"/>
                <w:szCs w:val="20"/>
                <w:rtl w:val="0"/>
              </w:rPr>
              <w:t xml:space="preserve">Hasta ahora, se realizaron algunos ajustes en el plan de trabajo principalmente debido a retrasos en la supervisión y seguimiento de las actividades. Algunas tareas se han reprogramado para acomodar mejor los tiempos y asegurar la entrega de productos como el archivo backup.sql y el modelo de despliegue, pendientes hasta ahora.</w:t>
            </w:r>
            <w:r w:rsidDel="00000000" w:rsidR="00000000" w:rsidRPr="00000000">
              <w:rPr>
                <w:rtl w:val="0"/>
              </w:rPr>
            </w:r>
          </w:p>
        </w:tc>
      </w:tr>
    </w:tbl>
    <w:p w:rsidR="00000000" w:rsidDel="00000000" w:rsidP="00000000" w:rsidRDefault="00000000" w:rsidRPr="00000000" w14:paraId="000000B0">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B1">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B2">
            <w:pPr>
              <w:jc w:val="both"/>
              <w:rPr>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sz w:val="20"/>
                <w:szCs w:val="20"/>
                <w:rtl w:val="0"/>
              </w:rPr>
              <w:t xml:space="preserve">Las actividades que aún no se han iniciado o están retrasadas son principalmente el archivo backup.sql y el modelo de despliegue, así como la creación del repositorio Git.</w:t>
            </w:r>
          </w:p>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Para avanzar y evitar que estos retrasos afecten el proyecto, se implementarán las siguientes estrategias: activar reuniones periódicas de seguimiento para supervisar el progreso, organizar mejor las tareas con tiempos claros en la carta Gantt, fomentar la comunicación continua dentro del equipo, y brindar apoyo inmediato a quienes enfrenten dificultades, estas acciones ayudarán a recuperar el tiempo perdido y asegurar que el proyecto APT cumpla con los plazos establecidos.</w:t>
            </w:r>
          </w:p>
          <w:p w:rsidR="00000000" w:rsidDel="00000000" w:rsidP="00000000" w:rsidRDefault="00000000" w:rsidRPr="00000000" w14:paraId="000000B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B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B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B7">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B9">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BA">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1">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widowControl w:val="0"/>
      <w:spacing w:after="0" w:line="276" w:lineRule="auto"/>
      <w:rPr>
        <w:color w:val="595959"/>
        <w:sz w:val="20"/>
        <w:szCs w:val="20"/>
      </w:rPr>
    </w:pPr>
    <w:r w:rsidDel="00000000" w:rsidR="00000000" w:rsidRPr="00000000">
      <w:rPr>
        <w:rtl w:val="0"/>
      </w:rPr>
    </w:r>
  </w:p>
  <w:tbl>
    <w:tblPr>
      <w:tblStyle w:val="Table8"/>
      <w:tblpPr w:leftFromText="180" w:rightFromText="180" w:topFromText="180" w:bottomFromText="180" w:vertAnchor="text" w:horzAnchor="text" w:tblpX="-695.9999999999997" w:tblpY="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B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0">
    <w:pPr>
      <w:tabs>
        <w:tab w:val="center" w:leader="none" w:pos="4419"/>
        <w:tab w:val="right" w:leader="none" w:pos="8838"/>
      </w:tabs>
      <w:spacing w:after="0" w:line="240" w:lineRule="auto"/>
      <w:rPr>
        <w:color w:val="595959"/>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NWgMZmgNWI9IrjSMH6dNZaGsYg==">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