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6"/>
        </w:rPr>
        <w:t>UNIVERSIDAD DEL MAGDALENA</w:t>
      </w:r>
    </w:p>
    <w:p>
      <w:pPr>
        <w:jc w:val="center"/>
      </w:pPr>
      <w:r>
        <w:rPr>
          <w:color w:val="595959"/>
        </w:rPr>
        <w:t>Automatización de Operaciones</w:t>
      </w:r>
    </w:p>
    <w:p/>
    <w:p>
      <w:pPr>
        <w:pStyle w:val="Title"/>
        <w:jc w:val="center"/>
      </w:pPr>
      <w:r>
        <w:t>INFORME DE LABORATORIO 7</w:t>
      </w:r>
    </w:p>
    <w:p>
      <w:pPr>
        <w:jc w:val="center"/>
      </w:pPr>
      <w:r>
        <w:rPr>
          <w:b/>
          <w:color w:val="2F5597"/>
          <w:sz w:val="30"/>
        </w:rPr>
        <w:t>Pantalla LCD I2C y visualización de datos con Teleplot</w:t>
      </w:r>
    </w:p>
    <w:p/>
    <w:tbl>
      <w:tblPr>
        <w:tblW w:type="auto" w:w="0"/>
        <w:jc w:val="center"/>
        <w:tblLook w:firstColumn="1" w:firstRow="1" w:lastColumn="0" w:lastRow="0" w:noHBand="0" w:noVBand="1" w:val="04A0"/>
      </w:tblPr>
      <w:tblGrid>
        <w:gridCol w:w="4896"/>
        <w:gridCol w:w="4896"/>
      </w:tblGrid>
      <w:tr>
        <w:tc>
          <w:tcPr>
            <w:tcW w:type="dxa" w:w="4896"/>
            <w:shd w:fill="D9EAF7"/>
            <w:tcMar>
              <w:top w:w="100" w:type="dxa"/>
              <w:start w:w="120" w:type="dxa"/>
              <w:bottom w:w="100" w:type="dxa"/>
              <w:end w:w="120" w:type="dxa"/>
            </w:tcMar>
            <w:vAlign w:val="center"/>
          </w:tcPr>
          <w:p>
            <w:r>
              <w:rPr>
                <w:b/>
              </w:rPr>
              <w:t>Estudiantes</w:t>
            </w:r>
          </w:p>
        </w:tc>
        <w:tc>
          <w:tcPr>
            <w:tcW w:type="dxa" w:w="4896"/>
            <w:shd w:fill="F7F9FC"/>
            <w:tcMar>
              <w:top w:w="100" w:type="dxa"/>
              <w:start w:w="120" w:type="dxa"/>
              <w:bottom w:w="100" w:type="dxa"/>
              <w:end w:w="120" w:type="dxa"/>
            </w:tcMar>
            <w:vAlign w:val="center"/>
          </w:tcPr>
          <w:p>
            <w:r>
              <w:t>Elias José Parra y Edwin Calderón</w:t>
            </w:r>
          </w:p>
        </w:tc>
      </w:tr>
      <w:tr>
        <w:tc>
          <w:tcPr>
            <w:tcW w:type="dxa" w:w="4896"/>
            <w:shd w:fill="D9EAF7"/>
            <w:tcMar>
              <w:top w:w="100" w:type="dxa"/>
              <w:start w:w="120" w:type="dxa"/>
              <w:bottom w:w="100" w:type="dxa"/>
              <w:end w:w="120" w:type="dxa"/>
            </w:tcMar>
            <w:vAlign w:val="center"/>
          </w:tcPr>
          <w:p>
            <w:r>
              <w:rPr>
                <w:b/>
              </w:rPr>
              <w:t>Profesor</w:t>
            </w:r>
          </w:p>
        </w:tc>
        <w:tc>
          <w:tcPr>
            <w:tcW w:type="dxa" w:w="4896"/>
            <w:shd w:fill="F7F9FC"/>
            <w:tcMar>
              <w:top w:w="100" w:type="dxa"/>
              <w:start w:w="120" w:type="dxa"/>
              <w:bottom w:w="100" w:type="dxa"/>
              <w:end w:w="120" w:type="dxa"/>
            </w:tcMar>
            <w:vAlign w:val="center"/>
          </w:tcPr>
          <w:p>
            <w:r>
              <w:t>Gian Carlo Daraviña Peña</w:t>
            </w:r>
          </w:p>
        </w:tc>
      </w:tr>
      <w:tr>
        <w:tc>
          <w:tcPr>
            <w:tcW w:type="dxa" w:w="4896"/>
            <w:shd w:fill="D9EAF7"/>
            <w:tcMar>
              <w:top w:w="100" w:type="dxa"/>
              <w:start w:w="120" w:type="dxa"/>
              <w:bottom w:w="100" w:type="dxa"/>
              <w:end w:w="120" w:type="dxa"/>
            </w:tcMar>
            <w:vAlign w:val="center"/>
          </w:tcPr>
          <w:p>
            <w:r>
              <w:rPr>
                <w:b/>
              </w:rPr>
              <w:t>Asignatura</w:t>
            </w:r>
          </w:p>
        </w:tc>
        <w:tc>
          <w:tcPr>
            <w:tcW w:type="dxa" w:w="4896"/>
            <w:shd w:fill="F7F9FC"/>
            <w:tcMar>
              <w:top w:w="100" w:type="dxa"/>
              <w:start w:w="120" w:type="dxa"/>
              <w:bottom w:w="100" w:type="dxa"/>
              <w:end w:w="120" w:type="dxa"/>
            </w:tcMar>
            <w:vAlign w:val="center"/>
          </w:tcPr>
          <w:p>
            <w:r>
              <w:t>Automatización de Operaciones</w:t>
            </w:r>
          </w:p>
        </w:tc>
      </w:tr>
      <w:tr>
        <w:tc>
          <w:tcPr>
            <w:tcW w:type="dxa" w:w="4896"/>
            <w:shd w:fill="D9EAF7"/>
            <w:tcMar>
              <w:top w:w="100" w:type="dxa"/>
              <w:start w:w="120" w:type="dxa"/>
              <w:bottom w:w="100" w:type="dxa"/>
              <w:end w:w="120" w:type="dxa"/>
            </w:tcMar>
            <w:vAlign w:val="center"/>
          </w:tcPr>
          <w:p>
            <w:r>
              <w:rPr>
                <w:b/>
              </w:rPr>
              <w:t>Fecha</w:t>
            </w:r>
          </w:p>
        </w:tc>
        <w:tc>
          <w:tcPr>
            <w:tcW w:type="dxa" w:w="4896"/>
            <w:shd w:fill="F7F9FC"/>
            <w:tcMar>
              <w:top w:w="100" w:type="dxa"/>
              <w:start w:w="120" w:type="dxa"/>
              <w:bottom w:w="100" w:type="dxa"/>
              <w:end w:w="120" w:type="dxa"/>
            </w:tcMar>
            <w:vAlign w:val="center"/>
          </w:tcPr>
          <w:p>
            <w:r>
              <w:t>____________________________</w:t>
            </w:r>
          </w:p>
        </w:tc>
      </w:tr>
    </w:tbl>
    <w:p>
      <w:r>
        <w:br w:type="page"/>
      </w:r>
    </w:p>
    <w:p>
      <w:pPr>
        <w:pStyle w:val="Heading1"/>
      </w:pPr>
      <w:r>
        <w:t>1. Introducción</w:t>
      </w:r>
    </w:p>
    <w:p>
      <w:r>
        <w:t>En el laboratorio 7 combinamos una pantalla LCD I2C, la comunicación serial y Teleplot. El programa incluyó una secuencia de inicio en la pantalla y dos alternativas de trabajo: graficar una lectura analógica junto con sus funciones seno y coseno, o generar una onda senoidal a partir de un valor recibido desde el monitor serial.</w:t>
      </w:r>
    </w:p>
    <w:p>
      <w:pPr>
        <w:pStyle w:val="Heading1"/>
      </w:pPr>
      <w:r>
        <w:t>2. Objetivo</w:t>
      </w:r>
    </w:p>
    <w:p>
      <w:r>
        <w:t>Visualizar información en una pantalla LCD y enviar datos identificados por el puerto serial para representarlos gráficamente en Teleplot.</w:t>
      </w:r>
    </w:p>
    <w:p>
      <w:pPr>
        <w:pStyle w:val="Heading1"/>
      </w:pPr>
      <w:r>
        <w:t>3. Materiales y recursos</w:t>
      </w:r>
    </w:p>
    <w:p>
      <w:pPr>
        <w:pStyle w:val="ListBullet"/>
      </w:pPr>
      <w:r>
        <w:t>Arduino UNO</w:t>
      </w:r>
    </w:p>
    <w:p>
      <w:pPr>
        <w:pStyle w:val="ListBullet"/>
      </w:pPr>
      <w:r>
        <w:t>Pantalla LCD 16×2 con módulo I2C</w:t>
      </w:r>
    </w:p>
    <w:p>
      <w:pPr>
        <w:pStyle w:val="ListBullet"/>
      </w:pPr>
      <w:r>
        <w:t>Elemento de entrada analógica para el pin A0</w:t>
      </w:r>
    </w:p>
    <w:p>
      <w:pPr>
        <w:pStyle w:val="ListBullet"/>
      </w:pPr>
      <w:r>
        <w:t>Cables de conexión y cable USB</w:t>
      </w:r>
    </w:p>
    <w:p>
      <w:pPr>
        <w:pStyle w:val="ListBullet"/>
      </w:pPr>
      <w:r>
        <w:t>Computador con entorno de Arduino y Teleplot</w:t>
      </w:r>
    </w:p>
    <w:p>
      <w:pPr>
        <w:pStyle w:val="Heading1"/>
      </w:pPr>
      <w:r>
        <w:t>4. Desarrollo de la práctica</w:t>
      </w:r>
    </w:p>
    <w:p>
      <w:r>
        <w:t>Al iniciar, la pantalla LCD presentó varios mensajes: “Hola Mundo”, “2026 C++”, una secuencia de puntos y finalmente “***Iniciando***”. Esta secuencia sirvió como una pequeña presentación del sistema antes de ejecutar el procesamiento de datos.</w:t>
      </w:r>
    </w:p>
    <w:p>
      <w:r>
        <w:t>El código fue organizado con directivas de preprocesamiento. En CODE_1 se podía leer el pin A0, mapear la lectura de 0–1023 a 0–10, mostrarla en la LCD y enviar a Teleplot tres series: A0, seno y coseno. En el archivo entregado quedó activa CODE_2. Esta parte recibe un valor decimal por el puerto serial, calcula una onda senoidal y envía cada resultado con la etiqueta “&gt;Onda_sin:” para graficarlo dinámicamente.</w:t>
      </w:r>
    </w:p>
    <w:p>
      <w:r>
        <w:t>También se utilizó una variable de tiempo que aumenta en cada repetición. Gracias a este incremento, el valor de la función cambia continuamente y se puede observar la forma de la onda en la gráfica.</w:t>
      </w:r>
    </w:p>
    <w:p>
      <w:pPr>
        <w:pStyle w:val="Heading1"/>
      </w:pPr>
      <w:r>
        <w:t>5. Código utilizado</w:t>
      </w:r>
    </w:p>
    <w:tbl>
      <w:tblPr>
        <w:tblW w:type="auto" w:w="0"/>
        <w:jc w:val="center"/>
        <w:tblLook w:firstColumn="1" w:firstRow="1" w:lastColumn="0" w:lastRow="0" w:noHBand="0" w:noVBand="1" w:val="04A0"/>
      </w:tblPr>
      <w:tblGrid>
        <w:gridCol w:w="9792"/>
      </w:tblGrid>
      <w:tr>
        <w:tc>
          <w:tcPr>
            <w:tcW w:type="dxa" w:w="9792"/>
            <w:shd w:fill="F3F3F3"/>
            <w:tcMar>
              <w:top w:w="130" w:type="dxa"/>
              <w:start w:w="150" w:type="dxa"/>
              <w:bottom w:w="130" w:type="dxa"/>
              <w:end w:w="150" w:type="dxa"/>
            </w:tcMar>
          </w:tcPr>
          <w:p>
            <w:pPr>
              <w:spacing w:after="0"/>
            </w:pPr>
            <w:r>
              <w:rPr>
                <w:rFonts w:ascii="Consolas" w:hAnsi="Consolas"/>
                <w:sz w:val="15"/>
              </w:rPr>
              <w:t>#include &lt;Arduino.h&gt;</w:t>
              <w:br/>
              <w:t>#include &lt;LiquidCrystal_I2C.h&gt;</w:t>
              <w:br/>
              <w:t>#define myserial Serial</w:t>
              <w:br/>
              <w:t>#define BAUDRATE 9600</w:t>
              <w:br/>
              <w:t>#define DIR 0x27</w:t>
              <w:br/>
              <w:t>LiquidCrystal_I2C lcd(DIR,16,2);</w:t>
              <w:br/>
              <w:t>int pinA0 = A0;</w:t>
              <w:br/>
              <w:t>int datos_analog = 0;</w:t>
              <w:br/>
              <w:t>#define CODE_2</w:t>
              <w:br/>
              <w:t>float int_data_serial = 0;</w:t>
              <w:br/>
              <w:t>float tiempo = 0.0;</w:t>
              <w:br/>
              <w:br/>
              <w:t>void setup() {</w:t>
              <w:br/>
              <w:t xml:space="preserve">  myserial.begin(BAUDRATE);</w:t>
              <w:br/>
              <w:t xml:space="preserve">  lcd.init();</w:t>
              <w:br/>
              <w:t xml:space="preserve">  lcd.backlight();</w:t>
              <w:br/>
              <w:t xml:space="preserve">  lcd.setCursor(0,0);</w:t>
              <w:br/>
              <w:t xml:space="preserve">  lcd.print("Hola Mundo"); delay(1000); lcd.clear();</w:t>
              <w:br/>
              <w:t xml:space="preserve">  lcd.print("2026 C++"); delay(1000); lcd.clear();</w:t>
              <w:br/>
              <w:t xml:space="preserve">  for (size_t i=0; i&lt;5; i++) { lcd.print("."); delay(1000); }</w:t>
              <w:br/>
              <w:t xml:space="preserve">  lcd.clear(); lcd.print("***Iniciando***");</w:t>
              <w:br/>
              <w:t xml:space="preserve">  delay(1000); lcd.clear();</w:t>
              <w:br/>
              <w:t>}</w:t>
              <w:br/>
              <w:br/>
              <w:t>void loop() {</w:t>
              <w:br/>
              <w:t>#ifdef CODE_2</w:t>
              <w:br/>
              <w:t xml:space="preserve">  if (myserial.availableForWrite()) {</w:t>
              <w:br/>
              <w:t xml:space="preserve">    if (myserial.available() &gt; 0) {</w:t>
              <w:br/>
              <w:t xml:space="preserve">      int_data_serial = myserial.parseFloat(SKIP_ALL);</w:t>
              <w:br/>
              <w:t xml:space="preserve">      delay(50);</w:t>
              <w:br/>
              <w:t xml:space="preserve">    }</w:t>
              <w:br/>
              <w:t xml:space="preserve">  }</w:t>
              <w:br/>
              <w:t xml:space="preserve">  float wave = 3.0*sin(2.0*(int_data_serial*tiempo-PI/4))+1.0;</w:t>
              <w:br/>
              <w:t xml:space="preserve">  tiempo = tiempo + 0.5;</w:t>
              <w:br/>
              <w:t xml:space="preserve">  myserial.print("&gt;Onda_sin:");</w:t>
              <w:br/>
              <w:t xml:space="preserve">  myserial.println(wave);</w:t>
              <w:br/>
              <w:t xml:space="preserve">  delay(50);</w:t>
              <w:br/>
              <w:t>#endif</w:t>
              <w:br/>
              <w:t>}</w:t>
            </w:r>
          </w:p>
        </w:tc>
      </w:tr>
    </w:tbl>
    <w:p>
      <w:pPr>
        <w:pStyle w:val="Heading1"/>
      </w:pPr>
      <w:r>
        <w:t>6. Evidencias</w:t>
      </w:r>
    </w:p>
    <w:tbl>
      <w:tblPr>
        <w:tblW w:type="auto" w:w="0"/>
        <w:jc w:val="center"/>
        <w:tblLook w:firstColumn="1" w:firstRow="1" w:lastColumn="0" w:lastRow="0" w:noHBand="0" w:noVBand="1" w:val="04A0"/>
      </w:tblPr>
      <w:tblGrid>
        <w:gridCol w:w="9792"/>
      </w:tblGrid>
      <w:tr>
        <w:tc>
          <w:tcPr>
            <w:tcW w:type="dxa" w:w="9792"/>
            <w:shd w:fill="F2F5F9"/>
            <w:tcMar>
              <w:top w:w="360" w:type="dxa"/>
              <w:start w:w="150" w:type="dxa"/>
              <w:bottom w:w="360" w:type="dxa"/>
              <w:end w:w="150" w:type="dxa"/>
            </w:tcMar>
          </w:tcPr>
          <w:p>
            <w:pPr>
              <w:jc w:val="center"/>
            </w:pPr>
            <w:r>
              <w:rPr>
                <w:b/>
                <w:color w:val="2F5597"/>
                <w:sz w:val="22"/>
              </w:rPr>
              <w:t>FOTOGRAFÍA 1</w:t>
              <w:br/>
            </w:r>
            <w:r>
              <w:rPr>
                <w:i/>
                <w:color w:val="6E6E6E"/>
                <w:sz w:val="19"/>
              </w:rPr>
              <w:t>Inserte aquí una fotografía de la práctica</w:t>
            </w:r>
          </w:p>
        </w:tc>
      </w:tr>
    </w:tbl>
    <w:p>
      <w:pPr>
        <w:jc w:val="center"/>
      </w:pPr>
      <w:r>
        <w:rPr>
          <w:i/>
          <w:sz w:val="18"/>
        </w:rPr>
        <w:t>Figura 1. Secuencia de inicio mostrada en la pantalla LCD.</w:t>
      </w:r>
    </w:p>
    <w:tbl>
      <w:tblPr>
        <w:tblW w:type="auto" w:w="0"/>
        <w:jc w:val="center"/>
        <w:tblLook w:firstColumn="1" w:firstRow="1" w:lastColumn="0" w:lastRow="0" w:noHBand="0" w:noVBand="1" w:val="04A0"/>
      </w:tblPr>
      <w:tblGrid>
        <w:gridCol w:w="9792"/>
      </w:tblGrid>
      <w:tr>
        <w:tc>
          <w:tcPr>
            <w:tcW w:type="dxa" w:w="9792"/>
            <w:shd w:fill="F2F5F9"/>
            <w:tcMar>
              <w:top w:w="360" w:type="dxa"/>
              <w:start w:w="150" w:type="dxa"/>
              <w:bottom w:w="360" w:type="dxa"/>
              <w:end w:w="150" w:type="dxa"/>
            </w:tcMar>
          </w:tcPr>
          <w:p>
            <w:pPr>
              <w:jc w:val="center"/>
            </w:pPr>
            <w:r>
              <w:rPr>
                <w:b/>
                <w:color w:val="2F5597"/>
                <w:sz w:val="22"/>
              </w:rPr>
              <w:t>FOTOGRAFÍA 2</w:t>
              <w:br/>
            </w:r>
            <w:r>
              <w:rPr>
                <w:i/>
                <w:color w:val="6E6E6E"/>
                <w:sz w:val="19"/>
              </w:rPr>
              <w:t>Inserte aquí una fotografía de la práctica</w:t>
            </w:r>
          </w:p>
        </w:tc>
      </w:tr>
    </w:tbl>
    <w:p>
      <w:pPr>
        <w:jc w:val="center"/>
      </w:pPr>
      <w:r>
        <w:rPr>
          <w:i/>
          <w:sz w:val="18"/>
        </w:rPr>
        <w:t>Figura 2. Gráfica de la onda senoidal observada en Teleplot.</w:t>
      </w:r>
    </w:p>
    <w:tbl>
      <w:tblPr>
        <w:tblW w:type="auto" w:w="0"/>
        <w:jc w:val="center"/>
        <w:tblLook w:firstColumn="1" w:firstRow="1" w:lastColumn="0" w:lastRow="0" w:noHBand="0" w:noVBand="1" w:val="04A0"/>
      </w:tblPr>
      <w:tblGrid>
        <w:gridCol w:w="9792"/>
      </w:tblGrid>
      <w:tr>
        <w:tc>
          <w:tcPr>
            <w:tcW w:type="dxa" w:w="9792"/>
            <w:shd w:fill="F2F5F9"/>
            <w:tcMar>
              <w:top w:w="360" w:type="dxa"/>
              <w:start w:w="150" w:type="dxa"/>
              <w:bottom w:w="360" w:type="dxa"/>
              <w:end w:w="150" w:type="dxa"/>
            </w:tcMar>
          </w:tcPr>
          <w:p>
            <w:pPr>
              <w:jc w:val="center"/>
            </w:pPr>
            <w:r>
              <w:rPr>
                <w:b/>
                <w:color w:val="2F5597"/>
                <w:sz w:val="22"/>
              </w:rPr>
              <w:t>FOTOGRAFÍA 3</w:t>
              <w:br/>
            </w:r>
            <w:r>
              <w:rPr>
                <w:i/>
                <w:color w:val="6E6E6E"/>
                <w:sz w:val="19"/>
              </w:rPr>
              <w:t>Inserte aquí una fotografía de la práctica</w:t>
            </w:r>
          </w:p>
        </w:tc>
      </w:tr>
    </w:tbl>
    <w:p>
      <w:pPr>
        <w:jc w:val="center"/>
      </w:pPr>
      <w:r>
        <w:rPr>
          <w:i/>
          <w:sz w:val="18"/>
        </w:rPr>
        <w:t>Figura 3. Montaje general del Arduino y la pantalla LCD I2C.</w:t>
      </w:r>
    </w:p>
    <w:p>
      <w:pPr>
        <w:pStyle w:val="Heading1"/>
      </w:pPr>
      <w:r>
        <w:t>7. Resultados y aprendizaje</w:t>
      </w:r>
    </w:p>
    <w:p>
      <w:r>
        <w:t>Esta práctica nos permitió comprender mejor cómo preparar los datos para una herramienta de graficación. Aprendimos que Teleplot reconoce las variables por medio de etiquetas enviadas por el puerto serial. También vimos que una ecuación matemática escrita en el programa puede convertirse en una gráfica dinámica y fácil de interpretar.</w:t>
      </w:r>
    </w:p>
    <w:p>
      <w:pPr>
        <w:pStyle w:val="Heading1"/>
      </w:pPr>
      <w:r>
        <w:t>8. Conclusión</w:t>
      </w:r>
    </w:p>
    <w:p>
      <w:r>
        <w:t>El laboratorio integró la visualización local en una pantalla LCD con la visualización gráfica en el computador. Se logró generar y transmitir una onda senoidal, reforzando el uso de comunicación serial, variables de tiempo, funciones matemáticas y directivas de preprocesamiento.</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Laboratorio 7 | Automatización de Operaciones | Universidad del Magdalena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EDWIN BELISARIO CALDERON AGUILERA</dc:creator>
  <keywords/>
  <dc:description>generated by python-docx</dc:description>
  <lastModifiedBy>EDWIN BELISARIO CALDERON AGUILERA</lastModifiedBy>
  <revision>1</revision>
  <dcterms:created xsi:type="dcterms:W3CDTF">2026-10-19T04:32:25.6390740Z</dcterms:created>
  <dcterms:modified xsi:type="dcterms:W3CDTF">2026-10-19T04:32:25.6390740Z</dcterms:modified>
  <category/>
</coreProperties>
</file>