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1.3/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Voici 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mesures concrètes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mettre la Clinique en conformité (point « Actions à entreprendre » du Rapport de conformité légale du dossier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Clinique Pasteur – Atelier pro SIO2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Gouvernance &amp; preuves de conformité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Nommer un DPO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(obligatoire pour un établissement de santé traitant à grande échelle des données sensibles) et lui donner les moyens d’agir.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Tenir un Registre des activités de traitement (RoPA)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le maintenir à jour (soins, facturation, études, RH…).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Réaliser une AIPD (DPIA)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les traitements à risque élevé (données de santé, études, registres/entrepôts). 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Bases légales, information &amp; consentement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Qualifier la base légale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soins (art. 9.2.h RGPD), recherche/intérêt public (art. 9.2.j) ou consentement explicite lorsque requis ;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rédiger les mentions d’information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remises aux patients.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Pour les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études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rattacher à une Méthodologie de Référence CNIL (MR-001/MR-004 selon le cas)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documenter consentement ou modalités de réutilisation.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Contrats &amp; hébergement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Encadrer les sous-traitants par des clauses RGPD (art. 28)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liste des accès.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l’hébergement est externe,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choisir un prestataire certifié HDS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(exigence du cadre e-santé français). (</w:t>
      </w:r>
      <w:hyperlink r:id="rId9" w:tooltip="Certification HDS - Tout savoir | e-santé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Agence du Numérique en Santé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Sécurité technique &amp; organisationnelle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Contrôles d’accès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(RBAC, comptes nominaux, MFA),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journalisation/traçabilité des accès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chiffrement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 données en transit/au repos,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sauvegardes chiffrées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testées,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segmentation réseau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gestion des correctifs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Cloisonner les environnements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(dev/recette/prod) et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durcir les postes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(EPP/EDR).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Remplacer les fichiers papier/Excel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 des applications/BDD sécurisées ; sécuriser les archives physiques (armoires fermées, politique de destruction).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Données de recherche (schéma fourni dans l’annexe)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Pseudonymiser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les données d’étude : conserver la clé d’identification séparée ; structurer la base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Etudes/Inclusions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éviter tout accès aux identités non nécessaires. (Aligné avec MR-004/MR-001.)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Durées de conservation &amp; purge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Dossier médical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définir une politique conforme (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 ans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après le dernier passage, avec règles spécifiques mineurs/décès) et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automatiser la purge/anonymisation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à échéance. (</w:t>
      </w:r>
      <w:hyperlink r:id="rId10" w:tooltip="Article R1112-7 - Code de la santé publiqu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Légifrance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Droits des personnes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Mettre en place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processus de gestion des droits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(accès, rectification, limitation, opposition/portabilité quand applicable), formulaires, délais et point de contact (DPO).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Gestion d’incident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Procédure de notification des violations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journal interne, analyse de risque,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notification à la CNIL sous 72 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et, si risque élevé, information des patients. Former une cellule de réponse. (</w:t>
      </w:r>
      <w:hyperlink r:id="rId11" w:tooltip="Art. 33 GDPR – Notification of a personal data breach ...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RGPD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Sensibilisation &amp; politique interne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tous les personnels (soins, admin, IT) au RGPD et à la sécurité santé ; adopter une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charte informatique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procédures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(accès, mots de passe, BYOD, messagerie, partage).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Ces actions, priorisées (DPO/RoPA/AIPD → sécurité/HDS → transparence/consentement → conservation → droits/incidents → formation), répondent au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« petit 3 – Actions à entreprendre 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attendu pour la mise en conformité. 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sante.gouv.fr/produits-services/hds?utm_source=chatgpt.com" TargetMode="External"/><Relationship Id="rId10" Type="http://schemas.openxmlformats.org/officeDocument/2006/relationships/hyperlink" Target="https://www.legifrance.gouv.fr/codes/article_lc/LEGIARTI000036658351/?utm_source=chatgpt.com" TargetMode="External"/><Relationship Id="rId11" Type="http://schemas.openxmlformats.org/officeDocument/2006/relationships/hyperlink" Target="https://gdpr-info.eu/art-33-gdpr/?utm_source=chatgpt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2025-09-17T14:29:41Z</dcterms:modified>
</cp:coreProperties>
</file>