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Type III ANOVA for mixed-effects model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9"/>
        <w:gridCol w:w="1193"/>
        <w:gridCol w:w="1120"/>
        <w:gridCol w:w="1267"/>
        <w:gridCol w:w="1315"/>
        <w:gridCol w:w="1169"/>
        <w:gridCol w:w="1084"/>
        <w:gridCol w:w="1707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DenDF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Sum Sq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Sq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Pr(&gt;F)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Significance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1,881.40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site:habitat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428.58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site:species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1,561.22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habitat:species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3,614.78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2,203.45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site:habitat:species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1,241.06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site:habitat:session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site:species:session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2,920.60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habitat:species:session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site:habitat:species:session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870.96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2026-05-27T10:50:26Z</dcterms:modified>
  <cp:category/>
</cp:coreProperties>
</file>