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Type III ANOVA for mixed-effects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82"/>
        <w:gridCol w:w="1193"/>
        <w:gridCol w:w="1120"/>
        <w:gridCol w:w="1230"/>
        <w:gridCol w:w="1315"/>
        <w:gridCol w:w="1169"/>
        <w:gridCol w:w="1084"/>
        <w:gridCol w:w="1707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DenDF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Pr(&gt;F)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site:habitat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habitat:species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site:habitat:species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138.7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2026-05-27T10:50:27Z</dcterms:modified>
  <cp:category/>
</cp:coreProperties>
</file>