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Type III ANOVA for mixed-effects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09"/>
        <w:gridCol w:w="1193"/>
        <w:gridCol w:w="1120"/>
        <w:gridCol w:w="1230"/>
        <w:gridCol w:w="1315"/>
        <w:gridCol w:w="1169"/>
        <w:gridCol w:w="1084"/>
        <w:gridCol w:w="1707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302.97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soilmoisture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site:soilmoisture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habitat:soilmoisture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site:habitat:soilmoisture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321.34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2026-05-27T10:50:27Z</dcterms:modified>
  <cp:category/>
</cp:coreProperties>
</file>