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Type III ANOVA for mixed-effects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1193"/>
        <w:gridCol w:w="1120"/>
        <w:gridCol w:w="1389"/>
        <w:gridCol w:w="1389"/>
        <w:gridCol w:w="1169"/>
        <w:gridCol w:w="1084"/>
        <w:gridCol w:w="1707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1,315.69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438.56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15,309.81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15,309.81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38,628.89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12,876.30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15,688.87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5,229.62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16,790.26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habitat:session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site:habitat:session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11,627.59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1,291.95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2026-05-27T10:50:31Z</dcterms:modified>
  <cp:category/>
</cp:coreProperties>
</file>