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itre1"/>
      </w:pPr>
      <w:r>
        <w:t xml:space="preserve">Type III ANOVA for mixed-effects model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061"/>
        <w:gridCol w:w="1193"/>
        <w:gridCol w:w="1120"/>
        <w:gridCol w:w="1267"/>
        <w:gridCol w:w="1315"/>
        <w:gridCol w:w="1169"/>
        <w:gridCol w:w="1084"/>
        <w:gridCol w:w="1707"/>
      </w:tblGrid>
      <w:tr>
        <w:trPr>
          <w:trHeight w:val="617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Effect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NumDF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DenDF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Sum Sq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Mean Sq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F value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Pr(&gt;F)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Significance</w:t>
            </w:r>
          </w:p>
        </w:tc>
      </w:tr>
      <w:tr>
        <w:trPr>
          <w:trHeight w:val="572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site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153.3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846.53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282.18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1.59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0.1930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1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habitat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157.4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21.55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21.55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0.7276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NDVI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157.6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1,457.47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1,457.47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8.24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</w:t>
            </w:r>
          </w:p>
        </w:tc>
      </w:tr>
      <w:tr>
        <w:trPr>
          <w:trHeight w:val="6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site:habitat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141.9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1,062.10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354.03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0.1166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site:NDVI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155.8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1,007.98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335.99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0.1320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1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habitat:NDVI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157.6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80.91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80.91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0.4999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2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site:habitat:NDVI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141.6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837.89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279.30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1.58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0.1973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</w:tbl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2026-05-27T10:50:32Z</dcterms:modified>
  <cp:category/>
</cp:coreProperties>
</file>