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Type III ANOVA for mixed-effects model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1193"/>
        <w:gridCol w:w="1120"/>
        <w:gridCol w:w="1267"/>
        <w:gridCol w:w="1315"/>
        <w:gridCol w:w="1169"/>
        <w:gridCol w:w="1084"/>
        <w:gridCol w:w="1707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DenDF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 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Pr(&gt;F)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3,554.37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1,184.79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508.33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508.33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3,668.11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4,152.87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site:habitat:session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4,510.57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2026-05-22T11:50:20Z</dcterms:modified>
  <cp:category/>
</cp:coreProperties>
</file>