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60" w:before="0"/>
        <w:jc w:val="center"/>
      </w:pPr>
      <w:r>
        <w:rPr>
          <w:rFonts w:ascii="Arial" w:cs="Arial" w:eastAsia="Arial" w:hAnsi="Arial"/>
          <w:b/>
          <w:bCs/>
          <w:color w:val="1D9E75"/>
          <w:sz w:val="72"/>
          <w:szCs w:val="72"/>
        </w:rPr>
        <w:t xml:space="preserve">InvAR</w:t>
      </w:r>
    </w:p>
    <w:p>
      <w:pPr>
        <w:spacing w:after="80" w:before="0"/>
        <w:jc w:val="center"/>
      </w:pPr>
      <w:r>
        <w:rPr>
          <w:rFonts w:ascii="Arial" w:cs="Arial" w:eastAsia="Arial" w:hAnsi="Arial"/>
          <w:color w:val="0F3D2E"/>
          <w:sz w:val="28"/>
          <w:szCs w:val="28"/>
        </w:rPr>
        <w:t xml:space="preserve">Especificación Técnica — Plataforma de Inversiones Argentina</w:t>
      </w:r>
    </w:p>
    <w:p>
      <w:pPr>
        <w:spacing w:after="40" w:before="0"/>
        <w:jc w:val="center"/>
      </w:pPr>
      <w:r>
        <w:rPr>
          <w:rFonts w:ascii="Arial" w:cs="Arial" w:eastAsia="Arial" w:hAnsi="Arial"/>
          <w:i/>
          <w:iCs/>
          <w:color w:val="666666"/>
          <w:sz w:val="22"/>
          <w:szCs w:val="22"/>
        </w:rPr>
        <w:t xml:space="preserve">Dataset histórico · Modelo ML político-financiero · Arquitectura de datos</w:t>
      </w:r>
    </w:p>
    <w:p>
      <w:pPr>
        <w:spacing w:after="0" w:before="60"/>
        <w:jc w:val="center"/>
      </w:pPr>
      <w:r>
        <w:rPr>
          <w:rFonts w:ascii="Arial" w:cs="Arial" w:eastAsia="Arial" w:hAnsi="Arial"/>
          <w:color w:val="999999"/>
          <w:sz w:val="20"/>
          <w:szCs w:val="20"/>
        </w:rPr>
        <w:t xml:space="preserve">Versión 1.0 · Abril 2026</w:t>
      </w:r>
    </w:p>
    <w:p>
      <w:pPr>
        <w:spacing w:after="0" w:before="400"/>
      </w:pPr>
      <w:r>
        <w:t xml:space="preserve"/>
      </w:r>
    </w:p>
    <w:p>
      <w:pPr>
        <w:pBdr>
          <w:bottom w:val="single" w:color="DDDDDD" w:sz="4"/>
        </w:pBdr>
        <w:spacing w:after="120" w:before="120"/>
      </w:pPr>
      <w:r>
        <w:t xml:space="preserve"/>
      </w:r>
    </w:p>
    <w:p>
      <w:pPr>
        <w:pStyle w:val="Heading1"/>
        <w:spacing w:after="160" w:before="360"/>
      </w:pPr>
      <w:r>
        <w:rPr>
          <w:rFonts w:ascii="Arial" w:cs="Arial" w:eastAsia="Arial" w:hAnsi="Arial"/>
          <w:b/>
          <w:bCs/>
          <w:color w:val="0F3D2E"/>
          <w:sz w:val="36"/>
          <w:szCs w:val="36"/>
        </w:rPr>
        <w:t xml:space="preserve">1. Contexto y objetivo</w:t>
      </w:r>
    </w:p>
    <w:p>
      <w:pPr>
        <w:spacing w:after="80" w:before="60"/>
      </w:pPr>
      <w:r>
        <w:rPr>
          <w:rFonts w:ascii="Arial" w:cs="Arial" w:eastAsia="Arial" w:hAnsi="Arial"/>
          <w:color w:val="333333"/>
          <w:sz w:val="22"/>
          <w:szCs w:val="22"/>
        </w:rPr>
        <w:t xml:space="preserve">InvAR es una plataforma personal de análisis de inversiones para el mercado argentino. Su diferencial es un modelo de predicción que cruza señales del mundo político con movimientos de precios en BYMA, anticipando movimientos antes de que aparezcan en los datos financieros tradicionales.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3FB" w:val="clear"/>
            <w:tcMar>
              <w:top w:type="dxa" w:w="100"/>
              <w:left w:type="dxa" w:w="140"/>
              <w:bottom w:type="dxa" w:w="100"/>
              <w:right w:type="dxa" w:w="140"/>
            </w:tcMar>
          </w:tcPr>
          <w:p>
            <w:pPr>
              <w:spacing w:after="40" w:before="40"/>
            </w:pPr>
            <w:r>
              <w:rPr>
                <w:rFonts w:ascii="Arial" w:cs="Arial" w:eastAsia="Arial" w:hAnsi="Arial"/>
                <w:b/>
                <w:bCs/>
                <w:color w:val="0F3D2E"/>
                <w:sz w:val="20"/>
                <w:szCs w:val="20"/>
              </w:rPr>
              <w:t xml:space="preserve">FUNDAMENTO  </w:t>
            </w:r>
            <w:r>
              <w:rPr>
                <w:rFonts w:ascii="Arial" w:cs="Arial" w:eastAsia="Arial" w:hAnsi="Arial"/>
                <w:color w:val="333333"/>
                <w:sz w:val="20"/>
                <w:szCs w:val="20"/>
              </w:rPr>
              <w:t xml:space="preserve">Argentina opera bajo una lógica donde los eventos políticos preceden a los movimientos financieros. Un decreto del ENRE sobre tarifas impacta en PAMP y CEPU antes de que cualquier analista lo refleje en un precio objetivo.</w:t>
            </w:r>
          </w:p>
        </w:tc>
      </w:tr>
    </w:tbl>
    <w:p>
      <w:pPr>
        <w:spacing w:after="0" w:before="80"/>
      </w:pPr>
      <w:r>
        <w:t xml:space="preserve"/>
      </w:r>
    </w:p>
    <w:p>
      <w:pPr>
        <w:pStyle w:val="Heading1"/>
        <w:spacing w:after="160" w:before="360"/>
      </w:pPr>
      <w:r>
        <w:rPr>
          <w:rFonts w:ascii="Arial" w:cs="Arial" w:eastAsia="Arial" w:hAnsi="Arial"/>
          <w:b/>
          <w:bCs/>
          <w:color w:val="0F3D2E"/>
          <w:sz w:val="36"/>
          <w:szCs w:val="36"/>
        </w:rPr>
        <w:t xml:space="preserve">2. Regímenes políticos y estrategia de dataset</w:t>
      </w:r>
    </w:p>
    <w:p>
      <w:pPr>
        <w:spacing w:after="80" w:before="60"/>
      </w:pPr>
      <w:r>
        <w:rPr>
          <w:rFonts w:ascii="Arial" w:cs="Arial" w:eastAsia="Arial" w:hAnsi="Arial"/>
          <w:color w:val="333333"/>
          <w:sz w:val="22"/>
          <w:szCs w:val="22"/>
        </w:rPr>
        <w:t xml:space="preserve">Argentina atravesó una ruptura estructural en diciembre 2023. El modelo de correlación evento-precio se invirtió en múltiples sectores. Por eso el dataset se divide en capas con pesos diferenciados.</w:t>
      </w:r>
    </w:p>
    <w:p>
      <w:pPr>
        <w:spacing w:after="0" w:before="80"/>
      </w:pPr>
      <w:r>
        <w:t xml:space="preserve"/>
      </w:r>
    </w:p>
    <w:p>
      <w:pPr>
        <w:pStyle w:val="Heading2"/>
        <w:spacing w:after="120" w:before="280"/>
      </w:pPr>
      <w:r>
        <w:rPr>
          <w:rFonts w:ascii="Arial" w:cs="Arial" w:eastAsia="Arial" w:hAnsi="Arial"/>
          <w:b/>
          <w:bCs/>
          <w:color w:val="0F3D2E"/>
          <w:sz w:val="28"/>
          <w:szCs w:val="28"/>
        </w:rPr>
        <w:t xml:space="preserve">2.1 Mapa de regímenes y pesos de entrenamiento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1800"/>
        <w:gridCol w:w="2160"/>
      </w:tblGrid>
      <w:tr>
        <w:trPr>
          <w:tblHeader/>
        </w:trPr>
        <w:tc>
          <w:tcPr>
            <w:tcW w:type="dxa" w:w="2200"/>
            <w:tcBorders>
              <w:top w:val="single" w:color="CCCCCC" w:sz="1"/>
              <w:left w:val="single" w:color="CCCCCC" w:sz="1"/>
              <w:bottom w:val="single" w:color="CCCCCC" w:sz="1"/>
              <w:right w:val="single" w:color="CCCCCC" w:sz="1"/>
            </w:tcBorders>
            <w:shd w:fill="0F3D2E" w:val="clear"/>
            <w:tcMar>
              <w:top w:type="dxa" w:w="100"/>
              <w:left w:type="dxa" w:w="140"/>
              <w:bottom w:type="dxa" w:w="100"/>
              <w:right w:type="dxa" w:w="140"/>
            </w:tcMar>
          </w:tcPr>
          <w:p>
            <w:r>
              <w:rPr>
                <w:rFonts w:ascii="Arial" w:cs="Arial" w:eastAsia="Arial" w:hAnsi="Arial"/>
                <w:b/>
                <w:bCs/>
                <w:color w:val="FFFFFF"/>
                <w:sz w:val="20"/>
                <w:szCs w:val="20"/>
              </w:rPr>
              <w:t xml:space="preserve">Período</w:t>
            </w:r>
          </w:p>
        </w:tc>
        <w:tc>
          <w:tcPr>
            <w:tcW w:type="dxa" w:w="1800"/>
            <w:tcBorders>
              <w:top w:val="single" w:color="CCCCCC" w:sz="1"/>
              <w:left w:val="single" w:color="CCCCCC" w:sz="1"/>
              <w:bottom w:val="single" w:color="CCCCCC" w:sz="1"/>
              <w:right w:val="single" w:color="CCCCCC" w:sz="1"/>
            </w:tcBorders>
            <w:shd w:fill="0F3D2E" w:val="clear"/>
            <w:tcMar>
              <w:top w:type="dxa" w:w="100"/>
              <w:left w:type="dxa" w:w="140"/>
              <w:bottom w:type="dxa" w:w="100"/>
              <w:right w:type="dxa" w:w="140"/>
            </w:tcMar>
          </w:tcPr>
          <w:p>
            <w:r>
              <w:rPr>
                <w:rFonts w:ascii="Arial" w:cs="Arial" w:eastAsia="Arial" w:hAnsi="Arial"/>
                <w:b/>
                <w:bCs/>
                <w:color w:val="FFFFFF"/>
                <w:sz w:val="20"/>
                <w:szCs w:val="20"/>
              </w:rPr>
              <w:t xml:space="preserve">Régimen</w:t>
            </w:r>
          </w:p>
        </w:tc>
        <w:tc>
          <w:tcPr>
            <w:tcW w:type="dxa" w:w="1400"/>
            <w:tcBorders>
              <w:top w:val="single" w:color="CCCCCC" w:sz="1"/>
              <w:left w:val="single" w:color="CCCCCC" w:sz="1"/>
              <w:bottom w:val="single" w:color="CCCCCC" w:sz="1"/>
              <w:right w:val="single" w:color="CCCCCC" w:sz="1"/>
            </w:tcBorders>
            <w:shd w:fill="0F3D2E" w:val="clear"/>
            <w:tcMar>
              <w:top w:type="dxa" w:w="100"/>
              <w:left w:type="dxa" w:w="140"/>
              <w:bottom w:type="dxa" w:w="100"/>
              <w:right w:type="dxa" w:w="140"/>
            </w:tcMar>
          </w:tcPr>
          <w:p>
            <w:r>
              <w:rPr>
                <w:rFonts w:ascii="Arial" w:cs="Arial" w:eastAsia="Arial" w:hAnsi="Arial"/>
                <w:b/>
                <w:bCs/>
                <w:color w:val="FFFFFF"/>
                <w:sz w:val="20"/>
                <w:szCs w:val="20"/>
              </w:rPr>
              <w:t xml:space="preserve">Duración</w:t>
            </w:r>
          </w:p>
        </w:tc>
        <w:tc>
          <w:tcPr>
            <w:tcW w:type="dxa" w:w="1800"/>
            <w:tcBorders>
              <w:top w:val="single" w:color="CCCCCC" w:sz="1"/>
              <w:left w:val="single" w:color="CCCCCC" w:sz="1"/>
              <w:bottom w:val="single" w:color="CCCCCC" w:sz="1"/>
              <w:right w:val="single" w:color="CCCCCC" w:sz="1"/>
            </w:tcBorders>
            <w:shd w:fill="0F3D2E" w:val="clear"/>
            <w:tcMar>
              <w:top w:type="dxa" w:w="100"/>
              <w:left w:type="dxa" w:w="140"/>
              <w:bottom w:type="dxa" w:w="100"/>
              <w:right w:type="dxa" w:w="140"/>
            </w:tcMar>
          </w:tcPr>
          <w:p>
            <w:r>
              <w:rPr>
                <w:rFonts w:ascii="Arial" w:cs="Arial" w:eastAsia="Arial" w:hAnsi="Arial"/>
                <w:b/>
                <w:bCs/>
                <w:color w:val="FFFFFF"/>
                <w:sz w:val="20"/>
                <w:szCs w:val="20"/>
              </w:rPr>
              <w:t xml:space="preserve">Peso ML</w:t>
            </w:r>
          </w:p>
        </w:tc>
        <w:tc>
          <w:tcPr>
            <w:tcW w:type="dxa" w:w="2160"/>
            <w:tcBorders>
              <w:top w:val="single" w:color="CCCCCC" w:sz="1"/>
              <w:left w:val="single" w:color="CCCCCC" w:sz="1"/>
              <w:bottom w:val="single" w:color="CCCCCC" w:sz="1"/>
              <w:right w:val="single" w:color="CCCCCC" w:sz="1"/>
            </w:tcBorders>
            <w:shd w:fill="0F3D2E" w:val="clear"/>
            <w:tcMar>
              <w:top w:type="dxa" w:w="100"/>
              <w:left w:type="dxa" w:w="140"/>
              <w:bottom w:type="dxa" w:w="100"/>
              <w:right w:type="dxa" w:w="140"/>
            </w:tcMar>
          </w:tcPr>
          <w:p>
            <w:r>
              <w:rPr>
                <w:rFonts w:ascii="Arial" w:cs="Arial" w:eastAsia="Arial" w:hAnsi="Arial"/>
                <w:b/>
                <w:bCs/>
                <w:color w:val="FFFFFF"/>
                <w:sz w:val="20"/>
                <w:szCs w:val="20"/>
              </w:rPr>
              <w:t xml:space="preserve">Uso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Jul 2024 → hoy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Libertario consolidado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~21 meses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1.0 (base)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Entrenamiento principal</w:t>
            </w:r>
          </w:p>
        </w:tc>
      </w:tr>
      <w:tr>
        <w:tc>
          <w:tcPr>
            <w:tcW w:type="dxa" w:w="22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Dic 2023 → Jun 2024</w:t>
            </w:r>
          </w:p>
        </w:tc>
        <w:tc>
          <w:tcPr>
            <w:tcW w:type="dxa" w:w="18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Libertario shock</w:t>
            </w:r>
          </w:p>
        </w:tc>
        <w:tc>
          <w:tcPr>
            <w:tcW w:type="dxa" w:w="14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~6 meses</w:t>
            </w:r>
          </w:p>
        </w:tc>
        <w:tc>
          <w:tcPr>
            <w:tcW w:type="dxa" w:w="18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0.6</w:t>
            </w:r>
          </w:p>
        </w:tc>
        <w:tc>
          <w:tcPr>
            <w:tcW w:type="dxa" w:w="216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Shocks de desregulación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Ago 2023 → Nov 2023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Transición electoral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~4 meses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0.4 (flag)</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Reacción a expectativas</w:t>
            </w:r>
          </w:p>
        </w:tc>
      </w:tr>
      <w:tr>
        <w:tc>
          <w:tcPr>
            <w:tcW w:type="dxa" w:w="22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Ene 2020 → Jul 2023</w:t>
            </w:r>
          </w:p>
        </w:tc>
        <w:tc>
          <w:tcPr>
            <w:tcW w:type="dxa" w:w="18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Kirchnerismo (Alberto)</w:t>
            </w:r>
          </w:p>
        </w:tc>
        <w:tc>
          <w:tcPr>
            <w:tcW w:type="dxa" w:w="14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~3.5 años</w:t>
            </w:r>
          </w:p>
        </w:tc>
        <w:tc>
          <w:tcPr>
            <w:tcW w:type="dxa" w:w="18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0.0 (contraste)</w:t>
            </w:r>
          </w:p>
        </w:tc>
        <w:tc>
          <w:tcPr>
            <w:tcW w:type="dxa" w:w="216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Solo contraste de régimen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AEA" w:val="clear"/>
            <w:tcMar>
              <w:top w:type="dxa" w:w="100"/>
              <w:left w:type="dxa" w:w="140"/>
              <w:bottom w:type="dxa" w:w="100"/>
              <w:right w:type="dxa" w:w="140"/>
            </w:tcMar>
          </w:tcPr>
          <w:p>
            <w:pPr>
              <w:spacing w:after="40" w:before="40"/>
            </w:pPr>
            <w:r>
              <w:rPr>
                <w:rFonts w:ascii="Arial" w:cs="Arial" w:eastAsia="Arial" w:hAnsi="Arial"/>
                <w:b/>
                <w:bCs/>
                <w:color w:val="0F3D2E"/>
                <w:sz w:val="20"/>
                <w:szCs w:val="20"/>
              </w:rPr>
              <w:t xml:space="preserve">ADVERTENCIA  </w:t>
            </w:r>
            <w:r>
              <w:rPr>
                <w:rFonts w:ascii="Arial" w:cs="Arial" w:eastAsia="Arial" w:hAnsi="Arial"/>
                <w:color w:val="333333"/>
                <w:sz w:val="20"/>
                <w:szCs w:val="20"/>
              </w:rPr>
              <w:t xml:space="preserve">NO usar datos del kirchnerismo como base de entrenamiento. La relación evento-precio era opuesta: congelamiento de tarifas hacía subir a distribuidoras, acuerdo FMI hacía bajar bancos. Usarlos directamente confunde al modelo.</w:t>
            </w:r>
          </w:p>
        </w:tc>
      </w:tr>
    </w:tbl>
    <w:p>
      <w:pPr>
        <w:spacing w:after="0" w:before="80"/>
      </w:pPr>
      <w:r>
        <w:t xml:space="preserve"/>
      </w:r>
    </w:p>
    <w:p>
      <w:pPr>
        <w:pStyle w:val="Heading2"/>
        <w:spacing w:after="120" w:before="280"/>
      </w:pPr>
      <w:r>
        <w:rPr>
          <w:rFonts w:ascii="Arial" w:cs="Arial" w:eastAsia="Arial" w:hAnsi="Arial"/>
          <w:b/>
          <w:bCs/>
          <w:color w:val="0F3D2E"/>
          <w:sz w:val="28"/>
          <w:szCs w:val="28"/>
        </w:rPr>
        <w:t xml:space="preserve">2.2 Volumen estimado de eventos por período</w:t>
      </w:r>
    </w:p>
    <w:p>
      <w:pPr>
        <w:spacing w:after="80" w:before="60"/>
      </w:pPr>
      <w:r>
        <w:rPr>
          <w:rFonts w:ascii="Arial" w:cs="Arial" w:eastAsia="Arial" w:hAnsi="Arial"/>
          <w:color w:val="333333"/>
          <w:sz w:val="22"/>
          <w:szCs w:val="22"/>
        </w:rPr>
        <w:t xml:space="preserve">El dataset objetivo es de 600 a 900 eventos etiquetados para el entrenamiento inicial:</w:t>
      </w:r>
    </w:p>
    <w:p>
      <w:pPr>
        <w:pStyle w:val="ListParagraph"/>
        <w:numPr>
          <w:ilvl w:val="0"/>
          <w:numId w:val="2"/>
        </w:numPr>
        <w:spacing w:after="40" w:before="40"/>
      </w:pPr>
      <w:r>
        <w:rPr>
          <w:rFonts w:ascii="Arial" w:cs="Arial" w:eastAsia="Arial" w:hAnsi="Arial"/>
          <w:color w:val="333333"/>
          <w:sz w:val="22"/>
          <w:szCs w:val="22"/>
        </w:rPr>
        <w:t xml:space="preserve">Fase consolidada (peso 1.0): ~400–500 eventos · fuente principal</w:t>
      </w:r>
    </w:p>
    <w:p>
      <w:pPr>
        <w:pStyle w:val="ListParagraph"/>
        <w:numPr>
          <w:ilvl w:val="0"/>
          <w:numId w:val="2"/>
        </w:numPr>
        <w:spacing w:after="40" w:before="40"/>
      </w:pPr>
      <w:r>
        <w:rPr>
          <w:rFonts w:ascii="Arial" w:cs="Arial" w:eastAsia="Arial" w:hAnsi="Arial"/>
          <w:color w:val="333333"/>
          <w:sz w:val="22"/>
          <w:szCs w:val="22"/>
        </w:rPr>
        <w:t xml:space="preserve">Fase shock (peso 0.6): ~100–150 eventos · decretos y resoluciones grandes</w:t>
      </w:r>
    </w:p>
    <w:p>
      <w:pPr>
        <w:pStyle w:val="ListParagraph"/>
        <w:numPr>
          <w:ilvl w:val="0"/>
          <w:numId w:val="2"/>
        </w:numPr>
        <w:spacing w:after="40" w:before="40"/>
      </w:pPr>
      <w:r>
        <w:rPr>
          <w:rFonts w:ascii="Arial" w:cs="Arial" w:eastAsia="Arial" w:hAnsi="Arial"/>
          <w:color w:val="333333"/>
          <w:sz w:val="22"/>
          <w:szCs w:val="22"/>
        </w:rPr>
        <w:t xml:space="preserve">Transición electoral (peso 0.4): ~50–80 eventos · solo electorales y macro</w:t>
      </w:r>
    </w:p>
    <w:p>
      <w:pPr>
        <w:spacing w:after="0" w:before="80"/>
      </w:pPr>
      <w:r>
        <w:t xml:space="preserve"/>
      </w:r>
    </w:p>
    <w:p>
      <w:pPr>
        <w:pStyle w:val="Heading1"/>
        <w:spacing w:after="160" w:before="360"/>
      </w:pPr>
      <w:r>
        <w:rPr>
          <w:rFonts w:ascii="Arial" w:cs="Arial" w:eastAsia="Arial" w:hAnsi="Arial"/>
          <w:b/>
          <w:bCs/>
          <w:color w:val="0F3D2E"/>
          <w:sz w:val="36"/>
          <w:szCs w:val="36"/>
        </w:rPr>
        <w:t xml:space="preserve">3. Estructura de base de datos — PostgreSQL</w:t>
      </w:r>
    </w:p>
    <w:p>
      <w:pPr>
        <w:spacing w:after="80" w:before="60"/>
      </w:pPr>
      <w:r>
        <w:rPr>
          <w:rFonts w:ascii="Arial" w:cs="Arial" w:eastAsia="Arial" w:hAnsi="Arial"/>
          <w:color w:val="333333"/>
          <w:sz w:val="22"/>
          <w:szCs w:val="22"/>
        </w:rPr>
        <w:t xml:space="preserve">Todas las tablas viven en la base invar en PostgreSQL 15+. El esquema usa TIMESTAMPTZ para todos los timestamps (zona horaria America/Argentina/Buenos_Aires implícita en la app pero almacenada en UTC).</w:t>
      </w:r>
    </w:p>
    <w:p>
      <w:pPr>
        <w:spacing w:after="0" w:before="80"/>
      </w:pPr>
      <w:r>
        <w:t xml:space="preserve"/>
      </w:r>
    </w:p>
    <w:p>
      <w:pPr>
        <w:pStyle w:val="Heading2"/>
        <w:spacing w:after="120" w:before="280"/>
      </w:pPr>
      <w:r>
        <w:rPr>
          <w:rFonts w:ascii="Arial" w:cs="Arial" w:eastAsia="Arial" w:hAnsi="Arial"/>
          <w:b/>
          <w:bCs/>
          <w:color w:val="0F3D2E"/>
          <w:sz w:val="28"/>
          <w:szCs w:val="28"/>
        </w:rPr>
        <w:t xml:space="preserve">3.1 Tabla: eventos_politicos</w:t>
      </w:r>
    </w:p>
    <w:p>
      <w:pPr>
        <w:spacing w:after="80" w:before="60"/>
      </w:pPr>
      <w:r>
        <w:rPr>
          <w:rFonts w:ascii="Arial" w:cs="Arial" w:eastAsia="Arial" w:hAnsi="Arial"/>
          <w:color w:val="333333"/>
          <w:sz w:val="22"/>
          <w:szCs w:val="22"/>
        </w:rPr>
        <w:t xml:space="preserve">Núcleo del dataset histórico. Cada fila es un evento del mundo político con su clasificación y fuente.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4560"/>
      </w:tblGrid>
      <w:tr>
        <w:trPr>
          <w:tblHeader/>
        </w:trPr>
        <w:tc>
          <w:tcPr>
            <w:tcW w:type="dxa" w:w="1800"/>
            <w:tcBorders>
              <w:top w:val="single" w:color="CCCCCC" w:sz="1"/>
              <w:left w:val="single" w:color="CCCCCC" w:sz="1"/>
              <w:bottom w:val="single" w:color="CCCCCC" w:sz="1"/>
              <w:right w:val="single" w:color="CCCCCC" w:sz="1"/>
            </w:tcBorders>
            <w:shd w:fill="0F3D2E" w:val="clear"/>
            <w:tcMar>
              <w:top w:type="dxa" w:w="100"/>
              <w:left w:type="dxa" w:w="140"/>
              <w:bottom w:type="dxa" w:w="100"/>
              <w:right w:type="dxa" w:w="140"/>
            </w:tcMar>
          </w:tcPr>
          <w:p>
            <w:r>
              <w:rPr>
                <w:rFonts w:ascii="Arial" w:cs="Arial" w:eastAsia="Arial" w:hAnsi="Arial"/>
                <w:b/>
                <w:bCs/>
                <w:color w:val="FFFFFF"/>
                <w:sz w:val="20"/>
                <w:szCs w:val="20"/>
              </w:rPr>
              <w:t xml:space="preserve">Columna</w:t>
            </w:r>
          </w:p>
        </w:tc>
        <w:tc>
          <w:tcPr>
            <w:tcW w:type="dxa" w:w="1600"/>
            <w:tcBorders>
              <w:top w:val="single" w:color="CCCCCC" w:sz="1"/>
              <w:left w:val="single" w:color="CCCCCC" w:sz="1"/>
              <w:bottom w:val="single" w:color="CCCCCC" w:sz="1"/>
              <w:right w:val="single" w:color="CCCCCC" w:sz="1"/>
            </w:tcBorders>
            <w:shd w:fill="0F3D2E" w:val="clear"/>
            <w:tcMar>
              <w:top w:type="dxa" w:w="100"/>
              <w:left w:type="dxa" w:w="140"/>
              <w:bottom w:type="dxa" w:w="100"/>
              <w:right w:type="dxa" w:w="140"/>
            </w:tcMar>
          </w:tcPr>
          <w:p>
            <w:r>
              <w:rPr>
                <w:rFonts w:ascii="Arial" w:cs="Arial" w:eastAsia="Arial" w:hAnsi="Arial"/>
                <w:b/>
                <w:bCs/>
                <w:color w:val="FFFFFF"/>
                <w:sz w:val="20"/>
                <w:szCs w:val="20"/>
              </w:rPr>
              <w:t xml:space="preserve">Tipo</w:t>
            </w:r>
          </w:p>
        </w:tc>
        <w:tc>
          <w:tcPr>
            <w:tcW w:type="dxa" w:w="1400"/>
            <w:tcBorders>
              <w:top w:val="single" w:color="CCCCCC" w:sz="1"/>
              <w:left w:val="single" w:color="CCCCCC" w:sz="1"/>
              <w:bottom w:val="single" w:color="CCCCCC" w:sz="1"/>
              <w:right w:val="single" w:color="CCCCCC" w:sz="1"/>
            </w:tcBorders>
            <w:shd w:fill="0F3D2E" w:val="clear"/>
            <w:tcMar>
              <w:top w:type="dxa" w:w="100"/>
              <w:left w:type="dxa" w:w="140"/>
              <w:bottom w:type="dxa" w:w="100"/>
              <w:right w:type="dxa" w:w="140"/>
            </w:tcMar>
          </w:tcPr>
          <w:p>
            <w:r>
              <w:rPr>
                <w:rFonts w:ascii="Arial" w:cs="Arial" w:eastAsia="Arial" w:hAnsi="Arial"/>
                <w:b/>
                <w:bCs/>
                <w:color w:val="FFFFFF"/>
                <w:sz w:val="20"/>
                <w:szCs w:val="20"/>
              </w:rPr>
              <w:t xml:space="preserve">Requerido</w:t>
            </w:r>
          </w:p>
        </w:tc>
        <w:tc>
          <w:tcPr>
            <w:tcW w:type="dxa" w:w="4560"/>
            <w:tcBorders>
              <w:top w:val="single" w:color="CCCCCC" w:sz="1"/>
              <w:left w:val="single" w:color="CCCCCC" w:sz="1"/>
              <w:bottom w:val="single" w:color="CCCCCC" w:sz="1"/>
              <w:right w:val="single" w:color="CCCCCC" w:sz="1"/>
            </w:tcBorders>
            <w:shd w:fill="0F3D2E" w:val="clear"/>
            <w:tcMar>
              <w:top w:type="dxa" w:w="100"/>
              <w:left w:type="dxa" w:w="140"/>
              <w:bottom w:type="dxa" w:w="100"/>
              <w:right w:type="dxa" w:w="140"/>
            </w:tcMar>
          </w:tcPr>
          <w:p>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BIGSERIAL PK</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auto</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Identificador único autoincremenental</w:t>
            </w:r>
          </w:p>
        </w:tc>
      </w:tr>
      <w:tr>
        <w:tc>
          <w:tcPr>
            <w:tcW w:type="dxa" w:w="18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fecha_evento</w:t>
            </w:r>
          </w:p>
        </w:tc>
        <w:tc>
          <w:tcPr>
            <w:tcW w:type="dxa" w:w="16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TIMESTAMPTZ</w:t>
            </w:r>
          </w:p>
        </w:tc>
        <w:tc>
          <w:tcPr>
            <w:tcW w:type="dxa" w:w="14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SÍ</w:t>
            </w:r>
          </w:p>
        </w:tc>
        <w:tc>
          <w:tcPr>
            <w:tcW w:type="dxa" w:w="456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Momento exacto del evento (publicación o declaración)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titulo</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VARCHAR(500)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SÍ</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Título o resumen corto del evento (máx 500 chars)</w:t>
            </w:r>
          </w:p>
        </w:tc>
      </w:tr>
      <w:tr>
        <w:tc>
          <w:tcPr>
            <w:tcW w:type="dxa" w:w="18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texto_completo</w:t>
            </w:r>
          </w:p>
        </w:tc>
        <w:tc>
          <w:tcPr>
            <w:tcW w:type="dxa" w:w="16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14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NO</w:t>
            </w:r>
          </w:p>
        </w:tc>
        <w:tc>
          <w:tcPr>
            <w:tcW w:type="dxa" w:w="456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Cuerpo completo del comunicado, nota o resolución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fuente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VARCHAR(100)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SÍ</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ej: ENRE, BCRA, twitter_oficial, infobae, ambito</w:t>
            </w:r>
          </w:p>
        </w:tc>
      </w:tr>
      <w:tr>
        <w:tc>
          <w:tcPr>
            <w:tcW w:type="dxa" w:w="18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url</w:t>
            </w:r>
          </w:p>
        </w:tc>
        <w:tc>
          <w:tcPr>
            <w:tcW w:type="dxa" w:w="16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VARCHAR(1000)</w:t>
            </w:r>
          </w:p>
        </w:tc>
        <w:tc>
          <w:tcPr>
            <w:tcW w:type="dxa" w:w="14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NO</w:t>
            </w:r>
          </w:p>
        </w:tc>
        <w:tc>
          <w:tcPr>
            <w:tcW w:type="dxa" w:w="456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URL de la fuente original para trazabilidad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tipo_evento</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VARCHAR(30)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SÍ</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decreto | resolucion | declaracion | licitacion | dato_macro | electoral | encuesta</w:t>
            </w:r>
          </w:p>
        </w:tc>
      </w:tr>
      <w:tr>
        <w:tc>
          <w:tcPr>
            <w:tcW w:type="dxa" w:w="18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sector</w:t>
            </w:r>
          </w:p>
        </w:tc>
        <w:tc>
          <w:tcPr>
            <w:tcW w:type="dxa" w:w="16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VARCHAR(30)</w:t>
            </w:r>
          </w:p>
        </w:tc>
        <w:tc>
          <w:tcPr>
            <w:tcW w:type="dxa" w:w="14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SÍ</w:t>
            </w:r>
          </w:p>
        </w:tc>
        <w:tc>
          <w:tcPr>
            <w:tcW w:type="dxa" w:w="456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energia | bancario | agro | construccion | macro | electoral | otro</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sentiment_score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NUMERIC(4,3)</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SÍ</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De -1.000 (muy negativo) a +1.000 (muy positivo) por sector</w:t>
            </w:r>
          </w:p>
        </w:tc>
      </w:tr>
      <w:tr>
        <w:tc>
          <w:tcPr>
            <w:tcW w:type="dxa" w:w="18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sentiment_fuente</w:t>
            </w:r>
          </w:p>
        </w:tc>
        <w:tc>
          <w:tcPr>
            <w:tcW w:type="dxa" w:w="16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VARCHAR(20)</w:t>
            </w:r>
          </w:p>
        </w:tc>
        <w:tc>
          <w:tcPr>
            <w:tcW w:type="dxa" w:w="14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SÍ</w:t>
            </w:r>
          </w:p>
        </w:tc>
        <w:tc>
          <w:tcPr>
            <w:tcW w:type="dxa" w:w="456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claude_api | manual | hybrid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regimen_politico</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VARCHAR(30)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SÍ</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libertario_consolidado | libertario_shock | transicion | kirchnerismo</w:t>
            </w:r>
          </w:p>
        </w:tc>
      </w:tr>
      <w:tr>
        <w:tc>
          <w:tcPr>
            <w:tcW w:type="dxa" w:w="18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peso_entrenamiento</w:t>
            </w:r>
          </w:p>
        </w:tc>
        <w:tc>
          <w:tcPr>
            <w:tcW w:type="dxa" w:w="16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NUMERIC(3,2)</w:t>
            </w:r>
          </w:p>
        </w:tc>
        <w:tc>
          <w:tcPr>
            <w:tcW w:type="dxa" w:w="14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SÍ</w:t>
            </w:r>
          </w:p>
        </w:tc>
        <w:tc>
          <w:tcPr>
            <w:tcW w:type="dxa" w:w="456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Factor de peso: 1.0, 0.6, 0.4 o 0.0 según régimen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tickers_afectados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VARCHAR(20)[]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Array de tickers relacionados. ej: {PAMP,CEPU,TGNO4}</w:t>
            </w:r>
          </w:p>
        </w:tc>
      </w:tr>
      <w:tr>
        <w:tc>
          <w:tcPr>
            <w:tcW w:type="dxa" w:w="18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verificado</w:t>
            </w:r>
          </w:p>
        </w:tc>
        <w:tc>
          <w:tcPr>
            <w:tcW w:type="dxa" w:w="16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BOOLEAN</w:t>
            </w:r>
          </w:p>
        </w:tc>
        <w:tc>
          <w:tcPr>
            <w:tcW w:type="dxa" w:w="14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SÍ</w:t>
            </w:r>
          </w:p>
        </w:tc>
        <w:tc>
          <w:tcPr>
            <w:tcW w:type="dxa" w:w="456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true si fue revisado manualmente. Default FALSE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creado_en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TIMESTAMPTZ</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auto</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Timestamp de inserción. Default NOW()</w:t>
            </w:r>
          </w:p>
        </w:tc>
      </w:tr>
    </w:tbl>
    <w:p>
      <w:pPr>
        <w:spacing w:after="0" w:before="80"/>
      </w:pPr>
      <w:r>
        <w:t xml:space="preserve"/>
      </w:r>
    </w:p>
    <w:p>
      <w:pPr>
        <w:pStyle w:val="Heading3"/>
        <w:spacing w:after="80" w:before="200"/>
      </w:pPr>
      <w:r>
        <w:rPr>
          <w:rFonts w:ascii="Arial" w:cs="Arial" w:eastAsia="Arial" w:hAnsi="Arial"/>
          <w:b/>
          <w:bCs/>
          <w:color w:val="2D5A4F"/>
          <w:sz w:val="24"/>
          <w:szCs w:val="24"/>
        </w:rPr>
        <w:t xml:space="preserve">SQL de creación — eventos_politicos</w:t>
      </w:r>
    </w:p>
    <w:p>
      <w:pPr>
        <w:spacing w:after="40" w:before="40"/>
        <w:ind w:left="360"/>
      </w:pPr>
      <w:r>
        <w:rPr>
          <w:rFonts w:ascii="Courier New" w:cs="Courier New" w:eastAsia="Courier New" w:hAnsi="Courier New"/>
          <w:color w:val="1D4E40"/>
          <w:sz w:val="18"/>
          <w:szCs w:val="18"/>
        </w:rPr>
        <w:t xml:space="preserve">CREATE TABLE eventos_politicos (</w:t>
      </w:r>
    </w:p>
    <w:p>
      <w:pPr>
        <w:spacing w:after="40" w:before="40"/>
        <w:ind w:left="360"/>
      </w:pPr>
      <w:r>
        <w:rPr>
          <w:rFonts w:ascii="Courier New" w:cs="Courier New" w:eastAsia="Courier New" w:hAnsi="Courier New"/>
          <w:color w:val="1D4E40"/>
          <w:sz w:val="18"/>
          <w:szCs w:val="18"/>
        </w:rPr>
        <w:t xml:space="preserve">  id                BIGSERIAL PRIMARY KEY,</w:t>
      </w:r>
    </w:p>
    <w:p>
      <w:pPr>
        <w:spacing w:after="40" w:before="40"/>
        <w:ind w:left="360"/>
      </w:pPr>
      <w:r>
        <w:rPr>
          <w:rFonts w:ascii="Courier New" w:cs="Courier New" w:eastAsia="Courier New" w:hAnsi="Courier New"/>
          <w:color w:val="1D4E40"/>
          <w:sz w:val="18"/>
          <w:szCs w:val="18"/>
        </w:rPr>
        <w:t xml:space="preserve">  fecha_evento      TIMESTAMPTZ NOT NULL,</w:t>
      </w:r>
    </w:p>
    <w:p>
      <w:pPr>
        <w:spacing w:after="40" w:before="40"/>
        <w:ind w:left="360"/>
      </w:pPr>
      <w:r>
        <w:rPr>
          <w:rFonts w:ascii="Courier New" w:cs="Courier New" w:eastAsia="Courier New" w:hAnsi="Courier New"/>
          <w:color w:val="1D4E40"/>
          <w:sz w:val="18"/>
          <w:szCs w:val="18"/>
        </w:rPr>
        <w:t xml:space="preserve">  titulo            VARCHAR(500) NOT NULL,</w:t>
      </w:r>
    </w:p>
    <w:p>
      <w:pPr>
        <w:spacing w:after="40" w:before="40"/>
        <w:ind w:left="360"/>
      </w:pPr>
      <w:r>
        <w:rPr>
          <w:rFonts w:ascii="Courier New" w:cs="Courier New" w:eastAsia="Courier New" w:hAnsi="Courier New"/>
          <w:color w:val="1D4E40"/>
          <w:sz w:val="18"/>
          <w:szCs w:val="18"/>
        </w:rPr>
        <w:t xml:space="preserve">  texto_completo    TEXT,</w:t>
      </w:r>
    </w:p>
    <w:p>
      <w:pPr>
        <w:spacing w:after="40" w:before="40"/>
        <w:ind w:left="360"/>
      </w:pPr>
      <w:r>
        <w:rPr>
          <w:rFonts w:ascii="Courier New" w:cs="Courier New" w:eastAsia="Courier New" w:hAnsi="Courier New"/>
          <w:color w:val="1D4E40"/>
          <w:sz w:val="18"/>
          <w:szCs w:val="18"/>
        </w:rPr>
        <w:t xml:space="preserve">  fuente            VARCHAR(100) NOT NULL,</w:t>
      </w:r>
    </w:p>
    <w:p>
      <w:pPr>
        <w:spacing w:after="40" w:before="40"/>
        <w:ind w:left="360"/>
      </w:pPr>
      <w:r>
        <w:rPr>
          <w:rFonts w:ascii="Courier New" w:cs="Courier New" w:eastAsia="Courier New" w:hAnsi="Courier New"/>
          <w:color w:val="1D4E40"/>
          <w:sz w:val="18"/>
          <w:szCs w:val="18"/>
        </w:rPr>
        <w:t xml:space="preserve">  url               VARCHAR(1000),</w:t>
      </w:r>
    </w:p>
    <w:p>
      <w:pPr>
        <w:spacing w:after="40" w:before="40"/>
        <w:ind w:left="360"/>
      </w:pPr>
      <w:r>
        <w:rPr>
          <w:rFonts w:ascii="Courier New" w:cs="Courier New" w:eastAsia="Courier New" w:hAnsi="Courier New"/>
          <w:color w:val="1D4E40"/>
          <w:sz w:val="18"/>
          <w:szCs w:val="18"/>
        </w:rPr>
        <w:t xml:space="preserve">  tipo_evento       VARCHAR(30) NOT NULL,</w:t>
      </w:r>
    </w:p>
    <w:p>
      <w:pPr>
        <w:spacing w:after="40" w:before="40"/>
        <w:ind w:left="360"/>
      </w:pPr>
      <w:r>
        <w:rPr>
          <w:rFonts w:ascii="Courier New" w:cs="Courier New" w:eastAsia="Courier New" w:hAnsi="Courier New"/>
          <w:color w:val="1D4E40"/>
          <w:sz w:val="18"/>
          <w:szCs w:val="18"/>
        </w:rPr>
        <w:t xml:space="preserve">  sector            VARCHAR(30) NOT NULL,</w:t>
      </w:r>
    </w:p>
    <w:p>
      <w:pPr>
        <w:spacing w:after="40" w:before="40"/>
        <w:ind w:left="360"/>
      </w:pPr>
      <w:r>
        <w:rPr>
          <w:rFonts w:ascii="Courier New" w:cs="Courier New" w:eastAsia="Courier New" w:hAnsi="Courier New"/>
          <w:color w:val="1D4E40"/>
          <w:sz w:val="18"/>
          <w:szCs w:val="18"/>
        </w:rPr>
        <w:t xml:space="preserve">  sentiment_score   NUMERIC(4,3) NOT NULL CHECK (sentiment_score BETWEEN -1 AND 1),</w:t>
      </w:r>
    </w:p>
    <w:p>
      <w:pPr>
        <w:spacing w:after="40" w:before="40"/>
        <w:ind w:left="360"/>
      </w:pPr>
      <w:r>
        <w:rPr>
          <w:rFonts w:ascii="Courier New" w:cs="Courier New" w:eastAsia="Courier New" w:hAnsi="Courier New"/>
          <w:color w:val="1D4E40"/>
          <w:sz w:val="18"/>
          <w:szCs w:val="18"/>
        </w:rPr>
        <w:t xml:space="preserve">  sentiment_fuente  VARCHAR(20) NOT NULL DEFAULT 'claude_api',</w:t>
      </w:r>
    </w:p>
    <w:p>
      <w:pPr>
        <w:spacing w:after="40" w:before="40"/>
        <w:ind w:left="360"/>
      </w:pPr>
      <w:r>
        <w:rPr>
          <w:rFonts w:ascii="Courier New" w:cs="Courier New" w:eastAsia="Courier New" w:hAnsi="Courier New"/>
          <w:color w:val="1D4E40"/>
          <w:sz w:val="18"/>
          <w:szCs w:val="18"/>
        </w:rPr>
        <w:t xml:space="preserve">  regimen_politico  VARCHAR(30) NOT NULL,</w:t>
      </w:r>
    </w:p>
    <w:p>
      <w:pPr>
        <w:spacing w:after="40" w:before="40"/>
        <w:ind w:left="360"/>
      </w:pPr>
      <w:r>
        <w:rPr>
          <w:rFonts w:ascii="Courier New" w:cs="Courier New" w:eastAsia="Courier New" w:hAnsi="Courier New"/>
          <w:color w:val="1D4E40"/>
          <w:sz w:val="18"/>
          <w:szCs w:val="18"/>
        </w:rPr>
        <w:t xml:space="preserve">  peso_entrenamiento NUMERIC(3,2) NOT NULL DEFAULT 1.0,</w:t>
      </w:r>
    </w:p>
    <w:p>
      <w:pPr>
        <w:spacing w:after="40" w:before="40"/>
        <w:ind w:left="360"/>
      </w:pPr>
      <w:r>
        <w:rPr>
          <w:rFonts w:ascii="Courier New" w:cs="Courier New" w:eastAsia="Courier New" w:hAnsi="Courier New"/>
          <w:color w:val="1D4E40"/>
          <w:sz w:val="18"/>
          <w:szCs w:val="18"/>
        </w:rPr>
        <w:t xml:space="preserve">  tickers_afectados VARCHAR(20)[],</w:t>
      </w:r>
    </w:p>
    <w:p>
      <w:pPr>
        <w:spacing w:after="40" w:before="40"/>
        <w:ind w:left="360"/>
      </w:pPr>
      <w:r>
        <w:rPr>
          <w:rFonts w:ascii="Courier New" w:cs="Courier New" w:eastAsia="Courier New" w:hAnsi="Courier New"/>
          <w:color w:val="1D4E40"/>
          <w:sz w:val="18"/>
          <w:szCs w:val="18"/>
        </w:rPr>
        <w:t xml:space="preserve">  verificado        BOOLEAN NOT NULL DEFAULT FALSE,</w:t>
      </w:r>
    </w:p>
    <w:p>
      <w:pPr>
        <w:spacing w:after="40" w:before="40"/>
        <w:ind w:left="360"/>
      </w:pPr>
      <w:r>
        <w:rPr>
          <w:rFonts w:ascii="Courier New" w:cs="Courier New" w:eastAsia="Courier New" w:hAnsi="Courier New"/>
          <w:color w:val="1D4E40"/>
          <w:sz w:val="18"/>
          <w:szCs w:val="18"/>
        </w:rPr>
        <w:t xml:space="preserve">  creado_en         TIMESTAMPTZ NOT NULL DEFAULT NOW()</w:t>
      </w:r>
    </w:p>
    <w:p>
      <w:pPr>
        <w:spacing w:after="40" w:before="40"/>
        <w:ind w:left="360"/>
      </w:pPr>
      <w:r>
        <w:rPr>
          <w:rFonts w:ascii="Courier New" w:cs="Courier New" w:eastAsia="Courier New" w:hAnsi="Courier New"/>
          <w:color w:val="1D4E40"/>
          <w:sz w:val="18"/>
          <w:szCs w:val="18"/>
        </w:rPr>
        <w:t xml:space="preserve">);</w:t>
      </w:r>
    </w:p>
    <w:p>
      <w:pPr>
        <w:spacing w:after="0" w:before="60"/>
      </w:pPr>
      <w:r>
        <w:t xml:space="preserve"/>
      </w:r>
    </w:p>
    <w:p>
      <w:pPr>
        <w:spacing w:after="40" w:before="40"/>
        <w:ind w:left="360"/>
      </w:pPr>
      <w:r>
        <w:rPr>
          <w:rFonts w:ascii="Courier New" w:cs="Courier New" w:eastAsia="Courier New" w:hAnsi="Courier New"/>
          <w:color w:val="1D4E40"/>
          <w:sz w:val="18"/>
          <w:szCs w:val="18"/>
        </w:rPr>
        <w:t xml:space="preserve">-- Índices principales</w:t>
      </w:r>
    </w:p>
    <w:p>
      <w:pPr>
        <w:spacing w:after="40" w:before="40"/>
        <w:ind w:left="360"/>
      </w:pPr>
      <w:r>
        <w:rPr>
          <w:rFonts w:ascii="Courier New" w:cs="Courier New" w:eastAsia="Courier New" w:hAnsi="Courier New"/>
          <w:color w:val="1D4E40"/>
          <w:sz w:val="18"/>
          <w:szCs w:val="18"/>
        </w:rPr>
        <w:t xml:space="preserve">CREATE INDEX idx_ep_fecha    ON eventos_politicos (fecha_evento DESC);</w:t>
      </w:r>
    </w:p>
    <w:p>
      <w:pPr>
        <w:spacing w:after="40" w:before="40"/>
        <w:ind w:left="360"/>
      </w:pPr>
      <w:r>
        <w:rPr>
          <w:rFonts w:ascii="Courier New" w:cs="Courier New" w:eastAsia="Courier New" w:hAnsi="Courier New"/>
          <w:color w:val="1D4E40"/>
          <w:sz w:val="18"/>
          <w:szCs w:val="18"/>
        </w:rPr>
        <w:t xml:space="preserve">CREATE INDEX idx_ep_sector   ON eventos_politicos (sector, fecha_evento DESC);</w:t>
      </w:r>
    </w:p>
    <w:p>
      <w:pPr>
        <w:spacing w:after="40" w:before="40"/>
        <w:ind w:left="360"/>
      </w:pPr>
      <w:r>
        <w:rPr>
          <w:rFonts w:ascii="Courier New" w:cs="Courier New" w:eastAsia="Courier New" w:hAnsi="Courier New"/>
          <w:color w:val="1D4E40"/>
          <w:sz w:val="18"/>
          <w:szCs w:val="18"/>
        </w:rPr>
        <w:t xml:space="preserve">CREATE INDEX idx_ep_regimen  ON eventos_politicos (regimen_politico);</w:t>
      </w:r>
    </w:p>
    <w:p>
      <w:pPr>
        <w:spacing w:after="40" w:before="40"/>
        <w:ind w:left="360"/>
      </w:pPr>
      <w:r>
        <w:rPr>
          <w:rFonts w:ascii="Courier New" w:cs="Courier New" w:eastAsia="Courier New" w:hAnsi="Courier New"/>
          <w:color w:val="1D4E40"/>
          <w:sz w:val="18"/>
          <w:szCs w:val="18"/>
        </w:rPr>
        <w:t xml:space="preserve">CREATE INDEX idx_ep_tipo     ON eventos_politicos (tipo_evento);</w:t>
      </w:r>
    </w:p>
    <w:p>
      <w:pPr>
        <w:spacing w:after="40" w:before="40"/>
        <w:ind w:left="360"/>
      </w:pPr>
      <w:r>
        <w:rPr>
          <w:rFonts w:ascii="Courier New" w:cs="Courier New" w:eastAsia="Courier New" w:hAnsi="Courier New"/>
          <w:color w:val="1D4E40"/>
          <w:sz w:val="18"/>
          <w:szCs w:val="18"/>
        </w:rPr>
        <w:t xml:space="preserve">CREATE INDEX idx_ep_verif    ON eventos_politicos (verificado) WHERE verificado = FALSE;</w:t>
      </w:r>
    </w:p>
    <w:p>
      <w:pPr>
        <w:spacing w:after="0" w:before="80"/>
      </w:pPr>
      <w:r>
        <w:t xml:space="preserve"/>
      </w:r>
    </w:p>
    <w:p>
      <w:pPr>
        <w:pStyle w:val="Heading2"/>
        <w:spacing w:after="120" w:before="280"/>
      </w:pPr>
      <w:r>
        <w:rPr>
          <w:rFonts w:ascii="Arial" w:cs="Arial" w:eastAsia="Arial" w:hAnsi="Arial"/>
          <w:b/>
          <w:bCs/>
          <w:color w:val="0F3D2E"/>
          <w:sz w:val="28"/>
          <w:szCs w:val="28"/>
        </w:rPr>
        <w:t xml:space="preserve">3.2 Tabla: impacto_precios</w:t>
      </w:r>
    </w:p>
    <w:p>
      <w:pPr>
        <w:spacing w:after="80" w:before="60"/>
      </w:pPr>
      <w:r>
        <w:rPr>
          <w:rFonts w:ascii="Arial" w:cs="Arial" w:eastAsia="Arial" w:hAnsi="Arial"/>
          <w:color w:val="333333"/>
          <w:sz w:val="22"/>
          <w:szCs w:val="22"/>
        </w:rPr>
        <w:t xml:space="preserve">Cruza cada evento político con el movimiento de precio de cada ticker afectado. Esta tabla es la variable objetivo del modelo ML.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rPr>
          <w:tblHeader/>
        </w:trPr>
        <w:tc>
          <w:tcPr>
            <w:tcW w:type="dxa" w:w="2000"/>
            <w:tcBorders>
              <w:top w:val="single" w:color="CCCCCC" w:sz="1"/>
              <w:left w:val="single" w:color="CCCCCC" w:sz="1"/>
              <w:bottom w:val="single" w:color="CCCCCC" w:sz="1"/>
              <w:right w:val="single" w:color="CCCCCC" w:sz="1"/>
            </w:tcBorders>
            <w:shd w:fill="0F3D2E" w:val="clear"/>
            <w:tcMar>
              <w:top w:type="dxa" w:w="100"/>
              <w:left w:type="dxa" w:w="140"/>
              <w:bottom w:type="dxa" w:w="100"/>
              <w:right w:type="dxa" w:w="140"/>
            </w:tcMar>
          </w:tcPr>
          <w:p>
            <w:r>
              <w:rPr>
                <w:rFonts w:ascii="Arial" w:cs="Arial" w:eastAsia="Arial" w:hAnsi="Arial"/>
                <w:b/>
                <w:bCs/>
                <w:color w:val="FFFFFF"/>
                <w:sz w:val="20"/>
                <w:szCs w:val="20"/>
              </w:rPr>
              <w:t xml:space="preserve">Columna</w:t>
            </w:r>
          </w:p>
        </w:tc>
        <w:tc>
          <w:tcPr>
            <w:tcW w:type="dxa" w:w="1600"/>
            <w:tcBorders>
              <w:top w:val="single" w:color="CCCCCC" w:sz="1"/>
              <w:left w:val="single" w:color="CCCCCC" w:sz="1"/>
              <w:bottom w:val="single" w:color="CCCCCC" w:sz="1"/>
              <w:right w:val="single" w:color="CCCCCC" w:sz="1"/>
            </w:tcBorders>
            <w:shd w:fill="0F3D2E" w:val="clear"/>
            <w:tcMar>
              <w:top w:type="dxa" w:w="100"/>
              <w:left w:type="dxa" w:w="140"/>
              <w:bottom w:type="dxa" w:w="100"/>
              <w:right w:type="dxa" w:w="140"/>
            </w:tcMar>
          </w:tcPr>
          <w:p>
            <w:r>
              <w:rPr>
                <w:rFonts w:ascii="Arial" w:cs="Arial" w:eastAsia="Arial" w:hAnsi="Arial"/>
                <w:b/>
                <w:bCs/>
                <w:color w:val="FFFFFF"/>
                <w:sz w:val="20"/>
                <w:szCs w:val="20"/>
              </w:rPr>
              <w:t xml:space="preserve">Tipo</w:t>
            </w:r>
          </w:p>
        </w:tc>
        <w:tc>
          <w:tcPr>
            <w:tcW w:type="dxa" w:w="1400"/>
            <w:tcBorders>
              <w:top w:val="single" w:color="CCCCCC" w:sz="1"/>
              <w:left w:val="single" w:color="CCCCCC" w:sz="1"/>
              <w:bottom w:val="single" w:color="CCCCCC" w:sz="1"/>
              <w:right w:val="single" w:color="CCCCCC" w:sz="1"/>
            </w:tcBorders>
            <w:shd w:fill="0F3D2E" w:val="clear"/>
            <w:tcMar>
              <w:top w:type="dxa" w:w="100"/>
              <w:left w:type="dxa" w:w="140"/>
              <w:bottom w:type="dxa" w:w="100"/>
              <w:right w:type="dxa" w:w="140"/>
            </w:tcMar>
          </w:tcPr>
          <w:p>
            <w:r>
              <w:rPr>
                <w:rFonts w:ascii="Arial" w:cs="Arial" w:eastAsia="Arial" w:hAnsi="Arial"/>
                <w:b/>
                <w:bCs/>
                <w:color w:val="FFFFFF"/>
                <w:sz w:val="20"/>
                <w:szCs w:val="20"/>
              </w:rPr>
              <w:t xml:space="preserve">Requerido</w:t>
            </w:r>
          </w:p>
        </w:tc>
        <w:tc>
          <w:tcPr>
            <w:tcW w:type="dxa" w:w="4360"/>
            <w:tcBorders>
              <w:top w:val="single" w:color="CCCCCC" w:sz="1"/>
              <w:left w:val="single" w:color="CCCCCC" w:sz="1"/>
              <w:bottom w:val="single" w:color="CCCCCC" w:sz="1"/>
              <w:right w:val="single" w:color="CCCCCC" w:sz="1"/>
            </w:tcBorders>
            <w:shd w:fill="0F3D2E" w:val="clear"/>
            <w:tcMar>
              <w:top w:type="dxa" w:w="100"/>
              <w:left w:type="dxa" w:w="140"/>
              <w:bottom w:type="dxa" w:w="100"/>
              <w:right w:type="dxa" w:w="140"/>
            </w:tcMar>
          </w:tcPr>
          <w:p>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BIGSERIAL PK</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auto</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Identificador único</w:t>
            </w:r>
          </w:p>
        </w:tc>
      </w:tr>
      <w:tr>
        <w:tc>
          <w:tcPr>
            <w:tcW w:type="dxa" w:w="20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evento_id</w:t>
            </w:r>
          </w:p>
        </w:tc>
        <w:tc>
          <w:tcPr>
            <w:tcW w:type="dxa" w:w="16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BIGINT FK</w:t>
            </w:r>
          </w:p>
        </w:tc>
        <w:tc>
          <w:tcPr>
            <w:tcW w:type="dxa" w:w="14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SÍ</w:t>
            </w:r>
          </w:p>
        </w:tc>
        <w:tc>
          <w:tcPr>
            <w:tcW w:type="dxa" w:w="436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Referencia a eventos_politicos.id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ticker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VARCHAR(20)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SÍ</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ej: PAMP, GGAL, CEPU, AL30</w:t>
            </w:r>
          </w:p>
        </w:tc>
      </w:tr>
      <w:tr>
        <w:tc>
          <w:tcPr>
            <w:tcW w:type="dxa" w:w="20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precio_t0</w:t>
            </w:r>
          </w:p>
        </w:tc>
        <w:tc>
          <w:tcPr>
            <w:tcW w:type="dxa" w:w="16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NUMERIC(18,4)</w:t>
            </w:r>
          </w:p>
        </w:tc>
        <w:tc>
          <w:tcPr>
            <w:tcW w:type="dxa" w:w="14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SÍ</w:t>
            </w:r>
          </w:p>
        </w:tc>
        <w:tc>
          <w:tcPr>
            <w:tcW w:type="dxa" w:w="436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Precio al momento del evento (cierre anterior o apertura)</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precio_t24</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NUMERIC(18,4)</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Precio 24 horas después del evento</w:t>
            </w:r>
          </w:p>
        </w:tc>
      </w:tr>
      <w:tr>
        <w:tc>
          <w:tcPr>
            <w:tcW w:type="dxa" w:w="20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precio_t48</w:t>
            </w:r>
          </w:p>
        </w:tc>
        <w:tc>
          <w:tcPr>
            <w:tcW w:type="dxa" w:w="16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NUMERIC(18,4)</w:t>
            </w:r>
          </w:p>
        </w:tc>
        <w:tc>
          <w:tcPr>
            <w:tcW w:type="dxa" w:w="14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NO</w:t>
            </w:r>
          </w:p>
        </w:tc>
        <w:tc>
          <w:tcPr>
            <w:tcW w:type="dxa" w:w="436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Precio 48 horas después del evento</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precio_t72</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NUMERIC(18,4)</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Precio 72 horas después del evento</w:t>
            </w:r>
          </w:p>
        </w:tc>
      </w:tr>
      <w:tr>
        <w:tc>
          <w:tcPr>
            <w:tcW w:type="dxa" w:w="20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var_pct_24h</w:t>
            </w:r>
          </w:p>
        </w:tc>
        <w:tc>
          <w:tcPr>
            <w:tcW w:type="dxa" w:w="16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NUMERIC(8,4)</w:t>
            </w:r>
          </w:p>
        </w:tc>
        <w:tc>
          <w:tcPr>
            <w:tcW w:type="dxa" w:w="14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NO</w:t>
            </w:r>
          </w:p>
        </w:tc>
        <w:tc>
          <w:tcPr>
            <w:tcW w:type="dxa" w:w="436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Variación % entre t0 y t24. Calculado automáticamente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var_pct_48h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NUMERIC(8,4)</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Variación % entre t0 y t48. Variable objetivo principal</w:t>
            </w:r>
          </w:p>
        </w:tc>
      </w:tr>
      <w:tr>
        <w:tc>
          <w:tcPr>
            <w:tcW w:type="dxa" w:w="20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var_pct_72h</w:t>
            </w:r>
          </w:p>
        </w:tc>
        <w:tc>
          <w:tcPr>
            <w:tcW w:type="dxa" w:w="16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NUMERIC(8,4)</w:t>
            </w:r>
          </w:p>
        </w:tc>
        <w:tc>
          <w:tcPr>
            <w:tcW w:type="dxa" w:w="14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NO</w:t>
            </w:r>
          </w:p>
        </w:tc>
        <w:tc>
          <w:tcPr>
            <w:tcW w:type="dxa" w:w="436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Variación % entre t0 y t72</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etiqueta</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VARCHAR(10)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SUBE | BAJA | NEUTRO. Calculado: &gt;2% SUBE, &lt;-2% BAJA</w:t>
            </w:r>
          </w:p>
        </w:tc>
      </w:tr>
      <w:tr>
        <w:tc>
          <w:tcPr>
            <w:tcW w:type="dxa" w:w="20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merval_var_48h</w:t>
            </w:r>
          </w:p>
        </w:tc>
        <w:tc>
          <w:tcPr>
            <w:tcW w:type="dxa" w:w="16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NUMERIC(8,4)</w:t>
            </w:r>
          </w:p>
        </w:tc>
        <w:tc>
          <w:tcPr>
            <w:tcW w:type="dxa" w:w="14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NO</w:t>
            </w:r>
          </w:p>
        </w:tc>
        <w:tc>
          <w:tcPr>
            <w:tcW w:type="dxa" w:w="436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Variación del Merval en mismo período (control)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creado_en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TIMESTAMPTZ</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auto</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Default NOW()</w:t>
            </w:r>
          </w:p>
        </w:tc>
      </w:tr>
    </w:tbl>
    <w:p>
      <w:pPr>
        <w:spacing w:after="0" w:before="60"/>
      </w:pPr>
      <w:r>
        <w:t xml:space="preserve"/>
      </w:r>
    </w:p>
    <w:p>
      <w:pPr>
        <w:spacing w:after="40" w:before="40"/>
        <w:ind w:left="360"/>
      </w:pPr>
      <w:r>
        <w:rPr>
          <w:rFonts w:ascii="Courier New" w:cs="Courier New" w:eastAsia="Courier New" w:hAnsi="Courier New"/>
          <w:color w:val="1D4E40"/>
          <w:sz w:val="18"/>
          <w:szCs w:val="18"/>
        </w:rPr>
        <w:t xml:space="preserve">CREATE TABLE impacto_precios (</w:t>
      </w:r>
    </w:p>
    <w:p>
      <w:pPr>
        <w:spacing w:after="40" w:before="40"/>
        <w:ind w:left="360"/>
      </w:pPr>
      <w:r>
        <w:rPr>
          <w:rFonts w:ascii="Courier New" w:cs="Courier New" w:eastAsia="Courier New" w:hAnsi="Courier New"/>
          <w:color w:val="1D4E40"/>
          <w:sz w:val="18"/>
          <w:szCs w:val="18"/>
        </w:rPr>
        <w:t xml:space="preserve">  id              BIGSERIAL PRIMARY KEY,</w:t>
      </w:r>
    </w:p>
    <w:p>
      <w:pPr>
        <w:spacing w:after="40" w:before="40"/>
        <w:ind w:left="360"/>
      </w:pPr>
      <w:r>
        <w:rPr>
          <w:rFonts w:ascii="Courier New" w:cs="Courier New" w:eastAsia="Courier New" w:hAnsi="Courier New"/>
          <w:color w:val="1D4E40"/>
          <w:sz w:val="18"/>
          <w:szCs w:val="18"/>
        </w:rPr>
        <w:t xml:space="preserve">  evento_id       BIGINT NOT NULL REFERENCES eventos_politicos(id),</w:t>
      </w:r>
    </w:p>
    <w:p>
      <w:pPr>
        <w:spacing w:after="40" w:before="40"/>
        <w:ind w:left="360"/>
      </w:pPr>
      <w:r>
        <w:rPr>
          <w:rFonts w:ascii="Courier New" w:cs="Courier New" w:eastAsia="Courier New" w:hAnsi="Courier New"/>
          <w:color w:val="1D4E40"/>
          <w:sz w:val="18"/>
          <w:szCs w:val="18"/>
        </w:rPr>
        <w:t xml:space="preserve">  ticker          VARCHAR(20) NOT NULL,</w:t>
      </w:r>
    </w:p>
    <w:p>
      <w:pPr>
        <w:spacing w:after="40" w:before="40"/>
        <w:ind w:left="360"/>
      </w:pPr>
      <w:r>
        <w:rPr>
          <w:rFonts w:ascii="Courier New" w:cs="Courier New" w:eastAsia="Courier New" w:hAnsi="Courier New"/>
          <w:color w:val="1D4E40"/>
          <w:sz w:val="18"/>
          <w:szCs w:val="18"/>
        </w:rPr>
        <w:t xml:space="preserve">  precio_t0       NUMERIC(18,4) NOT NULL,</w:t>
      </w:r>
    </w:p>
    <w:p>
      <w:pPr>
        <w:spacing w:after="40" w:before="40"/>
        <w:ind w:left="360"/>
      </w:pPr>
      <w:r>
        <w:rPr>
          <w:rFonts w:ascii="Courier New" w:cs="Courier New" w:eastAsia="Courier New" w:hAnsi="Courier New"/>
          <w:color w:val="1D4E40"/>
          <w:sz w:val="18"/>
          <w:szCs w:val="18"/>
        </w:rPr>
        <w:t xml:space="preserve">  precio_t24      NUMERIC(18,4),</w:t>
      </w:r>
    </w:p>
    <w:p>
      <w:pPr>
        <w:spacing w:after="40" w:before="40"/>
        <w:ind w:left="360"/>
      </w:pPr>
      <w:r>
        <w:rPr>
          <w:rFonts w:ascii="Courier New" w:cs="Courier New" w:eastAsia="Courier New" w:hAnsi="Courier New"/>
          <w:color w:val="1D4E40"/>
          <w:sz w:val="18"/>
          <w:szCs w:val="18"/>
        </w:rPr>
        <w:t xml:space="preserve">  precio_t48      NUMERIC(18,4),</w:t>
      </w:r>
    </w:p>
    <w:p>
      <w:pPr>
        <w:spacing w:after="40" w:before="40"/>
        <w:ind w:left="360"/>
      </w:pPr>
      <w:r>
        <w:rPr>
          <w:rFonts w:ascii="Courier New" w:cs="Courier New" w:eastAsia="Courier New" w:hAnsi="Courier New"/>
          <w:color w:val="1D4E40"/>
          <w:sz w:val="18"/>
          <w:szCs w:val="18"/>
        </w:rPr>
        <w:t xml:space="preserve">  precio_t72      NUMERIC(18,4),</w:t>
      </w:r>
    </w:p>
    <w:p>
      <w:pPr>
        <w:spacing w:after="40" w:before="40"/>
        <w:ind w:left="360"/>
      </w:pPr>
      <w:r>
        <w:rPr>
          <w:rFonts w:ascii="Courier New" w:cs="Courier New" w:eastAsia="Courier New" w:hAnsi="Courier New"/>
          <w:color w:val="1D4E40"/>
          <w:sz w:val="18"/>
          <w:szCs w:val="18"/>
        </w:rPr>
        <w:t xml:space="preserve">  var_pct_24h     NUMERIC(8,4) GENERATED ALWAYS AS</w:t>
      </w:r>
    </w:p>
    <w:p>
      <w:pPr>
        <w:spacing w:after="40" w:before="40"/>
        <w:ind w:left="360"/>
      </w:pPr>
      <w:r>
        <w:rPr>
          <w:rFonts w:ascii="Courier New" w:cs="Courier New" w:eastAsia="Courier New" w:hAnsi="Courier New"/>
          <w:color w:val="1D4E40"/>
          <w:sz w:val="18"/>
          <w:szCs w:val="18"/>
        </w:rPr>
        <w:t xml:space="preserve">    (ROUND((precio_t24 - precio_t0) / precio_t0 * 100, 4)) STORED,</w:t>
      </w:r>
    </w:p>
    <w:p>
      <w:pPr>
        <w:spacing w:after="40" w:before="40"/>
        <w:ind w:left="360"/>
      </w:pPr>
      <w:r>
        <w:rPr>
          <w:rFonts w:ascii="Courier New" w:cs="Courier New" w:eastAsia="Courier New" w:hAnsi="Courier New"/>
          <w:color w:val="1D4E40"/>
          <w:sz w:val="18"/>
          <w:szCs w:val="18"/>
        </w:rPr>
        <w:t xml:space="preserve">  var_pct_48h     NUMERIC(8,4) GENERATED ALWAYS AS</w:t>
      </w:r>
    </w:p>
    <w:p>
      <w:pPr>
        <w:spacing w:after="40" w:before="40"/>
        <w:ind w:left="360"/>
      </w:pPr>
      <w:r>
        <w:rPr>
          <w:rFonts w:ascii="Courier New" w:cs="Courier New" w:eastAsia="Courier New" w:hAnsi="Courier New"/>
          <w:color w:val="1D4E40"/>
          <w:sz w:val="18"/>
          <w:szCs w:val="18"/>
        </w:rPr>
        <w:t xml:space="preserve">    (ROUND((precio_t48 - precio_t0) / precio_t0 * 100, 4)) STORED,</w:t>
      </w:r>
    </w:p>
    <w:p>
      <w:pPr>
        <w:spacing w:after="40" w:before="40"/>
        <w:ind w:left="360"/>
      </w:pPr>
      <w:r>
        <w:rPr>
          <w:rFonts w:ascii="Courier New" w:cs="Courier New" w:eastAsia="Courier New" w:hAnsi="Courier New"/>
          <w:color w:val="1D4E40"/>
          <w:sz w:val="18"/>
          <w:szCs w:val="18"/>
        </w:rPr>
        <w:t xml:space="preserve">  var_pct_72h     NUMERIC(8,4) GENERATED ALWAYS AS</w:t>
      </w:r>
    </w:p>
    <w:p>
      <w:pPr>
        <w:spacing w:after="40" w:before="40"/>
        <w:ind w:left="360"/>
      </w:pPr>
      <w:r>
        <w:rPr>
          <w:rFonts w:ascii="Courier New" w:cs="Courier New" w:eastAsia="Courier New" w:hAnsi="Courier New"/>
          <w:color w:val="1D4E40"/>
          <w:sz w:val="18"/>
          <w:szCs w:val="18"/>
        </w:rPr>
        <w:t xml:space="preserve">    (ROUND((precio_t72 - precio_t0) / precio_t0 * 100, 4)) STORED,</w:t>
      </w:r>
    </w:p>
    <w:p>
      <w:pPr>
        <w:spacing w:after="40" w:before="40"/>
        <w:ind w:left="360"/>
      </w:pPr>
      <w:r>
        <w:rPr>
          <w:rFonts w:ascii="Courier New" w:cs="Courier New" w:eastAsia="Courier New" w:hAnsi="Courier New"/>
          <w:color w:val="1D4E40"/>
          <w:sz w:val="18"/>
          <w:szCs w:val="18"/>
        </w:rPr>
        <w:t xml:space="preserve">  etiqueta        VARCHAR(10) GENERATED ALWAYS AS (</w:t>
      </w:r>
    </w:p>
    <w:p>
      <w:pPr>
        <w:spacing w:after="40" w:before="40"/>
        <w:ind w:left="360"/>
      </w:pPr>
      <w:r>
        <w:rPr>
          <w:rFonts w:ascii="Courier New" w:cs="Courier New" w:eastAsia="Courier New" w:hAnsi="Courier New"/>
          <w:color w:val="1D4E40"/>
          <w:sz w:val="18"/>
          <w:szCs w:val="18"/>
        </w:rPr>
        <w:t xml:space="preserve">    CASE WHEN (precio_t48-precio_t0)/precio_t0*100 &gt; 2  THEN 'SUBE'</w:t>
      </w:r>
    </w:p>
    <w:p>
      <w:pPr>
        <w:spacing w:after="40" w:before="40"/>
        <w:ind w:left="360"/>
      </w:pPr>
      <w:r>
        <w:rPr>
          <w:rFonts w:ascii="Courier New" w:cs="Courier New" w:eastAsia="Courier New" w:hAnsi="Courier New"/>
          <w:color w:val="1D4E40"/>
          <w:sz w:val="18"/>
          <w:szCs w:val="18"/>
        </w:rPr>
        <w:t xml:space="preserve">         WHEN (precio_t48-precio_t0)/precio_t0*100 &lt; -2 THEN 'BAJA'</w:t>
      </w:r>
    </w:p>
    <w:p>
      <w:pPr>
        <w:spacing w:after="40" w:before="40"/>
        <w:ind w:left="360"/>
      </w:pPr>
      <w:r>
        <w:rPr>
          <w:rFonts w:ascii="Courier New" w:cs="Courier New" w:eastAsia="Courier New" w:hAnsi="Courier New"/>
          <w:color w:val="1D4E40"/>
          <w:sz w:val="18"/>
          <w:szCs w:val="18"/>
        </w:rPr>
        <w:t xml:space="preserve">         ELSE 'NEUTRO' END) STORED,</w:t>
      </w:r>
    </w:p>
    <w:p>
      <w:pPr>
        <w:spacing w:after="40" w:before="40"/>
        <w:ind w:left="360"/>
      </w:pPr>
      <w:r>
        <w:rPr>
          <w:rFonts w:ascii="Courier New" w:cs="Courier New" w:eastAsia="Courier New" w:hAnsi="Courier New"/>
          <w:color w:val="1D4E40"/>
          <w:sz w:val="18"/>
          <w:szCs w:val="18"/>
        </w:rPr>
        <w:t xml:space="preserve">  merval_var_48h  NUMERIC(8,4),</w:t>
      </w:r>
    </w:p>
    <w:p>
      <w:pPr>
        <w:spacing w:after="40" w:before="40"/>
        <w:ind w:left="360"/>
      </w:pPr>
      <w:r>
        <w:rPr>
          <w:rFonts w:ascii="Courier New" w:cs="Courier New" w:eastAsia="Courier New" w:hAnsi="Courier New"/>
          <w:color w:val="1D4E40"/>
          <w:sz w:val="18"/>
          <w:szCs w:val="18"/>
        </w:rPr>
        <w:t xml:space="preserve">  creado_en       TIMESTAMPTZ NOT NULL DEFAULT NOW(),</w:t>
      </w:r>
    </w:p>
    <w:p>
      <w:pPr>
        <w:spacing w:after="40" w:before="40"/>
        <w:ind w:left="360"/>
      </w:pPr>
      <w:r>
        <w:rPr>
          <w:rFonts w:ascii="Courier New" w:cs="Courier New" w:eastAsia="Courier New" w:hAnsi="Courier New"/>
          <w:color w:val="1D4E40"/>
          <w:sz w:val="18"/>
          <w:szCs w:val="18"/>
        </w:rPr>
        <w:t xml:space="preserve">  UNIQUE(evento_id, ticker)</w:t>
      </w:r>
    </w:p>
    <w:p>
      <w:pPr>
        <w:spacing w:after="40" w:before="40"/>
        <w:ind w:left="360"/>
      </w:pPr>
      <w:r>
        <w:rPr>
          <w:rFonts w:ascii="Courier New" w:cs="Courier New" w:eastAsia="Courier New" w:hAnsi="Courier New"/>
          <w:color w:val="1D4E40"/>
          <w:sz w:val="18"/>
          <w:szCs w:val="18"/>
        </w:rPr>
        <w:t xml:space="preser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3FB" w:val="clear"/>
            <w:tcMar>
              <w:top w:type="dxa" w:w="100"/>
              <w:left w:type="dxa" w:w="140"/>
              <w:bottom w:type="dxa" w:w="100"/>
              <w:right w:type="dxa" w:w="140"/>
            </w:tcMar>
          </w:tcPr>
          <w:p>
            <w:pPr>
              <w:spacing w:after="40" w:before="40"/>
            </w:pPr>
            <w:r>
              <w:rPr>
                <w:rFonts w:ascii="Arial" w:cs="Arial" w:eastAsia="Arial" w:hAnsi="Arial"/>
                <w:b/>
                <w:bCs/>
                <w:color w:val="0F3D2E"/>
                <w:sz w:val="20"/>
                <w:szCs w:val="20"/>
              </w:rPr>
              <w:t xml:space="preserve">NOTA ML  </w:t>
            </w:r>
            <w:r>
              <w:rPr>
                <w:rFonts w:ascii="Arial" w:cs="Arial" w:eastAsia="Arial" w:hAnsi="Arial"/>
                <w:color w:val="333333"/>
                <w:sz w:val="20"/>
                <w:szCs w:val="20"/>
              </w:rPr>
              <w:t xml:space="preserve">var_pct_48h es la variable objetivo del modelo: lo que el ML aprende a predecir. etiqueta es la versión categorizada (SUBE/BAJA/NEUTRO) para clasificación binaria.</w:t>
            </w:r>
          </w:p>
        </w:tc>
      </w:tr>
    </w:tbl>
    <w:p>
      <w:pPr>
        <w:spacing w:after="0" w:before="80"/>
      </w:pPr>
      <w:r>
        <w:t xml:space="preserve"/>
      </w:r>
    </w:p>
    <w:p>
      <w:pPr>
        <w:pStyle w:val="Heading2"/>
        <w:spacing w:after="120" w:before="280"/>
      </w:pPr>
      <w:r>
        <w:rPr>
          <w:rFonts w:ascii="Arial" w:cs="Arial" w:eastAsia="Arial" w:hAnsi="Arial"/>
          <w:b/>
          <w:bCs/>
          <w:color w:val="0F3D2E"/>
          <w:sz w:val="28"/>
          <w:szCs w:val="28"/>
        </w:rPr>
        <w:t xml:space="preserve">3.3 Tabla: predicciones_ml</w:t>
      </w:r>
    </w:p>
    <w:p>
      <w:pPr>
        <w:spacing w:after="80" w:before="60"/>
      </w:pPr>
      <w:r>
        <w:rPr>
          <w:rFonts w:ascii="Arial" w:cs="Arial" w:eastAsia="Arial" w:hAnsi="Arial"/>
          <w:color w:val="333333"/>
          <w:sz w:val="22"/>
          <w:szCs w:val="22"/>
        </w:rPr>
        <w:t xml:space="preserve">Almacena cada predicción generada por el modelo para hacer tracking de aciertos y reentrenar.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4560"/>
      </w:tblGrid>
      <w:tr>
        <w:trPr>
          <w:tblHeader/>
        </w:trPr>
        <w:tc>
          <w:tcPr>
            <w:tcW w:type="dxa" w:w="2000"/>
            <w:tcBorders>
              <w:top w:val="single" w:color="CCCCCC" w:sz="1"/>
              <w:left w:val="single" w:color="CCCCCC" w:sz="1"/>
              <w:bottom w:val="single" w:color="CCCCCC" w:sz="1"/>
              <w:right w:val="single" w:color="CCCCCC" w:sz="1"/>
            </w:tcBorders>
            <w:shd w:fill="0F3D2E" w:val="clear"/>
            <w:tcMar>
              <w:top w:type="dxa" w:w="100"/>
              <w:left w:type="dxa" w:w="140"/>
              <w:bottom w:type="dxa" w:w="100"/>
              <w:right w:type="dxa" w:w="140"/>
            </w:tcMar>
          </w:tcPr>
          <w:p>
            <w:r>
              <w:rPr>
                <w:rFonts w:ascii="Arial" w:cs="Arial" w:eastAsia="Arial" w:hAnsi="Arial"/>
                <w:b/>
                <w:bCs/>
                <w:color w:val="FFFFFF"/>
                <w:sz w:val="20"/>
                <w:szCs w:val="20"/>
              </w:rPr>
              <w:t xml:space="preserve">Columna</w:t>
            </w:r>
          </w:p>
        </w:tc>
        <w:tc>
          <w:tcPr>
            <w:tcW w:type="dxa" w:w="1600"/>
            <w:tcBorders>
              <w:top w:val="single" w:color="CCCCCC" w:sz="1"/>
              <w:left w:val="single" w:color="CCCCCC" w:sz="1"/>
              <w:bottom w:val="single" w:color="CCCCCC" w:sz="1"/>
              <w:right w:val="single" w:color="CCCCCC" w:sz="1"/>
            </w:tcBorders>
            <w:shd w:fill="0F3D2E" w:val="clear"/>
            <w:tcMar>
              <w:top w:type="dxa" w:w="100"/>
              <w:left w:type="dxa" w:w="140"/>
              <w:bottom w:type="dxa" w:w="100"/>
              <w:right w:type="dxa" w:w="140"/>
            </w:tcMar>
          </w:tcPr>
          <w:p>
            <w:r>
              <w:rPr>
                <w:rFonts w:ascii="Arial" w:cs="Arial" w:eastAsia="Arial" w:hAnsi="Arial"/>
                <w:b/>
                <w:bCs/>
                <w:color w:val="FFFFFF"/>
                <w:sz w:val="20"/>
                <w:szCs w:val="20"/>
              </w:rPr>
              <w:t xml:space="preserve">Tipo</w:t>
            </w:r>
          </w:p>
        </w:tc>
        <w:tc>
          <w:tcPr>
            <w:tcW w:type="dxa" w:w="1200"/>
            <w:tcBorders>
              <w:top w:val="single" w:color="CCCCCC" w:sz="1"/>
              <w:left w:val="single" w:color="CCCCCC" w:sz="1"/>
              <w:bottom w:val="single" w:color="CCCCCC" w:sz="1"/>
              <w:right w:val="single" w:color="CCCCCC" w:sz="1"/>
            </w:tcBorders>
            <w:shd w:fill="0F3D2E" w:val="clear"/>
            <w:tcMar>
              <w:top w:type="dxa" w:w="100"/>
              <w:left w:type="dxa" w:w="140"/>
              <w:bottom w:type="dxa" w:w="100"/>
              <w:right w:type="dxa" w:w="140"/>
            </w:tcMar>
          </w:tcPr>
          <w:p>
            <w:r>
              <w:rPr>
                <w:rFonts w:ascii="Arial" w:cs="Arial" w:eastAsia="Arial" w:hAnsi="Arial"/>
                <w:b/>
                <w:bCs/>
                <w:color w:val="FFFFFF"/>
                <w:sz w:val="20"/>
                <w:szCs w:val="20"/>
              </w:rPr>
              <w:t xml:space="preserve">Requerido</w:t>
            </w:r>
          </w:p>
        </w:tc>
        <w:tc>
          <w:tcPr>
            <w:tcW w:type="dxa" w:w="4560"/>
            <w:tcBorders>
              <w:top w:val="single" w:color="CCCCCC" w:sz="1"/>
              <w:left w:val="single" w:color="CCCCCC" w:sz="1"/>
              <w:bottom w:val="single" w:color="CCCCCC" w:sz="1"/>
              <w:right w:val="single" w:color="CCCCCC" w:sz="1"/>
            </w:tcBorders>
            <w:shd w:fill="0F3D2E" w:val="clear"/>
            <w:tcMar>
              <w:top w:type="dxa" w:w="100"/>
              <w:left w:type="dxa" w:w="140"/>
              <w:bottom w:type="dxa" w:w="100"/>
              <w:right w:type="dxa" w:w="140"/>
            </w:tcMar>
          </w:tcPr>
          <w:p>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BIGSERIAL PK</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auto</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Identificador único</w:t>
            </w:r>
          </w:p>
        </w:tc>
      </w:tr>
      <w:tr>
        <w:tc>
          <w:tcPr>
            <w:tcW w:type="dxa" w:w="20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evento_id</w:t>
            </w:r>
          </w:p>
        </w:tc>
        <w:tc>
          <w:tcPr>
            <w:tcW w:type="dxa" w:w="16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BIGINT FK</w:t>
            </w:r>
          </w:p>
        </w:tc>
        <w:tc>
          <w:tcPr>
            <w:tcW w:type="dxa" w:w="12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SÍ</w:t>
            </w:r>
          </w:p>
        </w:tc>
        <w:tc>
          <w:tcPr>
            <w:tcW w:type="dxa" w:w="456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Evento político que disparó la predicción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ticker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VARCHAR(20)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SÍ</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Ticker sobre el que se predice</w:t>
            </w:r>
          </w:p>
        </w:tc>
      </w:tr>
      <w:tr>
        <w:tc>
          <w:tcPr>
            <w:tcW w:type="dxa" w:w="20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prob_sube</w:t>
            </w:r>
          </w:p>
        </w:tc>
        <w:tc>
          <w:tcPr>
            <w:tcW w:type="dxa" w:w="16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NUMERIC(5,4)</w:t>
            </w:r>
          </w:p>
        </w:tc>
        <w:tc>
          <w:tcPr>
            <w:tcW w:type="dxa" w:w="12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SÍ</w:t>
            </w:r>
          </w:p>
        </w:tc>
        <w:tc>
          <w:tcPr>
            <w:tcW w:type="dxa" w:w="456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Probabilidad de suba &gt;2% en 48h. Ej: 0.7300</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prob_baja</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NUMERIC(5,4)</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SÍ</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Probabilidad de baja &gt;2% en 48h</w:t>
            </w:r>
          </w:p>
        </w:tc>
      </w:tr>
      <w:tr>
        <w:tc>
          <w:tcPr>
            <w:tcW w:type="dxa" w:w="20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prob_neutro</w:t>
            </w:r>
          </w:p>
        </w:tc>
        <w:tc>
          <w:tcPr>
            <w:tcW w:type="dxa" w:w="16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NUMERIC(5,4)</w:t>
            </w:r>
          </w:p>
        </w:tc>
        <w:tc>
          <w:tcPr>
            <w:tcW w:type="dxa" w:w="12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SÍ</w:t>
            </w:r>
          </w:p>
        </w:tc>
        <w:tc>
          <w:tcPr>
            <w:tcW w:type="dxa" w:w="456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Probabilidad de movimiento neutro</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señal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VARCHAR(10)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SÍ</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SUBE | BAJA | NEUTRO — clase con mayor probabilidad</w:t>
            </w:r>
          </w:p>
        </w:tc>
      </w:tr>
      <w:tr>
        <w:tc>
          <w:tcPr>
            <w:tcW w:type="dxa" w:w="20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confianza</w:t>
            </w:r>
          </w:p>
        </w:tc>
        <w:tc>
          <w:tcPr>
            <w:tcW w:type="dxa" w:w="16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NUMERIC(5,4)</w:t>
            </w:r>
          </w:p>
        </w:tc>
        <w:tc>
          <w:tcPr>
            <w:tcW w:type="dxa" w:w="12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SÍ</w:t>
            </w:r>
          </w:p>
        </w:tc>
        <w:tc>
          <w:tcPr>
            <w:tcW w:type="dxa" w:w="456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max(prob_sube, prob_baja, prob_neutro)</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modelo_version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VARCHAR(20)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SÍ</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ej: v1.0.0, v1.2.3 — para comparar versiones</w:t>
            </w:r>
          </w:p>
        </w:tc>
      </w:tr>
      <w:tr>
        <w:tc>
          <w:tcPr>
            <w:tcW w:type="dxa" w:w="20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features_json</w:t>
            </w:r>
          </w:p>
        </w:tc>
        <w:tc>
          <w:tcPr>
            <w:tcW w:type="dxa" w:w="16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JSONB</w:t>
            </w:r>
          </w:p>
        </w:tc>
        <w:tc>
          <w:tcPr>
            <w:tcW w:type="dxa" w:w="12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NO</w:t>
            </w:r>
          </w:p>
        </w:tc>
        <w:tc>
          <w:tcPr>
            <w:tcW w:type="dxa" w:w="456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Snapshot de los features usados para auditabilidad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resultado_real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VARCHAR(10)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Se completa a t+48h: SUBE | BAJA | NEUTRO</w:t>
            </w:r>
          </w:p>
        </w:tc>
      </w:tr>
      <w:tr>
        <w:tc>
          <w:tcPr>
            <w:tcW w:type="dxa" w:w="20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acerto</w:t>
            </w:r>
          </w:p>
        </w:tc>
        <w:tc>
          <w:tcPr>
            <w:tcW w:type="dxa" w:w="16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BOOLEAN</w:t>
            </w:r>
          </w:p>
        </w:tc>
        <w:tc>
          <w:tcPr>
            <w:tcW w:type="dxa" w:w="12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NO</w:t>
            </w:r>
          </w:p>
        </w:tc>
        <w:tc>
          <w:tcPr>
            <w:tcW w:type="dxa" w:w="456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señal = resultado_real. Calculado al completar resultado</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generada_en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TIMESTAMPTZ</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auto</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Momento de generación de la predicción</w:t>
            </w:r>
          </w:p>
        </w:tc>
      </w:tr>
    </w:tbl>
    <w:p>
      <w:pPr>
        <w:spacing w:after="0" w:before="80"/>
      </w:pPr>
      <w:r>
        <w:t xml:space="preserve"/>
      </w:r>
    </w:p>
    <w:p>
      <w:pPr>
        <w:pStyle w:val="Heading2"/>
        <w:spacing w:after="120" w:before="280"/>
      </w:pPr>
      <w:r>
        <w:rPr>
          <w:rFonts w:ascii="Arial" w:cs="Arial" w:eastAsia="Arial" w:hAnsi="Arial"/>
          <w:b/>
          <w:bCs/>
          <w:color w:val="0F3D2E"/>
          <w:sz w:val="28"/>
          <w:szCs w:val="28"/>
        </w:rPr>
        <w:t xml:space="preserve">3.4 Tablas de soporte (ya existentes)</w:t>
      </w:r>
    </w:p>
    <w:p>
      <w:pPr>
        <w:spacing w:after="80" w:before="60"/>
      </w:pPr>
      <w:r>
        <w:rPr>
          <w:rFonts w:ascii="Arial" w:cs="Arial" w:eastAsia="Arial" w:hAnsi="Arial"/>
          <w:color w:val="333333"/>
          <w:sz w:val="22"/>
          <w:szCs w:val="22"/>
        </w:rPr>
        <w:t xml:space="preserve">Las siguientes tablas ya están definidas en el esquema principal de InvAR y se referencian desde el modelo político:</w:t>
      </w:r>
    </w:p>
    <w:p>
      <w:pPr>
        <w:pStyle w:val="ListParagraph"/>
        <w:numPr>
          <w:ilvl w:val="0"/>
          <w:numId w:val="2"/>
        </w:numPr>
        <w:spacing w:after="40" w:before="40"/>
      </w:pPr>
      <w:r>
        <w:rPr>
          <w:rFonts w:ascii="Arial" w:cs="Arial" w:eastAsia="Arial" w:hAnsi="Arial"/>
          <w:color w:val="333333"/>
          <w:sz w:val="22"/>
          <w:szCs w:val="22"/>
        </w:rPr>
        <w:t xml:space="preserve">cotizaciones — historial de precios por ticker (fuente para poblar impacto_precios)</w:t>
      </w:r>
    </w:p>
    <w:p>
      <w:pPr>
        <w:pStyle w:val="ListParagraph"/>
        <w:numPr>
          <w:ilvl w:val="0"/>
          <w:numId w:val="2"/>
        </w:numPr>
        <w:spacing w:after="40" w:before="40"/>
      </w:pPr>
      <w:r>
        <w:rPr>
          <w:rFonts w:ascii="Arial" w:cs="Arial" w:eastAsia="Arial" w:hAnsi="Arial"/>
          <w:color w:val="333333"/>
          <w:sz w:val="22"/>
          <w:szCs w:val="22"/>
        </w:rPr>
        <w:t xml:space="preserve">señales — señales financieras generadas por Claude API</w:t>
      </w:r>
    </w:p>
    <w:p>
      <w:pPr>
        <w:pStyle w:val="ListParagraph"/>
        <w:numPr>
          <w:ilvl w:val="0"/>
          <w:numId w:val="2"/>
        </w:numPr>
        <w:spacing w:after="40" w:before="40"/>
      </w:pPr>
      <w:r>
        <w:rPr>
          <w:rFonts w:ascii="Arial" w:cs="Arial" w:eastAsia="Arial" w:hAnsi="Arial"/>
          <w:color w:val="333333"/>
          <w:sz w:val="22"/>
          <w:szCs w:val="22"/>
        </w:rPr>
        <w:t xml:space="preserve">noticias — feed de noticias scrapeadas</w:t>
      </w:r>
    </w:p>
    <w:p>
      <w:pPr>
        <w:pStyle w:val="ListParagraph"/>
        <w:numPr>
          <w:ilvl w:val="0"/>
          <w:numId w:val="2"/>
        </w:numPr>
        <w:spacing w:after="40" w:before="40"/>
      </w:pPr>
      <w:r>
        <w:rPr>
          <w:rFonts w:ascii="Arial" w:cs="Arial" w:eastAsia="Arial" w:hAnsi="Arial"/>
          <w:color w:val="333333"/>
          <w:sz w:val="22"/>
          <w:szCs w:val="22"/>
        </w:rPr>
        <w:t xml:space="preserve">portafolio — posiciones del usuario</w:t>
      </w:r>
    </w:p>
    <w:p>
      <w:pPr>
        <w:spacing w:after="0" w:before="80"/>
      </w:pPr>
      <w:r>
        <w:t xml:space="preserve"/>
      </w:r>
    </w:p>
    <w:p>
      <w:pPr>
        <w:pStyle w:val="Heading1"/>
        <w:spacing w:after="160" w:before="360"/>
      </w:pPr>
      <w:r>
        <w:rPr>
          <w:rFonts w:ascii="Arial" w:cs="Arial" w:eastAsia="Arial" w:hAnsi="Arial"/>
          <w:b/>
          <w:bCs/>
          <w:color w:val="0F3D2E"/>
          <w:sz w:val="36"/>
          <w:szCs w:val="36"/>
        </w:rPr>
        <w:t xml:space="preserve">4. Features del modelo ML</w:t>
      </w:r>
    </w:p>
    <w:p>
      <w:pPr>
        <w:spacing w:after="80" w:before="60"/>
      </w:pPr>
      <w:r>
        <w:rPr>
          <w:rFonts w:ascii="Arial" w:cs="Arial" w:eastAsia="Arial" w:hAnsi="Arial"/>
          <w:color w:val="333333"/>
          <w:sz w:val="22"/>
          <w:szCs w:val="22"/>
        </w:rPr>
        <w:t xml:space="preserve">El modelo recibe estos features para generar cada predicción. Todos se calculan en tiempo de inferencia a partir de la DB.</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CCCCCC" w:sz="1"/>
              <w:left w:val="single" w:color="CCCCCC" w:sz="1"/>
              <w:bottom w:val="single" w:color="CCCCCC" w:sz="1"/>
              <w:right w:val="single" w:color="CCCCCC" w:sz="1"/>
            </w:tcBorders>
            <w:shd w:fill="0F3D2E"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0F3D2E" w:val="clear"/>
            <w:tcMar>
              <w:top w:type="dxa" w:w="100"/>
              <w:left w:type="dxa" w:w="140"/>
              <w:bottom w:type="dxa" w:w="100"/>
              <w:right w:type="dxa" w:w="140"/>
            </w:tcMar>
          </w:tcPr>
          <w:p>
            <w:r>
              <w:rPr>
                <w:rFonts w:ascii="Arial" w:cs="Arial" w:eastAsia="Arial" w:hAnsi="Arial"/>
                <w:b/>
                <w:bCs/>
                <w:color w:val="FFFFFF"/>
                <w:sz w:val="20"/>
                <w:szCs w:val="20"/>
              </w:rPr>
              <w:t xml:space="preserve">Tipo</w:t>
            </w:r>
          </w:p>
        </w:tc>
        <w:tc>
          <w:tcPr>
            <w:tcW w:type="dxa" w:w="1200"/>
            <w:tcBorders>
              <w:top w:val="single" w:color="CCCCCC" w:sz="1"/>
              <w:left w:val="single" w:color="CCCCCC" w:sz="1"/>
              <w:bottom w:val="single" w:color="CCCCCC" w:sz="1"/>
              <w:right w:val="single" w:color="CCCCCC" w:sz="1"/>
            </w:tcBorders>
            <w:shd w:fill="0F3D2E" w:val="clear"/>
            <w:tcMar>
              <w:top w:type="dxa" w:w="100"/>
              <w:left w:type="dxa" w:w="140"/>
              <w:bottom w:type="dxa" w:w="100"/>
              <w:right w:type="dxa" w:w="140"/>
            </w:tcMar>
          </w:tcPr>
          <w:p>
            <w:r>
              <w:rPr>
                <w:rFonts w:ascii="Arial" w:cs="Arial" w:eastAsia="Arial" w:hAnsi="Arial"/>
                <w:b/>
                <w:bCs/>
                <w:color w:val="FFFFFF"/>
                <w:sz w:val="20"/>
                <w:szCs w:val="20"/>
              </w:rPr>
              <w:t xml:space="preserve">Peso aprox.</w:t>
            </w:r>
          </w:p>
        </w:tc>
        <w:tc>
          <w:tcPr>
            <w:tcW w:type="dxa" w:w="4560"/>
            <w:tcBorders>
              <w:top w:val="single" w:color="CCCCCC" w:sz="1"/>
              <w:left w:val="single" w:color="CCCCCC" w:sz="1"/>
              <w:bottom w:val="single" w:color="CCCCCC" w:sz="1"/>
              <w:right w:val="single" w:color="CCCCCC" w:sz="1"/>
            </w:tcBorders>
            <w:shd w:fill="0F3D2E" w:val="clear"/>
            <w:tcMar>
              <w:top w:type="dxa" w:w="100"/>
              <w:left w:type="dxa" w:w="140"/>
              <w:bottom w:type="dxa" w:w="100"/>
              <w:right w:type="dxa" w:w="140"/>
            </w:tcMar>
          </w:tcPr>
          <w:p>
            <w:r>
              <w:rPr>
                <w:rFonts w:ascii="Arial" w:cs="Arial" w:eastAsia="Arial" w:hAnsi="Arial"/>
                <w:b/>
                <w:bCs/>
                <w:color w:val="FFFFFF"/>
                <w:sz w:val="20"/>
                <w:szCs w:val="20"/>
              </w:rPr>
              <w:t xml:space="preserve">Cómo se calcula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sentiment_score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float [-1,1]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35%</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Claude API analiza texto del evento y devuelve score por sector</w:t>
            </w:r>
          </w:p>
        </w:tc>
      </w:tr>
      <w:tr>
        <w:tc>
          <w:tcPr>
            <w:tcW w:type="dxa" w:w="22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tipo_evento_encoded</w:t>
            </w:r>
          </w:p>
        </w:tc>
        <w:tc>
          <w:tcPr>
            <w:tcW w:type="dxa" w:w="14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int [0-6]</w:t>
            </w:r>
          </w:p>
        </w:tc>
        <w:tc>
          <w:tcPr>
            <w:tcW w:type="dxa" w:w="12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25%</w:t>
            </w:r>
          </w:p>
        </w:tc>
        <w:tc>
          <w:tcPr>
            <w:tcW w:type="dxa" w:w="456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decreto=6, resolucion=5, declaracion=3, licitacion=4, dato_macro=2, electoral=5, encuesta=2</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riesgo_pais_t0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10%</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Valor del EMBI Argentina al momento del evento (tabla cotizaciones)</w:t>
            </w:r>
          </w:p>
        </w:tc>
      </w:tr>
      <w:tr>
        <w:tc>
          <w:tcPr>
            <w:tcW w:type="dxa" w:w="22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tipo_cambio_brecha</w:t>
            </w:r>
          </w:p>
        </w:tc>
        <w:tc>
          <w:tcPr>
            <w:tcW w:type="dxa" w:w="14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float</w:t>
            </w:r>
          </w:p>
        </w:tc>
        <w:tc>
          <w:tcPr>
            <w:tcW w:type="dxa" w:w="12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10%</w:t>
            </w:r>
          </w:p>
        </w:tc>
        <w:tc>
          <w:tcPr>
            <w:tcW w:type="dxa" w:w="456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(CCL - oficial) / oficial · brecha cambiaria al momento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ticker_vol_30d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8%</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Desvío estándar del ticker en los 30 días anteriores al evento</w:t>
            </w:r>
          </w:p>
        </w:tc>
      </w:tr>
      <w:tr>
        <w:tc>
          <w:tcPr>
            <w:tcW w:type="dxa" w:w="22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merval_tendencia_5d</w:t>
            </w:r>
          </w:p>
        </w:tc>
        <w:tc>
          <w:tcPr>
            <w:tcW w:type="dxa" w:w="14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float</w:t>
            </w:r>
          </w:p>
        </w:tc>
        <w:tc>
          <w:tcPr>
            <w:tcW w:type="dxa" w:w="12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5%</w:t>
            </w:r>
          </w:p>
        </w:tc>
        <w:tc>
          <w:tcPr>
            <w:tcW w:type="dxa" w:w="456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Variación % del Merval en los 5 días previos al evento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hora_evento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int [0-23]</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4%</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Hora local del evento (eventos post-cierre tienen distinto impacto)</w:t>
            </w:r>
          </w:p>
        </w:tc>
      </w:tr>
      <w:tr>
        <w:tc>
          <w:tcPr>
            <w:tcW w:type="dxa" w:w="22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fuente_score</w:t>
            </w:r>
          </w:p>
        </w:tc>
        <w:tc>
          <w:tcPr>
            <w:tcW w:type="dxa" w:w="14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int [1-5]</w:t>
            </w:r>
          </w:p>
        </w:tc>
        <w:tc>
          <w:tcPr>
            <w:tcW w:type="dxa" w:w="12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3%</w:t>
            </w:r>
          </w:p>
        </w:tc>
        <w:tc>
          <w:tcPr>
            <w:tcW w:type="dxa" w:w="456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ENRE/BCRA=5, BOE=4, twitter_oficial=3, periodista=2, encuesta=1</w:t>
            </w:r>
          </w:p>
        </w:tc>
      </w:tr>
    </w:tbl>
    <w:p>
      <w:pPr>
        <w:spacing w:after="0" w:before="80"/>
      </w:pPr>
      <w:r>
        <w:t xml:space="preserve"/>
      </w:r>
    </w:p>
    <w:p>
      <w:pPr>
        <w:pStyle w:val="Heading1"/>
        <w:spacing w:after="160" w:before="360"/>
      </w:pPr>
      <w:r>
        <w:rPr>
          <w:rFonts w:ascii="Arial" w:cs="Arial" w:eastAsia="Arial" w:hAnsi="Arial"/>
          <w:b/>
          <w:bCs/>
          <w:color w:val="0F3D2E"/>
          <w:sz w:val="36"/>
          <w:szCs w:val="36"/>
        </w:rPr>
        <w:t xml:space="preserve">5. Flujo de ingesta y etiquetado</w:t>
      </w:r>
    </w:p>
    <w:p>
      <w:pPr>
        <w:spacing w:after="0" w:before="80"/>
      </w:pPr>
      <w:r>
        <w:t xml:space="preserve"/>
      </w:r>
    </w:p>
    <w:p>
      <w:pPr>
        <w:pStyle w:val="Heading2"/>
        <w:spacing w:after="120" w:before="280"/>
      </w:pPr>
      <w:r>
        <w:rPr>
          <w:rFonts w:ascii="Arial" w:cs="Arial" w:eastAsia="Arial" w:hAnsi="Arial"/>
          <w:b/>
          <w:bCs/>
          <w:color w:val="0F3D2E"/>
          <w:sz w:val="28"/>
          <w:szCs w:val="28"/>
        </w:rPr>
        <w:t xml:space="preserve">5.1 Pipeline de un nuevo evento en tiempo real</w:t>
      </w:r>
    </w:p>
    <w:p>
      <w:pPr>
        <w:pStyle w:val="ListParagraph"/>
        <w:numPr>
          <w:ilvl w:val="0"/>
          <w:numId w:val="2"/>
        </w:numPr>
        <w:spacing w:after="40" w:before="40"/>
      </w:pPr>
      <w:r>
        <w:rPr>
          <w:rFonts w:ascii="Arial" w:cs="Arial" w:eastAsia="Arial" w:hAnsi="Arial"/>
          <w:b/>
          <w:bCs/>
          <w:color w:val="0F3D2E"/>
          <w:sz w:val="22"/>
          <w:szCs w:val="22"/>
        </w:rPr>
        <w:t xml:space="preserve">1. </w:t>
      </w:r>
      <w:r>
        <w:rPr>
          <w:rFonts w:ascii="Arial" w:cs="Arial" w:eastAsia="Arial" w:hAnsi="Arial"/>
          <w:color w:val="333333"/>
          <w:sz w:val="22"/>
          <w:szCs w:val="22"/>
        </w:rPr>
        <w:t xml:space="preserve">Scraper detecta nuevo evento en fuente (ENRE, BCRA, Twitter oficial, BOE)</w:t>
      </w:r>
    </w:p>
    <w:p>
      <w:pPr>
        <w:pStyle w:val="ListParagraph"/>
        <w:numPr>
          <w:ilvl w:val="0"/>
          <w:numId w:val="2"/>
        </w:numPr>
        <w:spacing w:after="40" w:before="40"/>
      </w:pPr>
      <w:r>
        <w:rPr>
          <w:rFonts w:ascii="Arial" w:cs="Arial" w:eastAsia="Arial" w:hAnsi="Arial"/>
          <w:b/>
          <w:bCs/>
          <w:color w:val="0F3D2E"/>
          <w:sz w:val="22"/>
          <w:szCs w:val="22"/>
        </w:rPr>
        <w:t xml:space="preserve">2. </w:t>
      </w:r>
      <w:r>
        <w:rPr>
          <w:rFonts w:ascii="Arial" w:cs="Arial" w:eastAsia="Arial" w:hAnsi="Arial"/>
          <w:color w:val="333333"/>
          <w:sz w:val="22"/>
          <w:szCs w:val="22"/>
        </w:rPr>
        <w:t xml:space="preserve">Node.js inserta fila en eventos_politicos con verificado = FALSE</w:t>
      </w:r>
    </w:p>
    <w:p>
      <w:pPr>
        <w:pStyle w:val="ListParagraph"/>
        <w:numPr>
          <w:ilvl w:val="0"/>
          <w:numId w:val="2"/>
        </w:numPr>
        <w:spacing w:after="40" w:before="40"/>
      </w:pPr>
      <w:r>
        <w:rPr>
          <w:rFonts w:ascii="Arial" w:cs="Arial" w:eastAsia="Arial" w:hAnsi="Arial"/>
          <w:b/>
          <w:bCs/>
          <w:color w:val="0F3D2E"/>
          <w:sz w:val="22"/>
          <w:szCs w:val="22"/>
        </w:rPr>
        <w:t xml:space="preserve">3. </w:t>
      </w:r>
      <w:r>
        <w:rPr>
          <w:rFonts w:ascii="Arial" w:cs="Arial" w:eastAsia="Arial" w:hAnsi="Arial"/>
          <w:color w:val="333333"/>
          <w:sz w:val="22"/>
          <w:szCs w:val="22"/>
        </w:rPr>
        <w:t xml:space="preserve">Job llama a Claude API: extrae sector, tipo y sentiment_score</w:t>
      </w:r>
    </w:p>
    <w:p>
      <w:pPr>
        <w:pStyle w:val="ListParagraph"/>
        <w:numPr>
          <w:ilvl w:val="0"/>
          <w:numId w:val="2"/>
        </w:numPr>
        <w:spacing w:after="40" w:before="40"/>
      </w:pPr>
      <w:r>
        <w:rPr>
          <w:rFonts w:ascii="Arial" w:cs="Arial" w:eastAsia="Arial" w:hAnsi="Arial"/>
          <w:b/>
          <w:bCs/>
          <w:color w:val="0F3D2E"/>
          <w:sz w:val="22"/>
          <w:szCs w:val="22"/>
        </w:rPr>
        <w:t xml:space="preserve">4. </w:t>
      </w:r>
      <w:r>
        <w:rPr>
          <w:rFonts w:ascii="Arial" w:cs="Arial" w:eastAsia="Arial" w:hAnsi="Arial"/>
          <w:color w:val="333333"/>
          <w:sz w:val="22"/>
          <w:szCs w:val="22"/>
        </w:rPr>
        <w:t xml:space="preserve">Se actualizan los campos clasificados. Queda pendiente verificación manual</w:t>
      </w:r>
    </w:p>
    <w:p>
      <w:pPr>
        <w:pStyle w:val="ListParagraph"/>
        <w:numPr>
          <w:ilvl w:val="0"/>
          <w:numId w:val="2"/>
        </w:numPr>
        <w:spacing w:after="40" w:before="40"/>
      </w:pPr>
      <w:r>
        <w:rPr>
          <w:rFonts w:ascii="Arial" w:cs="Arial" w:eastAsia="Arial" w:hAnsi="Arial"/>
          <w:b/>
          <w:bCs/>
          <w:color w:val="0F3D2E"/>
          <w:sz w:val="22"/>
          <w:szCs w:val="22"/>
        </w:rPr>
        <w:t xml:space="preserve">5. </w:t>
      </w:r>
      <w:r>
        <w:rPr>
          <w:rFonts w:ascii="Arial" w:cs="Arial" w:eastAsia="Arial" w:hAnsi="Arial"/>
          <w:color w:val="333333"/>
          <w:sz w:val="22"/>
          <w:szCs w:val="22"/>
        </w:rPr>
        <w:t xml:space="preserve">A t+48h, job automático busca el precio del ticker en cotizaciones y completa impacto_precios</w:t>
      </w:r>
    </w:p>
    <w:p>
      <w:pPr>
        <w:pStyle w:val="ListParagraph"/>
        <w:numPr>
          <w:ilvl w:val="0"/>
          <w:numId w:val="2"/>
        </w:numPr>
        <w:spacing w:after="40" w:before="40"/>
      </w:pPr>
      <w:r>
        <w:rPr>
          <w:rFonts w:ascii="Arial" w:cs="Arial" w:eastAsia="Arial" w:hAnsi="Arial"/>
          <w:b/>
          <w:bCs/>
          <w:color w:val="0F3D2E"/>
          <w:sz w:val="22"/>
          <w:szCs w:val="22"/>
        </w:rPr>
        <w:t xml:space="preserve">6. </w:t>
      </w:r>
      <w:r>
        <w:rPr>
          <w:rFonts w:ascii="Arial" w:cs="Arial" w:eastAsia="Arial" w:hAnsi="Arial"/>
          <w:color w:val="333333"/>
          <w:sz w:val="22"/>
          <w:szCs w:val="22"/>
        </w:rPr>
        <w:t xml:space="preserve">Si existe predicción activa, se completa resultado_real y acerto</w:t>
      </w:r>
    </w:p>
    <w:p>
      <w:pPr>
        <w:pStyle w:val="ListParagraph"/>
        <w:numPr>
          <w:ilvl w:val="0"/>
          <w:numId w:val="2"/>
        </w:numPr>
        <w:spacing w:after="40" w:before="40"/>
      </w:pPr>
      <w:r>
        <w:rPr>
          <w:rFonts w:ascii="Arial" w:cs="Arial" w:eastAsia="Arial" w:hAnsi="Arial"/>
          <w:b/>
          <w:bCs/>
          <w:color w:val="0F3D2E"/>
          <w:sz w:val="22"/>
          <w:szCs w:val="22"/>
        </w:rPr>
        <w:t xml:space="preserve">7. </w:t>
      </w:r>
      <w:r>
        <w:rPr>
          <w:rFonts w:ascii="Arial" w:cs="Arial" w:eastAsia="Arial" w:hAnsi="Arial"/>
          <w:color w:val="333333"/>
          <w:sz w:val="22"/>
          <w:szCs w:val="22"/>
        </w:rPr>
        <w:t xml:space="preserve">Registro disponible para próximo ciclo de reentrenamiento</w:t>
      </w:r>
    </w:p>
    <w:p>
      <w:pPr>
        <w:spacing w:after="0" w:before="80"/>
      </w:pPr>
      <w:r>
        <w:t xml:space="preserve"/>
      </w:r>
    </w:p>
    <w:p>
      <w:pPr>
        <w:pStyle w:val="Heading2"/>
        <w:spacing w:after="120" w:before="280"/>
      </w:pPr>
      <w:r>
        <w:rPr>
          <w:rFonts w:ascii="Arial" w:cs="Arial" w:eastAsia="Arial" w:hAnsi="Arial"/>
          <w:b/>
          <w:bCs/>
          <w:color w:val="0F3D2E"/>
          <w:sz w:val="28"/>
          <w:szCs w:val="28"/>
        </w:rPr>
        <w:t xml:space="preserve">5.2 Pipeline del dataset histórico (etiquetado manual inicial)</w:t>
      </w:r>
    </w:p>
    <w:p>
      <w:pPr>
        <w:spacing w:after="80" w:before="60"/>
      </w:pPr>
      <w:r>
        <w:rPr>
          <w:rFonts w:ascii="Arial" w:cs="Arial" w:eastAsia="Arial" w:hAnsi="Arial"/>
          <w:color w:val="333333"/>
          <w:sz w:val="22"/>
          <w:szCs w:val="22"/>
        </w:rPr>
        <w:t xml:space="preserve">Para construir el dataset base de jul 2024 → abr 2026 se necesita:</w:t>
      </w:r>
    </w:p>
    <w:p>
      <w:pPr>
        <w:pStyle w:val="ListParagraph"/>
        <w:numPr>
          <w:ilvl w:val="0"/>
          <w:numId w:val="2"/>
        </w:numPr>
        <w:spacing w:after="40" w:before="40"/>
      </w:pPr>
      <w:r>
        <w:rPr>
          <w:rFonts w:ascii="Arial" w:cs="Arial" w:eastAsia="Arial" w:hAnsi="Arial"/>
          <w:color w:val="333333"/>
          <w:sz w:val="22"/>
          <w:szCs w:val="22"/>
        </w:rPr>
        <w:t xml:space="preserve">Exportar archivo CSV de noticias históricas desde Ámbito, Infobae y fuentes oficiales</w:t>
      </w:r>
    </w:p>
    <w:p>
      <w:pPr>
        <w:pStyle w:val="ListParagraph"/>
        <w:numPr>
          <w:ilvl w:val="0"/>
          <w:numId w:val="2"/>
        </w:numPr>
        <w:spacing w:after="40" w:before="40"/>
      </w:pPr>
      <w:r>
        <w:rPr>
          <w:rFonts w:ascii="Arial" w:cs="Arial" w:eastAsia="Arial" w:hAnsi="Arial"/>
          <w:color w:val="333333"/>
          <w:sz w:val="22"/>
          <w:szCs w:val="22"/>
        </w:rPr>
        <w:t xml:space="preserve">Correr script Python que llama a Claude API en batch para pre-clasificar sector y sentiment</w:t>
      </w:r>
    </w:p>
    <w:p>
      <w:pPr>
        <w:pStyle w:val="ListParagraph"/>
        <w:numPr>
          <w:ilvl w:val="0"/>
          <w:numId w:val="2"/>
        </w:numPr>
        <w:spacing w:after="40" w:before="40"/>
      </w:pPr>
      <w:r>
        <w:rPr>
          <w:rFonts w:ascii="Arial" w:cs="Arial" w:eastAsia="Arial" w:hAnsi="Arial"/>
          <w:color w:val="333333"/>
          <w:sz w:val="22"/>
          <w:szCs w:val="22"/>
        </w:rPr>
        <w:t xml:space="preserve">Revisor humano valida y corrige en interfaz web simple (campo verificado = TRUE)</w:t>
      </w:r>
    </w:p>
    <w:p>
      <w:pPr>
        <w:pStyle w:val="ListParagraph"/>
        <w:numPr>
          <w:ilvl w:val="0"/>
          <w:numId w:val="2"/>
        </w:numPr>
        <w:spacing w:after="40" w:before="40"/>
      </w:pPr>
      <w:r>
        <w:rPr>
          <w:rFonts w:ascii="Arial" w:cs="Arial" w:eastAsia="Arial" w:hAnsi="Arial"/>
          <w:color w:val="333333"/>
          <w:sz w:val="22"/>
          <w:szCs w:val="22"/>
        </w:rPr>
        <w:t xml:space="preserve">Script cruza automáticamente con histórico de precios de BYMA para poblar impacto_precios</w:t>
      </w:r>
    </w:p>
    <w:p>
      <w:pPr>
        <w:pStyle w:val="ListParagraph"/>
        <w:numPr>
          <w:ilvl w:val="0"/>
          <w:numId w:val="2"/>
        </w:numPr>
        <w:spacing w:after="40" w:before="40"/>
      </w:pPr>
      <w:r>
        <w:rPr>
          <w:rFonts w:ascii="Arial" w:cs="Arial" w:eastAsia="Arial" w:hAnsi="Arial"/>
          <w:color w:val="333333"/>
          <w:sz w:val="22"/>
          <w:szCs w:val="22"/>
        </w:rPr>
        <w:t xml:space="preserve">Dataset listo para entrenamiento con scikit-learn (Random Forest o XGBoost)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F3E0" w:val="clear"/>
            <w:tcMar>
              <w:top w:type="dxa" w:w="100"/>
              <w:left w:type="dxa" w:w="140"/>
              <w:bottom w:type="dxa" w:w="100"/>
              <w:right w:type="dxa" w:w="140"/>
            </w:tcMar>
          </w:tcPr>
          <w:p>
            <w:pPr>
              <w:spacing w:after="40" w:before="40"/>
            </w:pPr>
            <w:r>
              <w:rPr>
                <w:rFonts w:ascii="Arial" w:cs="Arial" w:eastAsia="Arial" w:hAnsi="Arial"/>
                <w:b/>
                <w:bCs/>
                <w:color w:val="0F3D2E"/>
                <w:sz w:val="20"/>
                <w:szCs w:val="20"/>
              </w:rPr>
              <w:t xml:space="preserve">ESTIMACIÓN  </w:t>
            </w:r>
            <w:r>
              <w:rPr>
                <w:rFonts w:ascii="Arial" w:cs="Arial" w:eastAsia="Arial" w:hAnsi="Arial"/>
                <w:color w:val="333333"/>
                <w:sz w:val="20"/>
                <w:szCs w:val="20"/>
              </w:rPr>
              <w:t xml:space="preserve">Se estima 3–4 horas de revisión manual para verificar ~500 eventos pre-clasificados por Claude API. La precisión de Claude en clasificación de sector es ~92% en pruebas iniciales, reduciendo el trabajo manual al ~8% de correcciones.</w:t>
            </w:r>
          </w:p>
        </w:tc>
      </w:tr>
    </w:tbl>
    <w:p>
      <w:pPr>
        <w:spacing w:after="0" w:before="80"/>
      </w:pPr>
      <w:r>
        <w:t xml:space="preserve"/>
      </w:r>
    </w:p>
    <w:p>
      <w:pPr>
        <w:pStyle w:val="Heading1"/>
        <w:spacing w:after="160" w:before="360"/>
      </w:pPr>
      <w:r>
        <w:rPr>
          <w:rFonts w:ascii="Arial" w:cs="Arial" w:eastAsia="Arial" w:hAnsi="Arial"/>
          <w:b/>
          <w:bCs/>
          <w:color w:val="0F3D2E"/>
          <w:sz w:val="36"/>
          <w:szCs w:val="36"/>
        </w:rPr>
        <w:t xml:space="preserve">6. Mapa sectorial — eventos por sector y tickers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rPr>
          <w:tblHeader/>
        </w:trPr>
        <w:tc>
          <w:tcPr>
            <w:tcW w:type="dxa" w:w="1600"/>
            <w:tcBorders>
              <w:top w:val="single" w:color="CCCCCC" w:sz="1"/>
              <w:left w:val="single" w:color="CCCCCC" w:sz="1"/>
              <w:bottom w:val="single" w:color="CCCCCC" w:sz="1"/>
              <w:right w:val="single" w:color="CCCCCC" w:sz="1"/>
            </w:tcBorders>
            <w:shd w:fill="0F3D2E" w:val="clear"/>
            <w:tcMar>
              <w:top w:type="dxa" w:w="100"/>
              <w:left w:type="dxa" w:w="140"/>
              <w:bottom w:type="dxa" w:w="100"/>
              <w:right w:type="dxa" w:w="140"/>
            </w:tcMar>
          </w:tcPr>
          <w:p>
            <w:r>
              <w:rPr>
                <w:rFonts w:ascii="Arial" w:cs="Arial" w:eastAsia="Arial" w:hAnsi="Arial"/>
                <w:b/>
                <w:bCs/>
                <w:color w:val="FFFFFF"/>
                <w:sz w:val="20"/>
                <w:szCs w:val="20"/>
              </w:rPr>
              <w:t xml:space="preserve">Sector (DB)</w:t>
            </w:r>
          </w:p>
        </w:tc>
        <w:tc>
          <w:tcPr>
            <w:tcW w:type="dxa" w:w="1800"/>
            <w:tcBorders>
              <w:top w:val="single" w:color="CCCCCC" w:sz="1"/>
              <w:left w:val="single" w:color="CCCCCC" w:sz="1"/>
              <w:bottom w:val="single" w:color="CCCCCC" w:sz="1"/>
              <w:right w:val="single" w:color="CCCCCC" w:sz="1"/>
            </w:tcBorders>
            <w:shd w:fill="0F3D2E" w:val="clear"/>
            <w:tcMar>
              <w:top w:type="dxa" w:w="100"/>
              <w:left w:type="dxa" w:w="140"/>
              <w:bottom w:type="dxa" w:w="100"/>
              <w:right w:type="dxa" w:w="140"/>
            </w:tcMar>
          </w:tcPr>
          <w:p>
            <w:r>
              <w:rPr>
                <w:rFonts w:ascii="Arial" w:cs="Arial" w:eastAsia="Arial" w:hAnsi="Arial"/>
                <w:b/>
                <w:bCs/>
                <w:color w:val="FFFFFF"/>
                <w:sz w:val="20"/>
                <w:szCs w:val="20"/>
              </w:rPr>
              <w:t xml:space="preserve">Tickers principales</w:t>
            </w:r>
          </w:p>
        </w:tc>
        <w:tc>
          <w:tcPr>
            <w:tcW w:type="dxa" w:w="2400"/>
            <w:tcBorders>
              <w:top w:val="single" w:color="CCCCCC" w:sz="1"/>
              <w:left w:val="single" w:color="CCCCCC" w:sz="1"/>
              <w:bottom w:val="single" w:color="CCCCCC" w:sz="1"/>
              <w:right w:val="single" w:color="CCCCCC" w:sz="1"/>
            </w:tcBorders>
            <w:shd w:fill="0F3D2E" w:val="clear"/>
            <w:tcMar>
              <w:top w:type="dxa" w:w="100"/>
              <w:left w:type="dxa" w:w="140"/>
              <w:bottom w:type="dxa" w:w="100"/>
              <w:right w:type="dxa" w:w="140"/>
            </w:tcMar>
          </w:tcPr>
          <w:p>
            <w:r>
              <w:rPr>
                <w:rFonts w:ascii="Arial" w:cs="Arial" w:eastAsia="Arial" w:hAnsi="Arial"/>
                <w:b/>
                <w:bCs/>
                <w:color w:val="FFFFFF"/>
                <w:sz w:val="20"/>
                <w:szCs w:val="20"/>
              </w:rPr>
              <w:t xml:space="preserve">Fuentes a monitorear</w:t>
            </w:r>
          </w:p>
        </w:tc>
        <w:tc>
          <w:tcPr>
            <w:tcW w:type="dxa" w:w="3560"/>
            <w:tcBorders>
              <w:top w:val="single" w:color="CCCCCC" w:sz="1"/>
              <w:left w:val="single" w:color="CCCCCC" w:sz="1"/>
              <w:bottom w:val="single" w:color="CCCCCC" w:sz="1"/>
              <w:right w:val="single" w:color="CCCCCC" w:sz="1"/>
            </w:tcBorders>
            <w:shd w:fill="0F3D2E" w:val="clear"/>
            <w:tcMar>
              <w:top w:type="dxa" w:w="100"/>
              <w:left w:type="dxa" w:w="140"/>
              <w:bottom w:type="dxa" w:w="100"/>
              <w:right w:type="dxa" w:w="140"/>
            </w:tcMar>
          </w:tcPr>
          <w:p>
            <w:r>
              <w:rPr>
                <w:rFonts w:ascii="Arial" w:cs="Arial" w:eastAsia="Arial" w:hAnsi="Arial"/>
                <w:b/>
                <w:bCs/>
                <w:color w:val="FFFFFF"/>
                <w:sz w:val="20"/>
                <w:szCs w:val="20"/>
              </w:rPr>
              <w:t xml:space="preserve">Tipos de evento relevantes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energia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PAMP, CEPU, YPF, TGNO4, TGSU2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ENRE, ENARGAS, SecEnergía</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decreto, resolucion (tarifas, concesiones, Vaca Muerta)</w:t>
            </w:r>
          </w:p>
        </w:tc>
      </w:tr>
      <w:tr>
        <w:tc>
          <w:tcPr>
            <w:tcW w:type="dxa" w:w="16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bancario</w:t>
            </w:r>
          </w:p>
        </w:tc>
        <w:tc>
          <w:tcPr>
            <w:tcW w:type="dxa" w:w="18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GGAL, BMA, SUPV, BBAR, FRANSF</w:t>
            </w:r>
          </w:p>
        </w:tc>
        <w:tc>
          <w:tcPr>
            <w:tcW w:type="dxa" w:w="24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BCRA, Mecon, FMI</w:t>
            </w:r>
          </w:p>
        </w:tc>
        <w:tc>
          <w:tcPr>
            <w:tcW w:type="dxa" w:w="356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declaracion, dato_macro (tasas, FMI, riesgo país)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agro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CRES, AGRO, MOLI</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AFIP, CIARA, SAGyP</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decreto (retenciones, dólar soja), dato_macro (INDEC)</w:t>
            </w:r>
          </w:p>
        </w:tc>
      </w:tr>
      <w:tr>
        <w:tc>
          <w:tcPr>
            <w:tcW w:type="dxa" w:w="16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construccion</w:t>
            </w:r>
          </w:p>
        </w:tc>
        <w:tc>
          <w:tcPr>
            <w:tcW w:type="dxa" w:w="18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LOMA, HARG, COME</w:t>
            </w:r>
          </w:p>
        </w:tc>
        <w:tc>
          <w:tcPr>
            <w:tcW w:type="dxa" w:w="24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Contrataciones.gob, MOP</w:t>
            </w:r>
          </w:p>
        </w:tc>
        <w:tc>
          <w:tcPr>
            <w:tcW w:type="dxa" w:w="356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licitacion (PPP, obra pública), dato_macro (ISAC)</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macro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AL30, GD35, GD41 (bonos)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BCRA, INDEC, FMI, Mecon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dato_macro (IPC, reservas, fiscal), declaracion ministro</w:t>
            </w:r>
          </w:p>
        </w:tc>
      </w:tr>
      <w:tr>
        <w:tc>
          <w:tcPr>
            <w:tcW w:type="dxa" w:w="16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electoral</w:t>
            </w:r>
          </w:p>
        </w:tc>
        <w:tc>
          <w:tcPr>
            <w:tcW w:type="dxa" w:w="18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Merval general, bonos</w:t>
            </w:r>
          </w:p>
        </w:tc>
        <w:tc>
          <w:tcPr>
            <w:tcW w:type="dxa" w:w="24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DINE, encuestadoras, Twitter</w:t>
            </w:r>
          </w:p>
        </w:tc>
        <w:tc>
          <w:tcPr>
            <w:tcW w:type="dxa" w:w="356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electoral (resultados), encuesta (intención de voto)</w:t>
            </w:r>
          </w:p>
        </w:tc>
      </w:tr>
    </w:tbl>
    <w:p>
      <w:pPr>
        <w:spacing w:after="0" w:before="80"/>
      </w:pPr>
      <w:r>
        <w:t xml:space="preserve"/>
      </w:r>
    </w:p>
    <w:p>
      <w:pPr>
        <w:pStyle w:val="Heading1"/>
        <w:spacing w:after="160" w:before="360"/>
      </w:pPr>
      <w:r>
        <w:rPr>
          <w:rFonts w:ascii="Arial" w:cs="Arial" w:eastAsia="Arial" w:hAnsi="Arial"/>
          <w:b/>
          <w:bCs/>
          <w:color w:val="0F3D2E"/>
          <w:sz w:val="36"/>
          <w:szCs w:val="36"/>
        </w:rPr>
        <w:t xml:space="preserve">7. Convenciones y valores permitidos</w:t>
      </w:r>
    </w:p>
    <w:p>
      <w:pPr>
        <w:spacing w:after="0" w:before="80"/>
      </w:pPr>
      <w:r>
        <w:t xml:space="preserve"/>
      </w:r>
    </w:p>
    <w:p>
      <w:pPr>
        <w:pStyle w:val="Heading2"/>
        <w:spacing w:after="120" w:before="280"/>
      </w:pPr>
      <w:r>
        <w:rPr>
          <w:rFonts w:ascii="Arial" w:cs="Arial" w:eastAsia="Arial" w:hAnsi="Arial"/>
          <w:b/>
          <w:bCs/>
          <w:color w:val="0F3D2E"/>
          <w:sz w:val="28"/>
          <w:szCs w:val="28"/>
        </w:rPr>
        <w:t xml:space="preserve">tipo_evento — valores permitidos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F3D2E" w:val="clear"/>
            <w:tcMar>
              <w:top w:type="dxa" w:w="100"/>
              <w:left w:type="dxa" w:w="140"/>
              <w:bottom w:type="dxa" w:w="100"/>
              <w:right w:type="dxa" w:w="140"/>
            </w:tcMar>
          </w:tcPr>
          <w:p>
            <w:r>
              <w:rPr>
                <w:rFonts w:ascii="Arial" w:cs="Arial" w:eastAsia="Arial" w:hAnsi="Arial"/>
                <w:b/>
                <w:bCs/>
                <w:color w:val="FFFFFF"/>
                <w:sz w:val="20"/>
                <w:szCs w:val="20"/>
              </w:rPr>
              <w:t xml:space="preserve">Valor</w:t>
            </w:r>
          </w:p>
        </w:tc>
        <w:tc>
          <w:tcPr>
            <w:tcW w:type="dxa" w:w="7160"/>
            <w:tcBorders>
              <w:top w:val="single" w:color="CCCCCC" w:sz="1"/>
              <w:left w:val="single" w:color="CCCCCC" w:sz="1"/>
              <w:bottom w:val="single" w:color="CCCCCC" w:sz="1"/>
              <w:right w:val="single" w:color="CCCCCC" w:sz="1"/>
            </w:tcBorders>
            <w:shd w:fill="0F3D2E" w:val="clear"/>
            <w:tcMar>
              <w:top w:type="dxa" w:w="100"/>
              <w:left w:type="dxa" w:w="140"/>
              <w:bottom w:type="dxa" w:w="100"/>
              <w:right w:type="dxa" w:w="140"/>
            </w:tcMar>
          </w:tcPr>
          <w:p>
            <w:r>
              <w:rPr>
                <w:rFonts w:ascii="Arial" w:cs="Arial" w:eastAsia="Arial" w:hAnsi="Arial"/>
                <w:b/>
                <w:bCs/>
                <w:color w:val="FFFFFF"/>
                <w:sz w:val="20"/>
                <w:szCs w:val="20"/>
              </w:rPr>
              <w:t xml:space="preserve">Descripción y ejemplos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decreto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Decreto del Poder Ejecutivo Nacional. DNU 70/2023, decreto de emergencia</w:t>
            </w:r>
          </w:p>
        </w:tc>
      </w:tr>
      <w:tr>
        <w:tc>
          <w:tcPr>
            <w:tcW w:type="dxa" w:w="22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resolucion</w:t>
            </w:r>
          </w:p>
        </w:tc>
        <w:tc>
          <w:tcPr>
            <w:tcW w:type="dxa" w:w="716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Resolución de organismo regulador. Resolución ENRE 123/2024, ENARGAS 45/2025</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declaracion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Declaración pública de funcionario. Conferencia de prensa ministro, tweet oficial</w:t>
            </w:r>
          </w:p>
        </w:tc>
      </w:tr>
      <w:tr>
        <w:tc>
          <w:tcPr>
            <w:tcW w:type="dxa" w:w="22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licitacion</w:t>
            </w:r>
          </w:p>
        </w:tc>
        <w:tc>
          <w:tcPr>
            <w:tcW w:type="dxa" w:w="716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Llamado a licitación pública. Publicación en Contrataciones.gob.ar, BOE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dato_macro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Publicación de dato económico. IPC INDEC, reservas BCRA, resultado fiscal</w:t>
            </w:r>
          </w:p>
        </w:tc>
      </w:tr>
      <w:tr>
        <w:tc>
          <w:tcPr>
            <w:tcW w:type="dxa" w:w="220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electoral</w:t>
            </w:r>
          </w:p>
        </w:tc>
        <w:tc>
          <w:tcPr>
            <w:tcW w:type="dxa" w:w="7160"/>
            <w:tcBorders>
              <w:top w:val="single" w:color="CCCCCC" w:sz="1"/>
              <w:left w:val="single" w:color="CCCCCC" w:sz="1"/>
              <w:bottom w:val="single" w:color="CCCCCC" w:sz="1"/>
              <w:right w:val="single" w:color="CCCCCC" w:sz="1"/>
            </w:tcBorders>
            <w:shd w:fill="F4F4F0" w:val="clear"/>
            <w:tcMar>
              <w:top w:type="dxa" w:w="100"/>
              <w:left w:type="dxa" w:w="140"/>
              <w:bottom w:type="dxa" w:w="100"/>
              <w:right w:type="dxa" w:w="140"/>
            </w:tcMar>
          </w:tcPr>
          <w:p>
            <w:r>
              <w:rPr>
                <w:rFonts w:ascii="Arial" w:cs="Arial" w:eastAsia="Arial" w:hAnsi="Arial"/>
                <w:color w:val="333333"/>
                <w:sz w:val="20"/>
                <w:szCs w:val="20"/>
              </w:rPr>
              <w:t xml:space="preserve">Resultado electoral. PASO, primera vuelta, ballotage, elecciones legislativas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encuesta</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Publicación de encuesta política o económica. Intención de voto, confianza del consumidor</w:t>
            </w:r>
          </w:p>
        </w:tc>
      </w:tr>
    </w:tbl>
    <w:p>
      <w:pPr>
        <w:spacing w:after="0" w:before="80"/>
      </w:pPr>
      <w:r>
        <w:t xml:space="preserve"/>
      </w:r>
    </w:p>
    <w:p>
      <w:pPr>
        <w:pStyle w:val="Heading2"/>
        <w:spacing w:after="120" w:before="280"/>
      </w:pPr>
      <w:r>
        <w:rPr>
          <w:rFonts w:ascii="Arial" w:cs="Arial" w:eastAsia="Arial" w:hAnsi="Arial"/>
          <w:b/>
          <w:bCs/>
          <w:color w:val="0F3D2E"/>
          <w:sz w:val="28"/>
          <w:szCs w:val="28"/>
        </w:rPr>
        <w:t xml:space="preserve">regimen_politico — valores permitidos</w:t>
      </w:r>
    </w:p>
    <w:p>
      <w:pPr>
        <w:pStyle w:val="ListParagraph"/>
        <w:numPr>
          <w:ilvl w:val="0"/>
          <w:numId w:val="2"/>
        </w:numPr>
        <w:spacing w:after="40" w:before="40"/>
      </w:pPr>
      <w:r>
        <w:rPr>
          <w:rFonts w:ascii="Arial" w:cs="Arial" w:eastAsia="Arial" w:hAnsi="Arial"/>
          <w:color w:val="333333"/>
          <w:sz w:val="22"/>
          <w:szCs w:val="22"/>
        </w:rPr>
        <w:t xml:space="preserve">libertario_consolidado — Jul 2024 a hoy · peso 1.0</w:t>
      </w:r>
    </w:p>
    <w:p>
      <w:pPr>
        <w:pStyle w:val="ListParagraph"/>
        <w:numPr>
          <w:ilvl w:val="0"/>
          <w:numId w:val="2"/>
        </w:numPr>
        <w:spacing w:after="40" w:before="40"/>
      </w:pPr>
      <w:r>
        <w:rPr>
          <w:rFonts w:ascii="Arial" w:cs="Arial" w:eastAsia="Arial" w:hAnsi="Arial"/>
          <w:color w:val="333333"/>
          <w:sz w:val="22"/>
          <w:szCs w:val="22"/>
        </w:rPr>
        <w:t xml:space="preserve">libertario_shock — Dic 2023 a Jun 2024 · peso 0.6</w:t>
      </w:r>
    </w:p>
    <w:p>
      <w:pPr>
        <w:pStyle w:val="ListParagraph"/>
        <w:numPr>
          <w:ilvl w:val="0"/>
          <w:numId w:val="2"/>
        </w:numPr>
        <w:spacing w:after="40" w:before="40"/>
      </w:pPr>
      <w:r>
        <w:rPr>
          <w:rFonts w:ascii="Arial" w:cs="Arial" w:eastAsia="Arial" w:hAnsi="Arial"/>
          <w:color w:val="333333"/>
          <w:sz w:val="22"/>
          <w:szCs w:val="22"/>
        </w:rPr>
        <w:t xml:space="preserve">transicion — Ago 2023 a Nov 2023 · peso 0.4</w:t>
      </w:r>
    </w:p>
    <w:p>
      <w:pPr>
        <w:pStyle w:val="ListParagraph"/>
        <w:numPr>
          <w:ilvl w:val="0"/>
          <w:numId w:val="2"/>
        </w:numPr>
        <w:spacing w:after="40" w:before="40"/>
      </w:pPr>
      <w:r>
        <w:rPr>
          <w:rFonts w:ascii="Arial" w:cs="Arial" w:eastAsia="Arial" w:hAnsi="Arial"/>
          <w:color w:val="333333"/>
          <w:sz w:val="22"/>
          <w:szCs w:val="22"/>
        </w:rPr>
        <w:t xml:space="preserve">kirchnerismo — Ene 2020 a Jul 2023 · peso 0.0</w:t>
      </w:r>
    </w:p>
    <w:p>
      <w:pPr>
        <w:spacing w:after="0" w:before="80"/>
      </w:pPr>
      <w:r>
        <w:t xml:space="preserve"/>
      </w:r>
    </w:p>
    <w:p>
      <w:pPr>
        <w:pStyle w:val="Heading1"/>
        <w:spacing w:after="160" w:before="360"/>
      </w:pPr>
      <w:r>
        <w:rPr>
          <w:rFonts w:ascii="Arial" w:cs="Arial" w:eastAsia="Arial" w:hAnsi="Arial"/>
          <w:b/>
          <w:bCs/>
          <w:color w:val="0F3D2E"/>
          <w:sz w:val="36"/>
          <w:szCs w:val="36"/>
        </w:rPr>
        <w:t xml:space="preserve">8. Checklist de implementación para Antigravity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3FB" w:val="clear"/>
            <w:tcMar>
              <w:top w:type="dxa" w:w="100"/>
              <w:left w:type="dxa" w:w="140"/>
              <w:bottom w:type="dxa" w:w="100"/>
              <w:right w:type="dxa" w:w="140"/>
            </w:tcMar>
          </w:tcPr>
          <w:p>
            <w:pPr>
              <w:spacing w:after="40" w:before="40"/>
            </w:pPr>
            <w:r>
              <w:rPr>
                <w:rFonts w:ascii="Arial" w:cs="Arial" w:eastAsia="Arial" w:hAnsi="Arial"/>
                <w:b/>
                <w:bCs/>
                <w:color w:val="0F3D2E"/>
                <w:sz w:val="20"/>
                <w:szCs w:val="20"/>
              </w:rPr>
              <w:t xml:space="preserve">INSTRUCCIÓN  </w:t>
            </w:r>
            <w:r>
              <w:rPr>
                <w:rFonts w:ascii="Arial" w:cs="Arial" w:eastAsia="Arial" w:hAnsi="Arial"/>
                <w:color w:val="333333"/>
                <w:sz w:val="20"/>
                <w:szCs w:val="20"/>
              </w:rPr>
              <w:t xml:space="preserve">Este checklist define el orden de construcción recomendado. Cada ítem es independiente y puede asignarse a un agente distinto.</w:t>
            </w:r>
          </w:p>
        </w:tc>
      </w:tr>
    </w:tbl>
    <w:p>
      <w:pPr>
        <w:spacing w:after="0" w:before="80"/>
      </w:pPr>
      <w:r>
        <w:t xml:space="preserve"/>
      </w:r>
    </w:p>
    <w:p>
      <w:pPr>
        <w:pStyle w:val="Heading2"/>
        <w:spacing w:after="120" w:before="280"/>
      </w:pPr>
      <w:r>
        <w:rPr>
          <w:rFonts w:ascii="Arial" w:cs="Arial" w:eastAsia="Arial" w:hAnsi="Arial"/>
          <w:b/>
          <w:bCs/>
          <w:color w:val="0F3D2E"/>
          <w:sz w:val="28"/>
          <w:szCs w:val="28"/>
        </w:rPr>
        <w:t xml:space="preserve">Fase 1 — Base de datos (prioridad máxima)</w:t>
      </w:r>
    </w:p>
    <w:p>
      <w:pPr>
        <w:pStyle w:val="ListParagraph"/>
        <w:numPr>
          <w:ilvl w:val="0"/>
          <w:numId w:val="2"/>
        </w:numPr>
        <w:spacing w:after="40" w:before="40"/>
      </w:pPr>
      <w:r>
        <w:rPr>
          <w:rFonts w:ascii="Arial" w:cs="Arial" w:eastAsia="Arial" w:hAnsi="Arial"/>
          <w:color w:val="333333"/>
          <w:sz w:val="22"/>
          <w:szCs w:val="22"/>
        </w:rPr>
        <w:t xml:space="preserve">Crear base de datos invar en PostgreSQL 15</w:t>
      </w:r>
    </w:p>
    <w:p>
      <w:pPr>
        <w:pStyle w:val="ListParagraph"/>
        <w:numPr>
          <w:ilvl w:val="0"/>
          <w:numId w:val="2"/>
        </w:numPr>
        <w:spacing w:after="40" w:before="40"/>
      </w:pPr>
      <w:r>
        <w:rPr>
          <w:rFonts w:ascii="Arial" w:cs="Arial" w:eastAsia="Arial" w:hAnsi="Arial"/>
          <w:color w:val="333333"/>
          <w:sz w:val="22"/>
          <w:szCs w:val="22"/>
        </w:rPr>
        <w:t xml:space="preserve">Ejecutar schema.sql existente (cotizaciones, señales, noticias, portafolio)</w:t>
      </w:r>
    </w:p>
    <w:p>
      <w:pPr>
        <w:pStyle w:val="ListParagraph"/>
        <w:numPr>
          <w:ilvl w:val="0"/>
          <w:numId w:val="2"/>
        </w:numPr>
        <w:spacing w:after="40" w:before="40"/>
      </w:pPr>
      <w:r>
        <w:rPr>
          <w:rFonts w:ascii="Arial" w:cs="Arial" w:eastAsia="Arial" w:hAnsi="Arial"/>
          <w:color w:val="333333"/>
          <w:sz w:val="22"/>
          <w:szCs w:val="22"/>
        </w:rPr>
        <w:t xml:space="preserve">Crear tabla eventos_politicos con todos los campos e índices del §3.1</w:t>
      </w:r>
    </w:p>
    <w:p>
      <w:pPr>
        <w:pStyle w:val="ListParagraph"/>
        <w:numPr>
          <w:ilvl w:val="0"/>
          <w:numId w:val="2"/>
        </w:numPr>
        <w:spacing w:after="40" w:before="40"/>
      </w:pPr>
      <w:r>
        <w:rPr>
          <w:rFonts w:ascii="Arial" w:cs="Arial" w:eastAsia="Arial" w:hAnsi="Arial"/>
          <w:color w:val="333333"/>
          <w:sz w:val="22"/>
          <w:szCs w:val="22"/>
        </w:rPr>
        <w:t xml:space="preserve">Crear tabla impacto_precios con columnas generadas del §3.2</w:t>
      </w:r>
    </w:p>
    <w:p>
      <w:pPr>
        <w:pStyle w:val="ListParagraph"/>
        <w:numPr>
          <w:ilvl w:val="0"/>
          <w:numId w:val="2"/>
        </w:numPr>
        <w:spacing w:after="40" w:before="40"/>
      </w:pPr>
      <w:r>
        <w:rPr>
          <w:rFonts w:ascii="Arial" w:cs="Arial" w:eastAsia="Arial" w:hAnsi="Arial"/>
          <w:color w:val="333333"/>
          <w:sz w:val="22"/>
          <w:szCs w:val="22"/>
        </w:rPr>
        <w:t xml:space="preserve">Crear tabla predicciones_ml del §3.3</w:t>
      </w:r>
    </w:p>
    <w:p>
      <w:pPr>
        <w:pStyle w:val="ListParagraph"/>
        <w:numPr>
          <w:ilvl w:val="0"/>
          <w:numId w:val="2"/>
        </w:numPr>
        <w:spacing w:after="40" w:before="40"/>
      </w:pPr>
      <w:r>
        <w:rPr>
          <w:rFonts w:ascii="Arial" w:cs="Arial" w:eastAsia="Arial" w:hAnsi="Arial"/>
          <w:color w:val="333333"/>
          <w:sz w:val="22"/>
          <w:szCs w:val="22"/>
        </w:rPr>
        <w:t xml:space="preserve">Verificar constraints: CHECK en sentiment_score, UNIQUE en impacto_precios(evento_id, ticker)</w:t>
      </w:r>
    </w:p>
    <w:p>
      <w:pPr>
        <w:spacing w:after="0" w:before="80"/>
      </w:pPr>
      <w:r>
        <w:t xml:space="preserve"/>
      </w:r>
    </w:p>
    <w:p>
      <w:pPr>
        <w:pStyle w:val="Heading2"/>
        <w:spacing w:after="120" w:before="280"/>
      </w:pPr>
      <w:r>
        <w:rPr>
          <w:rFonts w:ascii="Arial" w:cs="Arial" w:eastAsia="Arial" w:hAnsi="Arial"/>
          <w:b/>
          <w:bCs/>
          <w:color w:val="0F3D2E"/>
          <w:sz w:val="28"/>
          <w:szCs w:val="28"/>
        </w:rPr>
        <w:t xml:space="preserve">Fase 2 — Ingesta histórica</w:t>
      </w:r>
    </w:p>
    <w:p>
      <w:pPr>
        <w:pStyle w:val="ListParagraph"/>
        <w:numPr>
          <w:ilvl w:val="0"/>
          <w:numId w:val="2"/>
        </w:numPr>
        <w:spacing w:after="40" w:before="40"/>
      </w:pPr>
      <w:r>
        <w:rPr>
          <w:rFonts w:ascii="Arial" w:cs="Arial" w:eastAsia="Arial" w:hAnsi="Arial"/>
          <w:color w:val="333333"/>
          <w:sz w:val="22"/>
          <w:szCs w:val="22"/>
        </w:rPr>
        <w:t xml:space="preserve">Script Python: leer CSV de noticias históricas jul 2024 → abr 2026</w:t>
      </w:r>
    </w:p>
    <w:p>
      <w:pPr>
        <w:pStyle w:val="ListParagraph"/>
        <w:numPr>
          <w:ilvl w:val="0"/>
          <w:numId w:val="2"/>
        </w:numPr>
        <w:spacing w:after="40" w:before="40"/>
      </w:pPr>
      <w:r>
        <w:rPr>
          <w:rFonts w:ascii="Arial" w:cs="Arial" w:eastAsia="Arial" w:hAnsi="Arial"/>
          <w:color w:val="333333"/>
          <w:sz w:val="22"/>
          <w:szCs w:val="22"/>
        </w:rPr>
        <w:t xml:space="preserve">Llamada batch a Claude API para clasificar sector, tipo y sentiment de cada fila</w:t>
      </w:r>
    </w:p>
    <w:p>
      <w:pPr>
        <w:pStyle w:val="ListParagraph"/>
        <w:numPr>
          <w:ilvl w:val="0"/>
          <w:numId w:val="2"/>
        </w:numPr>
        <w:spacing w:after="40" w:before="40"/>
      </w:pPr>
      <w:r>
        <w:rPr>
          <w:rFonts w:ascii="Arial" w:cs="Arial" w:eastAsia="Arial" w:hAnsi="Arial"/>
          <w:color w:val="333333"/>
          <w:sz w:val="22"/>
          <w:szCs w:val="22"/>
        </w:rPr>
        <w:t xml:space="preserve">Insertar resultados en eventos_politicos con verificado = FALSE</w:t>
      </w:r>
    </w:p>
    <w:p>
      <w:pPr>
        <w:pStyle w:val="ListParagraph"/>
        <w:numPr>
          <w:ilvl w:val="0"/>
          <w:numId w:val="2"/>
        </w:numPr>
        <w:spacing w:after="40" w:before="40"/>
      </w:pPr>
      <w:r>
        <w:rPr>
          <w:rFonts w:ascii="Arial" w:cs="Arial" w:eastAsia="Arial" w:hAnsi="Arial"/>
          <w:color w:val="333333"/>
          <w:sz w:val="22"/>
          <w:szCs w:val="22"/>
        </w:rPr>
        <w:t xml:space="preserve">Script de cruce: para cada evento con tickers_afectados, buscar precio en cotizaciones y poblar impacto_precios</w:t>
      </w:r>
    </w:p>
    <w:p>
      <w:pPr>
        <w:pStyle w:val="ListParagraph"/>
        <w:numPr>
          <w:ilvl w:val="0"/>
          <w:numId w:val="2"/>
        </w:numPr>
        <w:spacing w:after="40" w:before="40"/>
      </w:pPr>
      <w:r>
        <w:rPr>
          <w:rFonts w:ascii="Arial" w:cs="Arial" w:eastAsia="Arial" w:hAnsi="Arial"/>
          <w:color w:val="333333"/>
          <w:sz w:val="22"/>
          <w:szCs w:val="22"/>
        </w:rPr>
        <w:t xml:space="preserve">Interfaz de revisión manual: listar eventos con verificado = FALSE, formulario de corrección</w:t>
      </w:r>
    </w:p>
    <w:p>
      <w:pPr>
        <w:spacing w:after="0" w:before="80"/>
      </w:pPr>
      <w:r>
        <w:t xml:space="preserve"/>
      </w:r>
    </w:p>
    <w:p>
      <w:pPr>
        <w:pStyle w:val="Heading2"/>
        <w:spacing w:after="120" w:before="280"/>
      </w:pPr>
      <w:r>
        <w:rPr>
          <w:rFonts w:ascii="Arial" w:cs="Arial" w:eastAsia="Arial" w:hAnsi="Arial"/>
          <w:b/>
          <w:bCs/>
          <w:color w:val="0F3D2E"/>
          <w:sz w:val="28"/>
          <w:szCs w:val="28"/>
        </w:rPr>
        <w:t xml:space="preserve">Fase 3 — Modelo ML</w:t>
      </w:r>
    </w:p>
    <w:p>
      <w:pPr>
        <w:pStyle w:val="ListParagraph"/>
        <w:numPr>
          <w:ilvl w:val="0"/>
          <w:numId w:val="2"/>
        </w:numPr>
        <w:spacing w:after="40" w:before="40"/>
      </w:pPr>
      <w:r>
        <w:rPr>
          <w:rFonts w:ascii="Arial" w:cs="Arial" w:eastAsia="Arial" w:hAnsi="Arial"/>
          <w:color w:val="333333"/>
          <w:sz w:val="22"/>
          <w:szCs w:val="22"/>
        </w:rPr>
        <w:t xml:space="preserve">Script Python: exportar dataset de entrenamiento desde vista ml_dataset (eventos + impacto con peso)</w:t>
      </w:r>
    </w:p>
    <w:p>
      <w:pPr>
        <w:pStyle w:val="ListParagraph"/>
        <w:numPr>
          <w:ilvl w:val="0"/>
          <w:numId w:val="2"/>
        </w:numPr>
        <w:spacing w:after="40" w:before="40"/>
      </w:pPr>
      <w:r>
        <w:rPr>
          <w:rFonts w:ascii="Arial" w:cs="Arial" w:eastAsia="Arial" w:hAnsi="Arial"/>
          <w:color w:val="333333"/>
          <w:sz w:val="22"/>
          <w:szCs w:val="22"/>
        </w:rPr>
        <w:t xml:space="preserve">Entrenar Random Forest con scikit-learn usando features del §4</w:t>
      </w:r>
    </w:p>
    <w:p>
      <w:pPr>
        <w:pStyle w:val="ListParagraph"/>
        <w:numPr>
          <w:ilvl w:val="0"/>
          <w:numId w:val="2"/>
        </w:numPr>
        <w:spacing w:after="40" w:before="40"/>
      </w:pPr>
      <w:r>
        <w:rPr>
          <w:rFonts w:ascii="Arial" w:cs="Arial" w:eastAsia="Arial" w:hAnsi="Arial"/>
          <w:color w:val="333333"/>
          <w:sz w:val="22"/>
          <w:szCs w:val="22"/>
        </w:rPr>
        <w:t xml:space="preserve">Serializar modelo con joblib (modelo_v1.pkl)</w:t>
      </w:r>
    </w:p>
    <w:p>
      <w:pPr>
        <w:pStyle w:val="ListParagraph"/>
        <w:numPr>
          <w:ilvl w:val="0"/>
          <w:numId w:val="2"/>
        </w:numPr>
        <w:spacing w:after="40" w:before="40"/>
      </w:pPr>
      <w:r>
        <w:rPr>
          <w:rFonts w:ascii="Arial" w:cs="Arial" w:eastAsia="Arial" w:hAnsi="Arial"/>
          <w:color w:val="333333"/>
          <w:sz w:val="22"/>
          <w:szCs w:val="22"/>
        </w:rPr>
        <w:t xml:space="preserve">Endpoint Node.js POST /api/predict: recibe evento nuevo, llama a Python via child_process, devuelve predicción</w:t>
      </w:r>
    </w:p>
    <w:p>
      <w:pPr>
        <w:pStyle w:val="ListParagraph"/>
        <w:numPr>
          <w:ilvl w:val="0"/>
          <w:numId w:val="2"/>
        </w:numPr>
        <w:spacing w:after="40" w:before="40"/>
      </w:pPr>
      <w:r>
        <w:rPr>
          <w:rFonts w:ascii="Arial" w:cs="Arial" w:eastAsia="Arial" w:hAnsi="Arial"/>
          <w:color w:val="333333"/>
          <w:sz w:val="22"/>
          <w:szCs w:val="22"/>
        </w:rPr>
        <w:t xml:space="preserve">Job cron: a t+48h busca resultado real, completa impacto_precios y predicciones_ml</w:t>
      </w:r>
    </w:p>
    <w:p>
      <w:pPr>
        <w:spacing w:after="0" w:before="80"/>
      </w:pPr>
      <w:r>
        <w:t xml:space="preserve"/>
      </w:r>
    </w:p>
    <w:p>
      <w:pPr>
        <w:pStyle w:val="Heading2"/>
        <w:spacing w:after="120" w:before="280"/>
      </w:pPr>
      <w:r>
        <w:rPr>
          <w:rFonts w:ascii="Arial" w:cs="Arial" w:eastAsia="Arial" w:hAnsi="Arial"/>
          <w:b/>
          <w:bCs/>
          <w:color w:val="0F3D2E"/>
          <w:sz w:val="28"/>
          <w:szCs w:val="28"/>
        </w:rPr>
        <w:t xml:space="preserve">Fase 4 — Frontend</w:t>
      </w:r>
    </w:p>
    <w:p>
      <w:pPr>
        <w:pStyle w:val="ListParagraph"/>
        <w:numPr>
          <w:ilvl w:val="0"/>
          <w:numId w:val="2"/>
        </w:numPr>
        <w:spacing w:after="40" w:before="40"/>
      </w:pPr>
      <w:r>
        <w:rPr>
          <w:rFonts w:ascii="Arial" w:cs="Arial" w:eastAsia="Arial" w:hAnsi="Arial"/>
          <w:color w:val="333333"/>
          <w:sz w:val="22"/>
          <w:szCs w:val="22"/>
        </w:rPr>
        <w:t xml:space="preserve">Columna nueva en módulo Análisis: "Señal política" con prob % y ventana temporal</w:t>
      </w:r>
    </w:p>
    <w:p>
      <w:pPr>
        <w:pStyle w:val="ListParagraph"/>
        <w:numPr>
          <w:ilvl w:val="0"/>
          <w:numId w:val="2"/>
        </w:numPr>
        <w:spacing w:after="40" w:before="40"/>
      </w:pPr>
      <w:r>
        <w:rPr>
          <w:rFonts w:ascii="Arial" w:cs="Arial" w:eastAsia="Arial" w:hAnsi="Arial"/>
          <w:color w:val="333333"/>
          <w:sz w:val="22"/>
          <w:szCs w:val="22"/>
        </w:rPr>
        <w:t xml:space="preserve">Panel de predicciones activas: ticker, señal, confianza, tiempo restante hasta vencimiento</w:t>
      </w:r>
    </w:p>
    <w:p>
      <w:pPr>
        <w:pStyle w:val="ListParagraph"/>
        <w:numPr>
          <w:ilvl w:val="0"/>
          <w:numId w:val="2"/>
        </w:numPr>
        <w:spacing w:after="40" w:before="40"/>
      </w:pPr>
      <w:r>
        <w:rPr>
          <w:rFonts w:ascii="Arial" w:cs="Arial" w:eastAsia="Arial" w:hAnsi="Arial"/>
          <w:color w:val="333333"/>
          <w:sz w:val="22"/>
          <w:szCs w:val="22"/>
        </w:rPr>
        <w:t xml:space="preserve">Historial de aciertos por sector y modelo_version</w:t>
      </w:r>
    </w:p>
    <w:p>
      <w:pPr>
        <w:spacing w:after="0" w:before="80"/>
      </w:pPr>
      <w:r>
        <w:t xml:space="preserve"/>
      </w:r>
    </w:p>
    <w:p>
      <w:pPr>
        <w:pStyle w:val="Heading1"/>
        <w:spacing w:after="160" w:before="360"/>
      </w:pPr>
      <w:r>
        <w:rPr>
          <w:rFonts w:ascii="Arial" w:cs="Arial" w:eastAsia="Arial" w:hAnsi="Arial"/>
          <w:b/>
          <w:bCs/>
          <w:color w:val="0F3D2E"/>
          <w:sz w:val="36"/>
          <w:szCs w:val="36"/>
        </w:rPr>
        <w:t xml:space="preserve">9. Vista auxiliar: ml_dataset</w:t>
      </w:r>
    </w:p>
    <w:p>
      <w:pPr>
        <w:spacing w:after="80" w:before="60"/>
      </w:pPr>
      <w:r>
        <w:rPr>
          <w:rFonts w:ascii="Arial" w:cs="Arial" w:eastAsia="Arial" w:hAnsi="Arial"/>
          <w:color w:val="333333"/>
          <w:sz w:val="22"/>
          <w:szCs w:val="22"/>
        </w:rPr>
        <w:t xml:space="preserve">Esta vista facilita la exportación del dataset para entrenamiento sin joins manuales:</w:t>
      </w:r>
    </w:p>
    <w:p>
      <w:pPr>
        <w:spacing w:after="0" w:before="60"/>
      </w:pPr>
      <w:r>
        <w:t xml:space="preserve"/>
      </w:r>
    </w:p>
    <w:p>
      <w:pPr>
        <w:spacing w:after="40" w:before="40"/>
        <w:ind w:left="360"/>
      </w:pPr>
      <w:r>
        <w:rPr>
          <w:rFonts w:ascii="Courier New" w:cs="Courier New" w:eastAsia="Courier New" w:hAnsi="Courier New"/>
          <w:color w:val="1D4E40"/>
          <w:sz w:val="18"/>
          <w:szCs w:val="18"/>
        </w:rPr>
        <w:t xml:space="preserve">CREATE OR REPLACE VIEW ml_dataset AS</w:t>
      </w:r>
    </w:p>
    <w:p>
      <w:pPr>
        <w:spacing w:after="40" w:before="40"/>
        <w:ind w:left="360"/>
      </w:pPr>
      <w:r>
        <w:rPr>
          <w:rFonts w:ascii="Courier New" w:cs="Courier New" w:eastAsia="Courier New" w:hAnsi="Courier New"/>
          <w:color w:val="1D4E40"/>
          <w:sz w:val="18"/>
          <w:szCs w:val="18"/>
        </w:rPr>
        <w:t xml:space="preserve">SELECT</w:t>
      </w:r>
    </w:p>
    <w:p>
      <w:pPr>
        <w:spacing w:after="40" w:before="40"/>
        <w:ind w:left="360"/>
      </w:pPr>
      <w:r>
        <w:rPr>
          <w:rFonts w:ascii="Courier New" w:cs="Courier New" w:eastAsia="Courier New" w:hAnsi="Courier New"/>
          <w:color w:val="1D4E40"/>
          <w:sz w:val="18"/>
          <w:szCs w:val="18"/>
        </w:rPr>
        <w:t xml:space="preserve">  ep.id,</w:t>
      </w:r>
    </w:p>
    <w:p>
      <w:pPr>
        <w:spacing w:after="40" w:before="40"/>
        <w:ind w:left="360"/>
      </w:pPr>
      <w:r>
        <w:rPr>
          <w:rFonts w:ascii="Courier New" w:cs="Courier New" w:eastAsia="Courier New" w:hAnsi="Courier New"/>
          <w:color w:val="1D4E40"/>
          <w:sz w:val="18"/>
          <w:szCs w:val="18"/>
        </w:rPr>
        <w:t xml:space="preserve">  ep.fecha_evento,</w:t>
      </w:r>
    </w:p>
    <w:p>
      <w:pPr>
        <w:spacing w:after="40" w:before="40"/>
        <w:ind w:left="360"/>
      </w:pPr>
      <w:r>
        <w:rPr>
          <w:rFonts w:ascii="Courier New" w:cs="Courier New" w:eastAsia="Courier New" w:hAnsi="Courier New"/>
          <w:color w:val="1D4E40"/>
          <w:sz w:val="18"/>
          <w:szCs w:val="18"/>
        </w:rPr>
        <w:t xml:space="preserve">  ep.tipo_evento,</w:t>
      </w:r>
    </w:p>
    <w:p>
      <w:pPr>
        <w:spacing w:after="40" w:before="40"/>
        <w:ind w:left="360"/>
      </w:pPr>
      <w:r>
        <w:rPr>
          <w:rFonts w:ascii="Courier New" w:cs="Courier New" w:eastAsia="Courier New" w:hAnsi="Courier New"/>
          <w:color w:val="1D4E40"/>
          <w:sz w:val="18"/>
          <w:szCs w:val="18"/>
        </w:rPr>
        <w:t xml:space="preserve">  ep.sector,</w:t>
      </w:r>
    </w:p>
    <w:p>
      <w:pPr>
        <w:spacing w:after="40" w:before="40"/>
        <w:ind w:left="360"/>
      </w:pPr>
      <w:r>
        <w:rPr>
          <w:rFonts w:ascii="Courier New" w:cs="Courier New" w:eastAsia="Courier New" w:hAnsi="Courier New"/>
          <w:color w:val="1D4E40"/>
          <w:sz w:val="18"/>
          <w:szCs w:val="18"/>
        </w:rPr>
        <w:t xml:space="preserve">  ep.sentiment_score,</w:t>
      </w:r>
    </w:p>
    <w:p>
      <w:pPr>
        <w:spacing w:after="40" w:before="40"/>
        <w:ind w:left="360"/>
      </w:pPr>
      <w:r>
        <w:rPr>
          <w:rFonts w:ascii="Courier New" w:cs="Courier New" w:eastAsia="Courier New" w:hAnsi="Courier New"/>
          <w:color w:val="1D4E40"/>
          <w:sz w:val="18"/>
          <w:szCs w:val="18"/>
        </w:rPr>
        <w:t xml:space="preserve">  ep.regimen_politico,</w:t>
      </w:r>
    </w:p>
    <w:p>
      <w:pPr>
        <w:spacing w:after="40" w:before="40"/>
        <w:ind w:left="360"/>
      </w:pPr>
      <w:r>
        <w:rPr>
          <w:rFonts w:ascii="Courier New" w:cs="Courier New" w:eastAsia="Courier New" w:hAnsi="Courier New"/>
          <w:color w:val="1D4E40"/>
          <w:sz w:val="18"/>
          <w:szCs w:val="18"/>
        </w:rPr>
        <w:t xml:space="preserve">  ep.peso_entrenamiento,</w:t>
      </w:r>
    </w:p>
    <w:p>
      <w:pPr>
        <w:spacing w:after="40" w:before="40"/>
        <w:ind w:left="360"/>
      </w:pPr>
      <w:r>
        <w:rPr>
          <w:rFonts w:ascii="Courier New" w:cs="Courier New" w:eastAsia="Courier New" w:hAnsi="Courier New"/>
          <w:color w:val="1D4E40"/>
          <w:sz w:val="18"/>
          <w:szCs w:val="18"/>
        </w:rPr>
        <w:t xml:space="preserve">  EXTRACT(HOUR FROM ep.fecha_evento) AS hora_evento,</w:t>
      </w:r>
    </w:p>
    <w:p>
      <w:pPr>
        <w:spacing w:after="40" w:before="40"/>
        <w:ind w:left="360"/>
      </w:pPr>
      <w:r>
        <w:rPr>
          <w:rFonts w:ascii="Courier New" w:cs="Courier New" w:eastAsia="Courier New" w:hAnsi="Courier New"/>
          <w:color w:val="1D4E40"/>
          <w:sz w:val="18"/>
          <w:szCs w:val="18"/>
        </w:rPr>
        <w:t xml:space="preserve">  ep.fuente,</w:t>
      </w:r>
    </w:p>
    <w:p>
      <w:pPr>
        <w:spacing w:after="40" w:before="40"/>
        <w:ind w:left="360"/>
      </w:pPr>
      <w:r>
        <w:rPr>
          <w:rFonts w:ascii="Courier New" w:cs="Courier New" w:eastAsia="Courier New" w:hAnsi="Courier New"/>
          <w:color w:val="1D4E40"/>
          <w:sz w:val="18"/>
          <w:szCs w:val="18"/>
        </w:rPr>
        <w:t xml:space="preserve">  ip.ticker,</w:t>
      </w:r>
    </w:p>
    <w:p>
      <w:pPr>
        <w:spacing w:after="40" w:before="40"/>
        <w:ind w:left="360"/>
      </w:pPr>
      <w:r>
        <w:rPr>
          <w:rFonts w:ascii="Courier New" w:cs="Courier New" w:eastAsia="Courier New" w:hAnsi="Courier New"/>
          <w:color w:val="1D4E40"/>
          <w:sz w:val="18"/>
          <w:szCs w:val="18"/>
        </w:rPr>
        <w:t xml:space="preserve">  ip.precio_t0,</w:t>
      </w:r>
    </w:p>
    <w:p>
      <w:pPr>
        <w:spacing w:after="40" w:before="40"/>
        <w:ind w:left="360"/>
      </w:pPr>
      <w:r>
        <w:rPr>
          <w:rFonts w:ascii="Courier New" w:cs="Courier New" w:eastAsia="Courier New" w:hAnsi="Courier New"/>
          <w:color w:val="1D4E40"/>
          <w:sz w:val="18"/>
          <w:szCs w:val="18"/>
        </w:rPr>
        <w:t xml:space="preserve">  ip.var_pct_24h,</w:t>
      </w:r>
    </w:p>
    <w:p>
      <w:pPr>
        <w:spacing w:after="40" w:before="40"/>
        <w:ind w:left="360"/>
      </w:pPr>
      <w:r>
        <w:rPr>
          <w:rFonts w:ascii="Courier New" w:cs="Courier New" w:eastAsia="Courier New" w:hAnsi="Courier New"/>
          <w:color w:val="1D4E40"/>
          <w:sz w:val="18"/>
          <w:szCs w:val="18"/>
        </w:rPr>
        <w:t xml:space="preserve">  ip.var_pct_48h,</w:t>
      </w:r>
    </w:p>
    <w:p>
      <w:pPr>
        <w:spacing w:after="40" w:before="40"/>
        <w:ind w:left="360"/>
      </w:pPr>
      <w:r>
        <w:rPr>
          <w:rFonts w:ascii="Courier New" w:cs="Courier New" w:eastAsia="Courier New" w:hAnsi="Courier New"/>
          <w:color w:val="1D4E40"/>
          <w:sz w:val="18"/>
          <w:szCs w:val="18"/>
        </w:rPr>
        <w:t xml:space="preserve">  ip.var_pct_72h,</w:t>
      </w:r>
    </w:p>
    <w:p>
      <w:pPr>
        <w:spacing w:after="40" w:before="40"/>
        <w:ind w:left="360"/>
      </w:pPr>
      <w:r>
        <w:rPr>
          <w:rFonts w:ascii="Courier New" w:cs="Courier New" w:eastAsia="Courier New" w:hAnsi="Courier New"/>
          <w:color w:val="1D4E40"/>
          <w:sz w:val="18"/>
          <w:szCs w:val="18"/>
        </w:rPr>
        <w:t xml:space="preserve">  ip.etiqueta,</w:t>
      </w:r>
    </w:p>
    <w:p>
      <w:pPr>
        <w:spacing w:after="40" w:before="40"/>
        <w:ind w:left="360"/>
      </w:pPr>
      <w:r>
        <w:rPr>
          <w:rFonts w:ascii="Courier New" w:cs="Courier New" w:eastAsia="Courier New" w:hAnsi="Courier New"/>
          <w:color w:val="1D4E40"/>
          <w:sz w:val="18"/>
          <w:szCs w:val="18"/>
        </w:rPr>
        <w:t xml:space="preserve">  ip.merval_var_48h</w:t>
      </w:r>
    </w:p>
    <w:p>
      <w:pPr>
        <w:spacing w:after="40" w:before="40"/>
        <w:ind w:left="360"/>
      </w:pPr>
      <w:r>
        <w:rPr>
          <w:rFonts w:ascii="Courier New" w:cs="Courier New" w:eastAsia="Courier New" w:hAnsi="Courier New"/>
          <w:color w:val="1D4E40"/>
          <w:sz w:val="18"/>
          <w:szCs w:val="18"/>
        </w:rPr>
        <w:t xml:space="preserve">FROM eventos_politicos ep</w:t>
      </w:r>
    </w:p>
    <w:p>
      <w:pPr>
        <w:spacing w:after="40" w:before="40"/>
        <w:ind w:left="360"/>
      </w:pPr>
      <w:r>
        <w:rPr>
          <w:rFonts w:ascii="Courier New" w:cs="Courier New" w:eastAsia="Courier New" w:hAnsi="Courier New"/>
          <w:color w:val="1D4E40"/>
          <w:sz w:val="18"/>
          <w:szCs w:val="18"/>
        </w:rPr>
        <w:t xml:space="preserve">JOIN impacto_precios ip ON ip.evento_id = ep.id</w:t>
      </w:r>
    </w:p>
    <w:p>
      <w:pPr>
        <w:spacing w:after="40" w:before="40"/>
        <w:ind w:left="360"/>
      </w:pPr>
      <w:r>
        <w:rPr>
          <w:rFonts w:ascii="Courier New" w:cs="Courier New" w:eastAsia="Courier New" w:hAnsi="Courier New"/>
          <w:color w:val="1D4E40"/>
          <w:sz w:val="18"/>
          <w:szCs w:val="18"/>
        </w:rPr>
        <w:t xml:space="preserve">WHERE ep.verificado = TRUE</w:t>
      </w:r>
    </w:p>
    <w:p>
      <w:pPr>
        <w:spacing w:after="40" w:before="40"/>
        <w:ind w:left="360"/>
      </w:pPr>
      <w:r>
        <w:rPr>
          <w:rFonts w:ascii="Courier New" w:cs="Courier New" w:eastAsia="Courier New" w:hAnsi="Courier New"/>
          <w:color w:val="1D4E40"/>
          <w:sz w:val="18"/>
          <w:szCs w:val="18"/>
        </w:rPr>
        <w:t xml:space="preserve">  AND ep.peso_entrenamiento &gt; 0</w:t>
      </w:r>
    </w:p>
    <w:p>
      <w:pPr>
        <w:spacing w:after="40" w:before="40"/>
        <w:ind w:left="360"/>
      </w:pPr>
      <w:r>
        <w:rPr>
          <w:rFonts w:ascii="Courier New" w:cs="Courier New" w:eastAsia="Courier New" w:hAnsi="Courier New"/>
          <w:color w:val="1D4E40"/>
          <w:sz w:val="18"/>
          <w:szCs w:val="18"/>
        </w:rPr>
        <w:t xml:space="preserve">ORDER BY ep.fecha_evento DESC;</w:t>
      </w:r>
    </w:p>
    <w:p>
      <w:pPr>
        <w:spacing w:after="0" w:before="80"/>
      </w:pPr>
      <w:r>
        <w:t xml:space="preserve"/>
      </w:r>
    </w:p>
    <w:p>
      <w:pPr>
        <w:pBdr>
          <w:bottom w:val="single" w:color="DDDDDD" w:sz="4"/>
        </w:pBdr>
        <w:spacing w:after="120" w:before="120"/>
      </w:pPr>
      <w:r>
        <w:t xml:space="preserve"/>
      </w:r>
    </w:p>
    <w:p>
      <w:pPr>
        <w:spacing w:after="0" w:before="120"/>
        <w:jc w:val="center"/>
      </w:pPr>
      <w:r>
        <w:rPr>
          <w:rFonts w:ascii="Arial" w:cs="Arial" w:eastAsia="Arial" w:hAnsi="Arial"/>
          <w:i/>
          <w:iCs/>
          <w:color w:val="999999"/>
          <w:sz w:val="18"/>
          <w:szCs w:val="18"/>
        </w:rPr>
        <w:t xml:space="preserve">InvAR · Especificación Técnica v1.0 · Abril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tabs>
        <w:tab w:val="right" w:pos="9026"/>
      </w:tabs>
      <w:spacing w:after="0" w:before="120"/>
    </w:pPr>
    <w:r>
      <w:rPr>
        <w:rFonts w:ascii="Arial" w:cs="Arial" w:eastAsia="Arial" w:hAnsi="Arial"/>
        <w:color w:val="AAAAAA"/>
        <w:sz w:val="18"/>
        <w:szCs w:val="18"/>
      </w:rPr>
      <w:t xml:space="preserve">Confidencial · Uso interno</w:t>
    </w:r>
    <w:r>
      <w:rPr>
        <w:rFonts w:ascii="Arial" w:cs="Arial" w:eastAsia="Arial" w:hAnsi="Arial"/>
        <w:color w:val="AAAAAA"/>
        <w:sz w:val="18"/>
        <w:szCs w:val="18"/>
      </w:rPr>
      <w:t xml:space="preserve">	Página </w:t>
    </w:r>
    <w:r>
      <w:rPr>
        <w:rFonts w:ascii="Arial" w:cs="Arial" w:eastAsia="Arial" w:hAnsi="Arial"/>
        <w:color w:val="AAAAAA"/>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pBdr>
      <w:spacing w:after="160" w:before="0"/>
    </w:pPr>
    <w:r>
      <w:rPr>
        <w:rFonts w:ascii="Arial" w:cs="Arial" w:eastAsia="Arial" w:hAnsi="Arial"/>
        <w:b/>
        <w:bCs/>
        <w:color w:val="1D9E75"/>
        <w:sz w:val="20"/>
        <w:szCs w:val="20"/>
      </w:rPr>
      <w:t xml:space="preserve">InvAR</w:t>
    </w:r>
    <w:r>
      <w:rPr>
        <w:rFonts w:ascii="Arial" w:cs="Arial" w:eastAsia="Arial" w:hAnsi="Arial"/>
        <w:color w:val="888888"/>
        <w:sz w:val="20"/>
        <w:szCs w:val="20"/>
      </w:rPr>
      <w:t xml:space="preserve">  ·  Especificación Técnica para Antigravity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3D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F3D2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D5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2026-04-15T22:22:07.078Z</dcterms:created>
  <dcterms:modified xsi:type="dcterms:W3CDTF">2026-04-15T22:22:07.079Z</dcterms:modified>
</cp:coreProperties>
</file>

<file path=docProps/custom.xml><?xml version="1.0" encoding="utf-8"?>
<Properties xmlns="http://schemas.openxmlformats.org/officeDocument/2006/custom-properties" xmlns:vt="http://schemas.openxmlformats.org/officeDocument/2006/docPropsVTypes"/>
</file>