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color w:val="1F4E79"/>
          <w:sz w:val="28"/>
          <w:szCs w:val="28"/>
        </w:rPr>
        <w:t xml:space="preserve">Projet GoldenEye — SogetiLabs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Hypothèses a priori sur la généralisation cross-domaine d'un détecteur class-agnostic (RT-DETRv2)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6"/>
          <w:szCs w:val="26"/>
        </w:rPr>
        <w:t xml:space="preserve">Revue de la littérature scientifique et prédictions chiffrées à confirmer par les tests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Sous-marin → aérien → satellite</w:t>
      </w:r>
    </w:p>
    <w:p>
      <w:pPr>
        <w:spacing w:after="100" w:before="1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Version 1.0 — 9 septembre 2026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Document de travail préparatoire — 32 références, 12 hypothèses, 9 expériences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Objet du document et méthode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Ce document fixe, avant les tests de généralisation cross-domaine du détecteur RT-DETRv2 entraîné en sous-marin, un ensemble d'hypothèses chiffrées fondées sur la littérature. Chaque hypothèse est formulée de façon réfutable : une prédiction numérique, l'expérience qui la teste dans le dépôt Bmark_Sogeti, et le critère qui la confirme ou l'infirme. L'objectif est double : éviter d'interpréter l'écart 90 % → 58 % sans cadre de référence, et disposer, une fois les résultats obtenus, d'une grille de lecture déjà écrite.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Trois familles de sources sont mobilisées : (a) les articles fondateurs des architectures et des métriques (RT-DETR, DETR et petits objets, tuilage SAHI, distance de Wasserstein normalisée, détection class-agnostic, adaptation de domaine) ; (b) les travaux appliqués à la mégafaune marine depuis l'avion, le drone et le satellite (Borowicz 2019, Guirado 2019, Green 2023, Boulent 2023, Fu 2024, Zheng 2025, Kapoor 2023, Cubaynes 2022-2023) et à la faune terrestre aérienne (Kellenberger 2018, Delplanque 2023, Gray 2019, Wu 2022) ; (c) l'audit interne des conventions d'annotation réalisé sur les jeux publics récupérés (inventory_report.md), qui fournit les ordres de grandeur d'échelle relative propres au projet.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Limite de méthode. </w:t>
      </w:r>
      <w:r>
        <w:rPr>
          <w:rFonts w:ascii="Calibri" w:cs="Calibri" w:eastAsia="Calibri" w:hAnsi="Calibri"/>
          <w:sz w:val="22"/>
          <w:szCs w:val="22"/>
        </w:rPr>
        <w:t xml:space="preserve">Les bases bibliographiques (Semantic Scholar, OpenAlex, Crossref, arXiv, Europe PMC) et les sites des éditeurs étaient inaccessibles depuis l'environnement d'exécution ; les chiffres cités proviennent des résumés, pages d'articles et extraits indexés par la recherche web. Les valeurs sont données telles que publiées, avec leur source numérotée ; les quelques valeurs recomposées à partir d'un article secondaire sont signalées « à vérifier sur le texte intégral ». Aucun chiffre n'a été inventé : lorsqu'une source ne donnait pas de nombre, l'hypothèse le dit.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Cadre du projet et faits déjà établis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2.1 Le modèle et l'écart observé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détecteur est un RT-DETRv2 (transformeur de détection temps réel, famille RT-DETR [1][2]) entraîné en détection class-agnostic sur des images sous-marines uniquement. Sur COCO, RT-DETR-R50 atteint 53,1 AP, mais avec une forte dépendance à la taille : AP_S 34,8, AP_M 58,2, AP_L 71,0 [1]. L'AP sur petits objets vaut donc environ la moitié de l'AP sur grands objets pour le même modèle, avant tout décalage de domaine. Les performances internes rapportées sont d'environ 90 % en sous-marin et 58 % en aérien (métrique interne à préciser lors des tests : mAP@0,5, F1 ou rappel).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2.2 Ce que l'audit interne des conventions a déjà mesuré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L'audit des jeux publics de substitution [32] établit trois écarts de convention entre domaines, indépendants du modèle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Échelle relative. </w:t>
      </w:r>
      <w:r>
        <w:rPr>
          <w:rFonts w:ascii="Calibri" w:cs="Calibri" w:eastAsia="Calibri" w:hAnsi="Calibri"/>
          <w:sz w:val="22"/>
          <w:szCs w:val="22"/>
        </w:rPr>
        <w:t xml:space="preserve">Le côté équivalent médian d'un objet vaut 4,4 % à 33 % du côté image en sous-marin, 0,96 % en aérien plein cadre (phoques NOAA à 6576×4384, oiseaux drone à 5472×3648), 2,5 % à 21 % en satellite selon la taille des chips. Redimensionné à 640 px, un phoque aérien mesure environ 5 px de côté. Le test de Kolmogorov-Smirnov entre sous-marin et aérien donne D ≥ 0,95.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Densité. </w:t>
      </w:r>
      <w:r>
        <w:rPr>
          <w:rFonts w:ascii="Calibri" w:cs="Calibri" w:eastAsia="Calibri" w:hAnsi="Calibri"/>
          <w:sz w:val="22"/>
          <w:szCs w:val="22"/>
        </w:rPr>
        <w:t xml:space="preserve">91 % des images d'un relevé aérien sont vides ; les images annotées portent 2 à 12 objets. En vidéo sous-marine, 61 à 65 % des trames sont vides.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Forme. </w:t>
      </w:r>
      <w:r>
        <w:rPr>
          <w:rFonts w:ascii="Calibri" w:cs="Calibri" w:eastAsia="Calibri" w:hAnsi="Calibri"/>
          <w:sz w:val="22"/>
          <w:szCs w:val="22"/>
        </w:rPr>
        <w:t xml:space="preserve">Ratio d'aspect médian 1,7 à 2,1 (objets allongés, vue latérale) en sous-marin contre ≈ 1 en vue nadir, où l'orientation est uniforme.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tuilage ramène les mêmes objets aériens de 1 % à 8,4 % du côté image (tuiles 684 px), c'est-à-dire dans la gamme sous-marine. Ce fait guide la majorité des hypothèses ci-dessous.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État de l'art : ce que la littérature permet d'anticiper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 Détecteurs DETR et petits objets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DETR sont structurellement moins bons que les détecteurs à pyramide de caractéristiques sur les petits objets, faute de FPN et à cause du coût de l'attention à haute résolution ; RT-DETR corrige partiellement le problème par son encodeur hybride, mais l'écart AP_S / AP_L reste de 1 à 2 [1]. Les variantes dédiées aux drones (UAV-DETR, ACD-DETR, RT-UAV-SOD) gagnent environ +3,5 points de mAP@0,5 sur VisDrone2019-DET par rapport au RT-DETR de base, qui plafonne autour de 47-48 mAP@0,5 sur ce benchmark aérien [28]. Le levier le plus fiable reste la résolution d'entrée : passer de 640 à 1280 px double la taille apparente des objets (≈ 10 px → ≈ 20 px) et augmente le mAP50 de 12,7 à 15,9 % dans une étude drone, pour un coût de calcul ×4 [27].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3.2 Échelle, résolution au sol et seuil de détectabilité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Wu et al. [5] montrent, en dégradant des images drone d'animaux d'élevage vers des GSD croissantes, que la performance d'un YOLOv5 chute brutalement autour de 0,5 m/px (mAP −52 % dans la configuration la plus défavorable). Pour les objets minuscules, la métrique elle-même devient instable : un objet de 6×6 px voit son IoU chuter de 0,53 à 0,06 pour une déviation de localisation d'un pixel [4], ce qui pénalise à la fois l'assignation des étiquettes à l'entraînement et l'évaluation à IoU 0,5. Sur le benchmark AI-TOD (objets &lt; 16 px), l'état de l'art n'atteint que 24,8 AP [4]. En satellite, les animaux de plus de 0,6 m sont détectables en imagerie sub-métrique, et la mer au-delà de Beaufort 4 produit des moutons de la taille d'une baleine [31].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3.3 Tuilage et inférence par découpage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SAHI [3] applique un détecteur inchangé sur des tuiles chevauchantes : +6,8 / +5,1 / +5,3 AP sur VisDrone et xView pour FCOS, VFNet et TOOD sans ré-entraînement, et +12,7 / +13,4 / +14,5 AP cumulés après fine-tuning sur tuiles. En contexte maritime (SeaDronesSee, drones entre 5 et 260 m d'altitude), le tuilage améliore le mAP50 des petits objets de 38 % relatif [26]. Ces gains proviennent du même mécanisme que celui identifié dans l'audit : le tuilage rétablit l'échelle relative des objets.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3.4 Détection class-agnostic, objectness et généralisation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Jaiswal et al. [17] formalisent la détection class-agnostic et montrent qu'un apprentissage adversarial retirant l'information de classe des caractéristiques améliore la détection de classes non vues. OLN [18] remplace la classification par une estimation d'objectness (centralité, IoU) et généralise mieux d'un jeu à l'autre (COCO → Objects365, RoboNet, EpicKitchens). Ces travaux justifient le choix CAOD de GoldenEye, mais ils mesurent une généralisation sémantique (nouvelles classes) dans des images naturelles au sol ; aucun ne teste un changement de point de vue et de milieu aussi radical que sous-marin → nadir. Les modèles de fondation ouverts donnent un ordre de grandeur du prix d'un domaine inhabituel : Grounding DINO passe de 52,5 AP zero-shot sur COCO à 26,1 AP moyen sur les 35 domaines d'ODinW [19].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3.5 Décalage de domaine et adaptation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Beery et al. [20] établissent qu'en pièges photographiques, des modèles excellents sur leurs lieux d'entraînement généralisent mal à de nouveaux lieux, même sans changement de capteur ni de point de vue. En adaptation de domaine pour la détection, la référence Cityscapes → Foggy Cityscapes donne 26,1 mAP en source seule contre 27,9 avec DA-Faster (chiffres rapportés par [21], à vérifier sur le texte intégral) ; les méthodes contrastives récentes en imagerie satellite gagnent jusqu'à +7,4 mAP [source « Domain Adaptation with Contrastive Learning for Object Detection in Satellite Imagery », 2023]. En sous-marin, les premiers benchmarks « domain-aware » [24] identifient la visibilité et l'échelle comme facteurs dominants de variation. Delplanque et al. [14] notent explicitement que HerdNet exige un ré-entraînement pour tout changement d'angle de vue, d'espèce ou de résolution spatiale.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3.6 Mégafaune marine : niveaux de performance publiés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400"/>
        <w:gridCol w:w="3200"/>
      </w:tblGrid>
      <w:tr>
        <w:trPr>
          <w:tblHeader/>
        </w:trPr>
        <w:tc>
          <w:tcPr>
            <w:tcW w:type="dxa" w:w="17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Étude</w:t>
            </w:r>
          </w:p>
        </w:tc>
        <w:tc>
          <w:tcPr>
            <w:tcW w:type="dxa" w:w="23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Plateforme</w:t>
            </w:r>
          </w:p>
        </w:tc>
        <w:tc>
          <w:tcPr>
            <w:tcW w:type="dxa" w:w="24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Modèle</w:t>
            </w:r>
          </w:p>
        </w:tc>
        <w:tc>
          <w:tcPr>
            <w:tcW w:type="dxa" w:w="3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Résultat publié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Borowicz 2019 [6]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aérien → satellite WV-3 31 cm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ResNet / DenseNet (classification de tuiles)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100 % des tuiles baleine, 94 % des tuiles eau ; F1 0,968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Guirado 2019 [7]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satellite + aérien (Google Earth, Arkive, NOAA)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Inception v3 + Faster R-CNN Inception-ResNet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F1 0,81 détection, 0,94 comptage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Green 2023 [8]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satellite Maxar + drone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YOLOv5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entraînement combiné ; 503 baleines au total (chiffres P/R non accessibles)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Kapoor 2023 [10]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satellite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YOLO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F1 ≈ 0,90 ; 0,89 sur Svalbard vs 0,43–0,71 pour les méthodes classiques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Zheng 2025 [9]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satellite VHR panchromatique, chips 320 px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YOLOv8 (boîtes SAM)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F1 72,2 % bélugas, 70,3 % phoques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Boulent 2023 [11]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aérien avion, 5 334 images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détecteur + humain dans la boucle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4 051 détections communes / 4 572 (observateur) / 4 298 (pipeline)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 2024 [12]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drone vidéo, bélugas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YOLOv7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 93,4 %, R 91,2 %, F1 0,92 (YOLOv4 antérieur : 74 % / 72 %)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Kellenberger 2018 [13]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drone eBee, Namibie, mammifères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CNN + gestion du déséquilibre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80 % de rappel : FP &gt; 2 500 → &lt; 450 ; à 90 % : 870 vs 20 688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Delplanque 2023 [14]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avion oblique, troupeaux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HerdNet (points)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F1 73,6 % sur images 24 Mpx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Gray 2019 [15]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drone, tortues (NIR)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CNN, 944 exemples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+8 % vs comptage manuel ; validation 2,97 M → 44 822 fenêtres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Deux enseignements : (i) les meilleurs résultats aériens et satellite (F1 0,90–0,97) sont obtenus par des modèles entraînés ou ré-entraînés dans le domaine cible, souvent à l'échelle de tuiles ; (ii) le seul transfert inter-domaines documenté qui réussit sans adaptation, Borowicz 2019, repose sur un appariement explicite de la résolution au sol (imagerie aérienne sous-échantillonnée à la GSD satellite).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3.7 Qualité et convention des annotations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détecteurs tolèrent les étiquettes manquantes (moins de 2 points de mAP perdus à 60 % d'omissions sur objets minuscules) mais pas les boîtes inexactes : à 30 % de boîtes bruitées, le mAP chute de près de moitié, et à 40 % de bruit l'IoU moyen entre boîte bruitée et boîte propre n'est que de 0,45 [22]. En imagerie aérienne, l'écart entre boîte annotée et boîte englobante minimale est fréquent et justifie des transformations de boîtes comme régularisation [23]. Zheng et al. [9] montrent que des boîtes ajustées par SAM à partir de points surpassent nettement des boîtes tampon fixes, et Boulent et al. [11] rappellent que même des observateurs expérimentés ont des biais de détection différents. Cubaynes et al. [16] proposent un protocole standardisé (niveaux de certitude, boîtes et points) précisément pour réduire cette variabilité.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Hypothèses a priori et prédictions chiffrées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Chaque hypothèse suit le même format : énoncé, prédiction, fondement, expérience de test (référence aux scripts du dépôt), critère de décision. Les prédictions sont des intervalles a priori, pas des promesses : un résultat hors intervalle est une information, à documenter comme tel.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H1. L'écart 90 → 58 est majoritairement un artefact d'échelle si l'aérien interne est en plein cadre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Énoncé. </w:t>
      </w:r>
      <w:r>
        <w:rPr>
          <w:rFonts w:ascii="Calibri" w:cs="Calibri" w:eastAsia="Calibri" w:hAnsi="Calibri"/>
          <w:sz w:val="22"/>
          <w:szCs w:val="22"/>
        </w:rPr>
        <w:t xml:space="preserve">Si les 478 images aériennes internes sont des pleins cadres de relevé (objets ≈ 1 % du côté image, comme les phoques NOAA), le RT-DETRv2 évalué à 640 px voit des objets de 5 à 8 px et l'essentiel de la perte vient de l'échelle, non de l'apparence sous-marine/aérienne.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Prédiction a priori. </w:t>
      </w:r>
      <w:r>
        <w:rPr>
          <w:rFonts w:ascii="Calibri" w:cs="Calibri" w:eastAsia="Calibri" w:hAnsi="Calibri"/>
          <w:sz w:val="22"/>
          <w:szCs w:val="22"/>
        </w:rPr>
        <w:t xml:space="preserve">Sur les pleins cadres NOAA à 640 px : rappel ≤ 20 % et AP@0,5 ≤ 10. Sur les mêmes images tuilées à 640 px (objets ≈ 8 % du côté) : rappel ≥ 60 %, AP@0,5 multiplié par 3 au moins. Sur les données internes, si l'audit donne un côté relatif médian &lt; 2 %, plus de la moitié de l'écart 90 → 58 sera récupérée par le seul tuilage.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Fondement. </w:t>
      </w:r>
      <w:r>
        <w:rPr>
          <w:rFonts w:ascii="Calibri" w:cs="Calibri" w:eastAsia="Calibri" w:hAnsi="Calibri"/>
          <w:sz w:val="22"/>
          <w:szCs w:val="22"/>
        </w:rPr>
        <w:t xml:space="preserve">AP_S ≈ AP_L / 2 pour RT-DETR [1] ; effondrement autour de 0,5 m/px [5] ; instabilité de l'IoU sous 10 px [4] ; +5 à +15 AP par tuilage [3] ; +38 % relatif sur petits objets maritimes [26] ; audit interne [32].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Expérience. </w:t>
      </w:r>
      <w:r>
        <w:rPr>
          <w:rFonts w:ascii="Calibri" w:cs="Calibri" w:eastAsia="Calibri" w:hAnsi="Calibri"/>
          <w:sz w:val="22"/>
          <w:szCs w:val="22"/>
        </w:rPr>
        <w:t xml:space="preserve">E1 : audit_dataset.py sur data/aerien/local (côté relatif p50). E2 : inférence RT-DETRv2 sur noaa_arctic_seals_sample en plein cadre puis en tuiles 640/1024 px avec chevauchement 20 % ; mêmes métriques sur l'aérien interne.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Critère de décision. </w:t>
      </w:r>
      <w:r>
        <w:rPr>
          <w:rFonts w:ascii="Calibri" w:cs="Calibri" w:eastAsia="Calibri" w:hAnsi="Calibri"/>
          <w:sz w:val="22"/>
          <w:szCs w:val="22"/>
        </w:rPr>
        <w:t xml:space="preserve">Confirmée si le gain de tuilage ≥ 20 points de rappel et si l'AP par tranche COCO (small/medium/large) suit l'ordre small &lt; medium &lt; large avec un rapport ≤ 0,6. Infirmée si le tuilage gagne &lt; 5 points : l'écart est alors un décalage d'apparence (voir H5).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H2. Le tuilage à l'inférence, sans ré-entraînement, apporte +5 à +15 points d'AP en aérien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Énoncé. </w:t>
      </w:r>
      <w:r>
        <w:rPr>
          <w:rFonts w:ascii="Calibri" w:cs="Calibri" w:eastAsia="Calibri" w:hAnsi="Calibri"/>
          <w:sz w:val="22"/>
          <w:szCs w:val="22"/>
        </w:rPr>
        <w:t xml:space="preserve">L'inférence par tuiles chevauchantes (type SAHI) appliquée au modèle sous-marin inchangé améliore la détection aérienne dans la fourchette publiée pour les détecteurs génériques.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Prédiction a priori. </w:t>
      </w:r>
      <w:r>
        <w:rPr>
          <w:rFonts w:ascii="Calibri" w:cs="Calibri" w:eastAsia="Calibri" w:hAnsi="Calibri"/>
          <w:sz w:val="22"/>
          <w:szCs w:val="22"/>
        </w:rPr>
        <w:t xml:space="preserve">+5 à +15 points d'AP@0,5 sur aérien plein cadre ; gain nul ou négatif (−2 à 0) sur des images déjà tuilées ou rapprochées ; +30 à +40 % relatif sur la tranche « small ». Le fine-tuning sur tuiles, hors périmètre de cette phase, doublerait le gain (+12 à +15 AP) [3].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Fondement. </w:t>
      </w:r>
      <w:r>
        <w:rPr>
          <w:rFonts w:ascii="Calibri" w:cs="Calibri" w:eastAsia="Calibri" w:hAnsi="Calibri"/>
          <w:sz w:val="22"/>
          <w:szCs w:val="22"/>
        </w:rPr>
        <w:t xml:space="preserve">SAHI [3] ; SeaDronesSee [26] ; résolution 640 → 1280 [27].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Expérience. </w:t>
      </w:r>
      <w:r>
        <w:rPr>
          <w:rFonts w:ascii="Calibri" w:cs="Calibri" w:eastAsia="Calibri" w:hAnsi="Calibri"/>
          <w:sz w:val="22"/>
          <w:szCs w:val="22"/>
        </w:rPr>
        <w:t xml:space="preserve">E2 (grille de tailles de tuiles 512 / 640 / 1024 px, chevauchement 0,1 / 0,2 / 0,3) sur NOAA seals, UAS waterfowl experts et aérien interne.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Critère de décision. </w:t>
      </w:r>
      <w:r>
        <w:rPr>
          <w:rFonts w:ascii="Calibri" w:cs="Calibri" w:eastAsia="Calibri" w:hAnsi="Calibri"/>
          <w:sz w:val="22"/>
          <w:szCs w:val="22"/>
        </w:rPr>
        <w:t xml:space="preserve">Confirmée si le meilleur réglage de tuile gagne ≥ 5 AP@0,5 sur au moins deux jeux. La taille de tuile optimale doit placer le côté relatif médian des objets entre 3 % et 10 % de la tuile.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H3. La performance par tranche de taille reproduit la hiérarchie COCO : AP_S ≈ 0,5 × AP_L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Énoncé. </w:t>
      </w:r>
      <w:r>
        <w:rPr>
          <w:rFonts w:ascii="Calibri" w:cs="Calibri" w:eastAsia="Calibri" w:hAnsi="Calibri"/>
          <w:sz w:val="22"/>
          <w:szCs w:val="22"/>
        </w:rPr>
        <w:t xml:space="preserve">Indépendamment du domaine, le rapport AP_S / AP_L du RT-DETRv2 se situe entre 0,4 et 0,6, et la répartition des objets par tranche explique une part prévisible de la performance globale.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Prédiction a priori. </w:t>
      </w:r>
      <w:r>
        <w:rPr>
          <w:rFonts w:ascii="Calibri" w:cs="Calibri" w:eastAsia="Calibri" w:hAnsi="Calibri"/>
          <w:sz w:val="22"/>
          <w:szCs w:val="22"/>
        </w:rPr>
        <w:t xml:space="preserve">Sous-marin : ≥ 70 % d'objets « large » (≥ 96² px) ; aérien natif : ≥ 95 % « small » ou « medium ». Rapport AP_S / AP_L entre 0,4 et 0,6 dans chaque domaine où les trois tranches sont peuplées.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Fondement. </w:t>
      </w:r>
      <w:r>
        <w:rPr>
          <w:rFonts w:ascii="Calibri" w:cs="Calibri" w:eastAsia="Calibri" w:hAnsi="Calibri"/>
          <w:sz w:val="22"/>
          <w:szCs w:val="22"/>
        </w:rPr>
        <w:t xml:space="preserve">RT-DETR-R50 : 34,8 / 58,2 / 71,0 [1] ; audit : 74,9 % « large » en sous-marin multi-sources, 97 % « medium » pour les phoques natifs [32].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Expérience. </w:t>
      </w:r>
      <w:r>
        <w:rPr>
          <w:rFonts w:ascii="Calibri" w:cs="Calibri" w:eastAsia="Calibri" w:hAnsi="Calibri"/>
          <w:sz w:val="22"/>
          <w:szCs w:val="22"/>
        </w:rPr>
        <w:t xml:space="preserve">E3 : évaluation COCO complète (AP, AP_S, AP_M, AP_L) via pycocotools sur chaque jeu normalisé (coco_objet*.json).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Critère de décision. </w:t>
      </w:r>
      <w:r>
        <w:rPr>
          <w:rFonts w:ascii="Calibri" w:cs="Calibri" w:eastAsia="Calibri" w:hAnsi="Calibri"/>
          <w:sz w:val="22"/>
          <w:szCs w:val="22"/>
        </w:rPr>
        <w:t xml:space="preserve">Confirmée si le rapport tombe dans [0,4 ; 0,6]. Un rapport &lt; 0,3 signale une pénalité additionnelle propre au domaine (fond, texture) sur les petits objets.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H4. Part de l'écart imputable à la convention : règle de décision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Énoncé. </w:t>
      </w:r>
      <w:r>
        <w:rPr>
          <w:rFonts w:ascii="Calibri" w:cs="Calibri" w:eastAsia="Calibri" w:hAnsi="Calibri"/>
          <w:sz w:val="22"/>
          <w:szCs w:val="22"/>
        </w:rPr>
        <w:t xml:space="preserve">La part de l'écart 90 → 58 attribuable aux conventions (échelle, images vides, boîtes) se déduit de la performance aérienne mesurée à échelle appariée avec le sous-marin.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Prédiction a priori. </w:t>
      </w:r>
      <w:r>
        <w:rPr>
          <w:rFonts w:ascii="Calibri" w:cs="Calibri" w:eastAsia="Calibri" w:hAnsi="Calibri"/>
          <w:sz w:val="22"/>
          <w:szCs w:val="22"/>
        </w:rPr>
        <w:t xml:space="preserve">Écart résiduel après appariement d'échelle (tuilage réglé pour un côté relatif médian de 4 à 8 %) : 10 à 25 points, soit une part « convention » de 40 à 70 % de l'écart initial si l'aérien interne est plein cadre, et de 0 à 20 % s'il est déjà tuilé.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Fondement. </w:t>
      </w:r>
      <w:r>
        <w:rPr>
          <w:rFonts w:ascii="Calibri" w:cs="Calibri" w:eastAsia="Calibri" w:hAnsi="Calibri"/>
          <w:sz w:val="22"/>
          <w:szCs w:val="22"/>
        </w:rPr>
        <w:t xml:space="preserve">Combinaison de H1-H3 ; écarts source-seule vs adapté en adaptation de domaine (≈ 2 à 8 points) [21] ; ODinW [19] ; Delplanque [14].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Expérience. </w:t>
      </w:r>
      <w:r>
        <w:rPr>
          <w:rFonts w:ascii="Calibri" w:cs="Calibri" w:eastAsia="Calibri" w:hAnsi="Calibri"/>
          <w:sz w:val="22"/>
          <w:szCs w:val="22"/>
        </w:rPr>
        <w:t xml:space="preserve">E4 : calcul écart_total − écart_à_échelle_appariée sur l'aérien interne ; même calcul sur NOAA seals comme contrôle externe.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Critère de décision. </w:t>
      </w:r>
      <w:r>
        <w:rPr>
          <w:rFonts w:ascii="Calibri" w:cs="Calibri" w:eastAsia="Calibri" w:hAnsi="Calibri"/>
          <w:sz w:val="22"/>
          <w:szCs w:val="22"/>
        </w:rPr>
        <w:t xml:space="preserve">Part « convention » = (perf_appariée − perf_native) / (perf_sous-marin − perf_native). Rapporter l'intervalle de confiance par bootstrap sur les images (≥ 1 000 tirages).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H5. Un décalage de domaine d'apparence subsiste après appariement d'échelle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Énoncé. </w:t>
      </w:r>
      <w:r>
        <w:rPr>
          <w:rFonts w:ascii="Calibri" w:cs="Calibri" w:eastAsia="Calibri" w:hAnsi="Calibri"/>
          <w:sz w:val="22"/>
          <w:szCs w:val="22"/>
        </w:rPr>
        <w:t xml:space="preserve">Même à échelle égale, le fond (eau vue du dessus, glace, moutons, reflets), la texture et la silhouette nadir diffèrent du sous-marin ; une perte irréductible sans adaptation demeure.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Prédiction a priori. </w:t>
      </w:r>
      <w:r>
        <w:rPr>
          <w:rFonts w:ascii="Calibri" w:cs="Calibri" w:eastAsia="Calibri" w:hAnsi="Calibri"/>
          <w:sz w:val="22"/>
          <w:szCs w:val="22"/>
        </w:rPr>
        <w:t xml:space="preserve">Perte résiduelle de 10 à 25 points d'AP@0,5 par rapport au sous-marin, du même ordre que la chute COCO → ODinW d'un modèle ouvert (52,5 → 26,1) rapportée à l'échelle du problème [19]. Sur satellite, perte résiduelle plus forte (20 à 40 points).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Fondement. </w:t>
      </w:r>
      <w:r>
        <w:rPr>
          <w:rFonts w:ascii="Calibri" w:cs="Calibri" w:eastAsia="Calibri" w:hAnsi="Calibri"/>
          <w:sz w:val="22"/>
          <w:szCs w:val="22"/>
        </w:rPr>
        <w:t xml:space="preserve">Beery [20] ; benchmarks d'adaptation [21] ; Delplanque [14] ; facteurs visibilité/échelle en sous-marin [24].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Expérience. </w:t>
      </w:r>
      <w:r>
        <w:rPr>
          <w:rFonts w:ascii="Calibri" w:cs="Calibri" w:eastAsia="Calibri" w:hAnsi="Calibri"/>
          <w:sz w:val="22"/>
          <w:szCs w:val="22"/>
        </w:rPr>
        <w:t xml:space="preserve">E4 et E5 : comparaison à échelle appariée entre sous-marin (poissons NOAA et interne), aérien (phoques, oiseaux) et satellite (bélugas SAM, Whales from space).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Critère de décision. </w:t>
      </w:r>
      <w:r>
        <w:rPr>
          <w:rFonts w:ascii="Calibri" w:cs="Calibri" w:eastAsia="Calibri" w:hAnsi="Calibri"/>
          <w:sz w:val="22"/>
          <w:szCs w:val="22"/>
        </w:rPr>
        <w:t xml:space="preserve">Confirmée si la perte résiduelle est ≥ 10 points sur tous les jeux aériens à échelle appariée. Si &lt; 5 points, la convention explique quasiment tout et H4 est révisée à la hausse.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H6. Les faux positifs sur la surface de l'eau dominent l'erreur aérienne, pas les manques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Énoncé. </w:t>
      </w:r>
      <w:r>
        <w:rPr>
          <w:rFonts w:ascii="Calibri" w:cs="Calibri" w:eastAsia="Calibri" w:hAnsi="Calibri"/>
          <w:sz w:val="22"/>
          <w:szCs w:val="22"/>
        </w:rPr>
        <w:t xml:space="preserve">Sur un relevé où 91 % des images sont vides, un détecteur class-agnostic entraîné sur des fonds sous-marins produit des faux positifs sur moutons, reflets, écume et glace ; la précision chute plus vite que le rappel.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Prédiction a priori. </w:t>
      </w:r>
      <w:r>
        <w:rPr>
          <w:rFonts w:ascii="Calibri" w:cs="Calibri" w:eastAsia="Calibri" w:hAnsi="Calibri"/>
          <w:sz w:val="22"/>
          <w:szCs w:val="22"/>
        </w:rPr>
        <w:t xml:space="preserve">À 80 % de rappel : ≥ 1 faux positif par image sur l'ensemble du relevé NOAA (44 185 images), soit plusieurs dizaines de milliers de fausses alarmes ; précision ≤ 30 % sans filtrage. Après seuil optimal, F1 entre 0,3 et 0,6 pour le modèle non adapté.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Fondement. </w:t>
      </w:r>
      <w:r>
        <w:rPr>
          <w:rFonts w:ascii="Calibri" w:cs="Calibri" w:eastAsia="Calibri" w:hAnsi="Calibri"/>
          <w:sz w:val="22"/>
          <w:szCs w:val="22"/>
        </w:rPr>
        <w:t xml:space="preserve">Kellenberger : 20 688 détections à 90 % de rappel pour la base [13] ; nature des distracteurs [31] ; Beaufort &gt; 4 [31] ; 91 % d'images vides [32].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Expérience. </w:t>
      </w:r>
      <w:r>
        <w:rPr>
          <w:rFonts w:ascii="Calibri" w:cs="Calibri" w:eastAsia="Calibri" w:hAnsi="Calibri"/>
          <w:sz w:val="22"/>
          <w:szCs w:val="22"/>
        </w:rPr>
        <w:t xml:space="preserve">E6 : inférence sur l'échantillon NOAA complet (202 annotées + 14 vides) puis sur 1 000 images vides supplémentaires tirées au hasard (script fetch_lila_noaa_seals_sample.py --n-empty 1000) ; courbe précision-rappel et FP/image par vol et par caméra.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Critère de décision. </w:t>
      </w:r>
      <w:r>
        <w:rPr>
          <w:rFonts w:ascii="Calibri" w:cs="Calibri" w:eastAsia="Calibri" w:hAnsi="Calibri"/>
          <w:sz w:val="22"/>
          <w:szCs w:val="22"/>
        </w:rPr>
        <w:t xml:space="preserve">Confirmée si FP/image ≥ 1 à 80 % de rappel. Documenter la nature des FP par inspection visuelle de 100 cas (moutons, glace, reflets, bord de tuile).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H7. Le prior de forme appris en sous-marin (objets allongés) pénalise les objets nadir quasi carrés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Énoncé. </w:t>
      </w:r>
      <w:r>
        <w:rPr>
          <w:rFonts w:ascii="Calibri" w:cs="Calibri" w:eastAsia="Calibri" w:hAnsi="Calibri"/>
          <w:sz w:val="22"/>
          <w:szCs w:val="22"/>
        </w:rPr>
        <w:t xml:space="preserve">Le modèle a appris des boîtes de ratio 1,7 à 2,1 ; les objets nadir (ratio ≈ 1, orientation uniforme) sont moins bien rappelés, et l'augmentation par rotation à l'inférence réduit l'écart.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Prédiction a priori. </w:t>
      </w:r>
      <w:r>
        <w:rPr>
          <w:rFonts w:ascii="Calibri" w:cs="Calibri" w:eastAsia="Calibri" w:hAnsi="Calibri"/>
          <w:sz w:val="22"/>
          <w:szCs w:val="22"/>
        </w:rPr>
        <w:t xml:space="preserve">Rappel inférieur de 5 à 15 points pour les objets de ratio dans [0,7 ; 1,4] par rapport aux objets de ratio &gt; 1,7 dans le même jeu aérien. Gain de +1 à +4 points d'AP par TTA de rotation (0°, 90°, 180°, 270° + fusion), cohérent avec les gains d'équivariance rotationnelle publiés [25].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Fondement. </w:t>
      </w:r>
      <w:r>
        <w:rPr>
          <w:rFonts w:ascii="Calibri" w:cs="Calibri" w:eastAsia="Calibri" w:hAnsi="Calibri"/>
          <w:sz w:val="22"/>
          <w:szCs w:val="22"/>
        </w:rPr>
        <w:t xml:space="preserve">Audit des ratios [32] ; ReDet et mesures d'équivariance [25].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Expérience. </w:t>
      </w:r>
      <w:r>
        <w:rPr>
          <w:rFonts w:ascii="Calibri" w:cs="Calibri" w:eastAsia="Calibri" w:hAnsi="Calibri"/>
          <w:sz w:val="22"/>
          <w:szCs w:val="22"/>
        </w:rPr>
        <w:t xml:space="preserve">E7 : rappel par tranche de ratio (boxes.csv de l'audit croisé avec les détections) ; TTA rotation.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Critère de décision. </w:t>
      </w:r>
      <w:r>
        <w:rPr>
          <w:rFonts w:ascii="Calibri" w:cs="Calibri" w:eastAsia="Calibri" w:hAnsi="Calibri"/>
          <w:sz w:val="22"/>
          <w:szCs w:val="22"/>
        </w:rPr>
        <w:t xml:space="preserve">Confirmée si l'écart de rappel entre tranches ≥ 5 points ou si la TTA gagne ≥ 1 point. Infirmée si les deux effets sont &lt; 1 point.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H8. Le choix class-agnostic limite la perte cross-domaine par rapport à un détecteur multi-classes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Énoncé. </w:t>
      </w:r>
      <w:r>
        <w:rPr>
          <w:rFonts w:ascii="Calibri" w:cs="Calibri" w:eastAsia="Calibri" w:hAnsi="Calibri"/>
          <w:sz w:val="22"/>
          <w:szCs w:val="22"/>
        </w:rPr>
        <w:t xml:space="preserve">À entraînement égal, le modèle class-agnostic conserve un rappel cross-domaine supérieur à un modèle à classes, parce qu'il ne supprime pas les objets non reconnus comme fond.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Prédiction a priori. </w:t>
      </w:r>
      <w:r>
        <w:rPr>
          <w:rFonts w:ascii="Calibri" w:cs="Calibri" w:eastAsia="Calibri" w:hAnsi="Calibri"/>
          <w:sz w:val="22"/>
          <w:szCs w:val="22"/>
        </w:rPr>
        <w:t xml:space="preserve">AR@100 cross-domaine supérieur de 5 à 10 points pour la version class-agnostic ; écart de précision faible ou inversé.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Fondement. </w:t>
      </w:r>
      <w:r>
        <w:rPr>
          <w:rFonts w:ascii="Calibri" w:cs="Calibri" w:eastAsia="Calibri" w:hAnsi="Calibri"/>
          <w:sz w:val="22"/>
          <w:szCs w:val="22"/>
        </w:rPr>
        <w:t xml:space="preserve">Jaiswal [17] ; OLN [18] ; enquêtes open-world [17][18].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Expérience. </w:t>
      </w:r>
      <w:r>
        <w:rPr>
          <w:rFonts w:ascii="Calibri" w:cs="Calibri" w:eastAsia="Calibri" w:hAnsi="Calibri"/>
          <w:sz w:val="22"/>
          <w:szCs w:val="22"/>
        </w:rPr>
        <w:t xml:space="preserve">E8 (optionnelle, nécessite un entraînement de contrôle hors périmètre de cette phase) : entraîner une variante multi-classes sur le même jeu sous-marin, comparer AR@100 en aérien.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Critère de décision. </w:t>
      </w:r>
      <w:r>
        <w:rPr>
          <w:rFonts w:ascii="Calibri" w:cs="Calibri" w:eastAsia="Calibri" w:hAnsi="Calibri"/>
          <w:sz w:val="22"/>
          <w:szCs w:val="22"/>
        </w:rPr>
        <w:t xml:space="preserve">Confirmée si l'écart d'AR@100 ≥ 5 points. À défaut d'entraînement, mesurer AR@100 du modèle actuel comme borne de référence pour les phases suivantes.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H9. Un modèle de fondation ouvert zero-shot donne une borne de référence de 20 à 40 AP@0,5 en aérien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Énoncé. </w:t>
      </w:r>
      <w:r>
        <w:rPr>
          <w:rFonts w:ascii="Calibri" w:cs="Calibri" w:eastAsia="Calibri" w:hAnsi="Calibri"/>
          <w:sz w:val="22"/>
          <w:szCs w:val="22"/>
        </w:rPr>
        <w:t xml:space="preserve">Grounding DINO (prompts « seal », « whale », « animal ») évalué sans entraînement fournit un plancher raisonnable ; le modèle interne doit le dépasser à échelle appariée, sinon le bénéfice du pré-entraînement sous-marin est nul en aérien.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Prédiction a priori. </w:t>
      </w:r>
      <w:r>
        <w:rPr>
          <w:rFonts w:ascii="Calibri" w:cs="Calibri" w:eastAsia="Calibri" w:hAnsi="Calibri"/>
          <w:sz w:val="22"/>
          <w:szCs w:val="22"/>
        </w:rPr>
        <w:t xml:space="preserve">AP@0,5 zero-shot entre 20 et 40 sur tuiles aériennes, &lt; 15 sur pleins cadres, &lt; 10 sur satellite ; cohérent avec la moyenne ODinW (26,1) [19].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Fondement. </w:t>
      </w:r>
      <w:r>
        <w:rPr>
          <w:rFonts w:ascii="Calibri" w:cs="Calibri" w:eastAsia="Calibri" w:hAnsi="Calibri"/>
          <w:sz w:val="22"/>
          <w:szCs w:val="22"/>
        </w:rPr>
        <w:t xml:space="preserve">Grounding DINO [19] ; applications zero-shot en télédétection et sur oiseaux 2024-2025.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Expérience. </w:t>
      </w:r>
      <w:r>
        <w:rPr>
          <w:rFonts w:ascii="Calibri" w:cs="Calibri" w:eastAsia="Calibri" w:hAnsi="Calibri"/>
          <w:sz w:val="22"/>
          <w:szCs w:val="22"/>
        </w:rPr>
        <w:t xml:space="preserve">E9 : inférence Grounding DINO sur les mêmes tuiles que E2, mêmes métriques.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Critère de décision. </w:t>
      </w:r>
      <w:r>
        <w:rPr>
          <w:rFonts w:ascii="Calibri" w:cs="Calibri" w:eastAsia="Calibri" w:hAnsi="Calibri"/>
          <w:sz w:val="22"/>
          <w:szCs w:val="22"/>
        </w:rPr>
        <w:t xml:space="preserve">Si le RT-DETRv2 sous-marin à échelle appariée &lt; Grounding DINO zero-shot, le transfert sous-marin → aérien est jugé non bénéfique et la phase suivante doit partir d'un modèle ouvert ou d'un pré-entraînement aérien.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H10. Le satellite est le domaine le plus dégradé ; un sur-échantillonnage ×2 des chips rend le transfert mesurable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Énoncé. </w:t>
      </w:r>
      <w:r>
        <w:rPr>
          <w:rFonts w:ascii="Calibri" w:cs="Calibri" w:eastAsia="Calibri" w:hAnsi="Calibri"/>
          <w:sz w:val="22"/>
          <w:szCs w:val="22"/>
        </w:rPr>
        <w:t xml:space="preserve">Sur chips satellite (objets 5 à 30 px), le modèle sous-marin non adapté est proche de zéro à résolution native ; un sur-échantillonnage ×2 à ×4 des chips fait remonter le rappel.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Prédiction a priori. </w:t>
      </w:r>
      <w:r>
        <w:rPr>
          <w:rFonts w:ascii="Calibri" w:cs="Calibri" w:eastAsia="Calibri" w:hAnsi="Calibri"/>
          <w:sz w:val="22"/>
          <w:szCs w:val="22"/>
        </w:rPr>
        <w:t xml:space="preserve">Rappel &lt; 10 % à résolution native sur bélugas (7 px) ; 20 à 50 % après sur-échantillonnage ×2 à ×4 ; 40 à 70 % sur Whales from space (chips 128 px, objets 30 px). Pour comparaison, les modèles entraînés dans le domaine atteignent F1 0,72 à 0,97 [6][7][9][10].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Fondement. </w:t>
      </w:r>
      <w:r>
        <w:rPr>
          <w:rFonts w:ascii="Calibri" w:cs="Calibri" w:eastAsia="Calibri" w:hAnsi="Calibri"/>
          <w:sz w:val="22"/>
          <w:szCs w:val="22"/>
        </w:rPr>
        <w:t xml:space="preserve">Tableau 3.6 ; NWD [4] ; audit des chips [32].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Expérience. </w:t>
      </w:r>
      <w:r>
        <w:rPr>
          <w:rFonts w:ascii="Calibri" w:cs="Calibri" w:eastAsia="Calibri" w:hAnsi="Calibri"/>
          <w:sz w:val="22"/>
          <w:szCs w:val="22"/>
        </w:rPr>
        <w:t xml:space="preserve">E5 : inférence sur beluga_seeker (4 images disponibles, annotations complètes pour extension) et WSDataset, à ×1, ×2, ×4.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Critère de décision. </w:t>
      </w:r>
      <w:r>
        <w:rPr>
          <w:rFonts w:ascii="Calibri" w:cs="Calibri" w:eastAsia="Calibri" w:hAnsi="Calibri"/>
          <w:sz w:val="22"/>
          <w:szCs w:val="22"/>
        </w:rPr>
        <w:t xml:space="preserve">Confirmée si le rappel croît de façon monotone avec le facteur de sur-échantillonnage et dépasse 20 % à ×2.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H11. La sensibilité de l'IoU aux petits objets fausse la mesure : évaluer aussi à IoU 0,3 et avec NWD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Énoncé. </w:t>
      </w:r>
      <w:r>
        <w:rPr>
          <w:rFonts w:ascii="Calibri" w:cs="Calibri" w:eastAsia="Calibri" w:hAnsi="Calibri"/>
          <w:sz w:val="22"/>
          <w:szCs w:val="22"/>
        </w:rPr>
        <w:t xml:space="preserve">Une part de l'écart mesuré à IoU 0,5 provient de la métrique elle-même sur des objets de moins de 15 px ; des seuils plus tolérants ou une métrique gaussienne réduisent l'écart sans changer le modèle.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Prédiction a priori. </w:t>
      </w:r>
      <w:r>
        <w:rPr>
          <w:rFonts w:ascii="Calibri" w:cs="Calibri" w:eastAsia="Calibri" w:hAnsi="Calibri"/>
          <w:sz w:val="22"/>
          <w:szCs w:val="22"/>
        </w:rPr>
        <w:t xml:space="preserve">Écart AP@0,3 − AP@0,5 ≥ 10 points sur aérien natif et satellite, ≤ 3 points en sous-marin. Le classement des jeux est inchangé, mais la part « convention » de H4 augmente de 5 à 10 points quand on évalue à IoU 0,3.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Fondement. </w:t>
      </w:r>
      <w:r>
        <w:rPr>
          <w:rFonts w:ascii="Calibri" w:cs="Calibri" w:eastAsia="Calibri" w:hAnsi="Calibri"/>
          <w:sz w:val="22"/>
          <w:szCs w:val="22"/>
        </w:rPr>
        <w:t xml:space="preserve">NWD [4] ; bruit de boîte [22] ; boîtes lâches en aérien [23].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Expérience. </w:t>
      </w:r>
      <w:r>
        <w:rPr>
          <w:rFonts w:ascii="Calibri" w:cs="Calibri" w:eastAsia="Calibri" w:hAnsi="Calibri"/>
          <w:sz w:val="22"/>
          <w:szCs w:val="22"/>
        </w:rPr>
        <w:t xml:space="preserve">E3 étendu : AP à IoU 0,3 / 0,5 / 0,75 et NWD sur tous les jeux.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Critère de décision. </w:t>
      </w:r>
      <w:r>
        <w:rPr>
          <w:rFonts w:ascii="Calibri" w:cs="Calibri" w:eastAsia="Calibri" w:hAnsi="Calibri"/>
          <w:sz w:val="22"/>
          <w:szCs w:val="22"/>
        </w:rPr>
        <w:t xml:space="preserve">Confirmée si la différence AP@0,3 − AP@0,5 est au moins trois fois plus grande en aérien natif qu'en sous-marin.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H12. La qualité des boîtes internes conditionne les résultats : un taux de boîtes hors cadre ou lâches &gt; 10 % coûte plusieurs points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Énoncé. </w:t>
      </w:r>
      <w:r>
        <w:rPr>
          <w:rFonts w:ascii="Calibri" w:cs="Calibri" w:eastAsia="Calibri" w:hAnsi="Calibri"/>
          <w:sz w:val="22"/>
          <w:szCs w:val="22"/>
        </w:rPr>
        <w:t xml:space="preserve">Si l'audit interne révèle des boîtes hors cadre, dégénérées ou systématiquement plus larges que l'objet, l'évaluation sous-estime le modèle et l'entraînement futur en souffrira.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Prédiction a priori. </w:t>
      </w:r>
      <w:r>
        <w:rPr>
          <w:rFonts w:ascii="Calibri" w:cs="Calibri" w:eastAsia="Calibri" w:hAnsi="Calibri"/>
          <w:sz w:val="22"/>
          <w:szCs w:val="22"/>
        </w:rPr>
        <w:t xml:space="preserve">Chaque tranche de 10 % de boîtes inexactes (IoU &lt; 0,5 avec la boîte serrée) coûte 3 à 8 points d'AP@0,5 ; à 30 % le mAP est presque divisé par deux [22]. Les jeux publics récupérés montrent 0,4 % (phoques) à 14 % (tuiles d'oiseaux) de boîtes hors cadre [32].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Fondement. </w:t>
      </w:r>
      <w:r>
        <w:rPr>
          <w:rFonts w:ascii="Calibri" w:cs="Calibri" w:eastAsia="Calibri" w:hAnsi="Calibri"/>
          <w:sz w:val="22"/>
          <w:szCs w:val="22"/>
        </w:rPr>
        <w:t xml:space="preserve">Li 2020 et suites [22] ; NBBOX [23] ; SAM vs tampons [9].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Expérience. </w:t>
      </w:r>
      <w:r>
        <w:rPr>
          <w:rFonts w:ascii="Calibri" w:cs="Calibri" w:eastAsia="Calibri" w:hAnsi="Calibri"/>
          <w:sz w:val="22"/>
          <w:szCs w:val="22"/>
        </w:rPr>
        <w:t xml:space="preserve">E1 (audit) puis ré-annotation d'un échantillon de 50 images internes par deux annotateurs ; IoU moyen entre annotateurs et avec la boîte SAM.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Critère de décision. </w:t>
      </w:r>
      <w:r>
        <w:rPr>
          <w:rFonts w:ascii="Calibri" w:cs="Calibri" w:eastAsia="Calibri" w:hAnsi="Calibri"/>
          <w:sz w:val="22"/>
          <w:szCs w:val="22"/>
        </w:rPr>
        <w:t xml:space="preserve">Si l'IoU inter-annotateurs &lt; 0,7 ou si &gt; 10 % des boîtes sont hors cadre ou dégénérées, corriger les annotations avant toute conclusion sur le modèle.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Protocole de test proposé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Les expériences ci-dessous n'entraînent aucun modèle (sauf E8, optionnelle et explicitement hors phase). Elles utilisent les scripts du dépôt pour la préparation et une boucle d'inférence RT-DETRv2 à écrire (scripts/eval_rtdetr.py, à créer : entrée COCO classe unique, sortie détections COCO, évaluation pycocotools).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000"/>
        <w:gridCol w:w="1900"/>
        <w:gridCol w:w="1900"/>
        <w:gridCol w:w="1800"/>
      </w:tblGrid>
      <w:tr>
        <w:trPr>
          <w:tblHeader/>
        </w:trPr>
        <w:tc>
          <w:tcPr>
            <w:tcW w:type="dxa" w:w="8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Exp.</w:t>
            </w:r>
          </w:p>
        </w:tc>
        <w:tc>
          <w:tcPr>
            <w:tcW w:type="dxa" w:w="12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Hypothèses</w:t>
            </w:r>
          </w:p>
        </w:tc>
        <w:tc>
          <w:tcPr>
            <w:tcW w:type="dxa" w:w="20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Jeux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Variables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Métriques</w:t>
            </w:r>
          </w:p>
        </w:tc>
        <w:tc>
          <w:tcPr>
            <w:tcW w:type="dxa" w:w="18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Sortie attendue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H1, H4, H12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sous-marin interne, aérien interne (478)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 : audit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côté relatif p5-p95, densité, ratio, boîtes hors cadre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audits/*/summary.json, 20 PNG aériens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H1, H2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NOAA seals (202 img), UAS experts (12), aérien interne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tuile 512/640/1024, chevauchement 0,1/0,2/0,3, plein cadre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AP@0,5, rappel, FP/img par tranche COCO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courbes AP vs taille de tuile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H3, H11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tous les COCO normalisés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seuil IoU 0,3/0,5/0,75, NWD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AP, AP_S/M/L, AR@100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 par jeu × seuil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H4, H5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sous-marin vs aérien à échelle appariée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tuilage réglé pour p50 côté relatif 4-8 %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écart d'AP, IC bootstrap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 « convention » chiffrée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H5, H10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beluga_seeker, WSDataset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sur-échantillonnage ×1/×2/×4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rappel, AP@0,3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courbe rappel vs facteur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E6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H6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NOAA seals + 1 000 images vides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seuil de confiance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précision-rappel, FP/img par vol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typologie des FP (100 cas)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H7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aérien interne, NOAA seals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TTA rotation 0/90/180/270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rappel par tranche de ratio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gain TTA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E8 (opt.)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H8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sous-marin interne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entraînement multi-classes de contrôle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AR@100 cross-domaine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hors phase actuelle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E9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H9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mêmes tuiles que E2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prompts « seal », « whale », « animal »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AP@0,5 zero-shot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plancher de référence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Ordre recommandé. </w:t>
      </w:r>
      <w:r>
        <w:rPr>
          <w:rFonts w:ascii="Calibri" w:cs="Calibri" w:eastAsia="Calibri" w:hAnsi="Calibri"/>
          <w:sz w:val="22"/>
          <w:szCs w:val="22"/>
        </w:rPr>
        <w:t xml:space="preserve">E1 d'abord (il conditionne l'interprétation de tout le reste), puis E2 et E3 le même jour (même boucle d'inférence), E6 en tâche de fond (volume), E4 et E11 en post-traitement des sorties de E2-E3, E5 et E9 ensuite, E7 en dernier.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6. Grille de lecture des résultats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300"/>
      </w:tblGrid>
      <w:tr>
        <w:trPr>
          <w:tblHeader/>
        </w:trPr>
        <w:tc>
          <w:tcPr>
            <w:tcW w:type="dxa" w:w="33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Observation après E1-E4</w:t>
            </w:r>
          </w:p>
        </w:tc>
        <w:tc>
          <w:tcPr>
            <w:tcW w:type="dxa" w:w="30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Interprétation</w:t>
            </w:r>
          </w:p>
        </w:tc>
        <w:tc>
          <w:tcPr>
            <w:tcW w:type="dxa" w:w="33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Conséquence pour la suite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Aérien interne : côté relatif p50 &lt; 2 % et gain de tuilage ≥ 20 points de rappel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 et H4 confirmées : l'écart 90 → 58 est surtout une convention d'échelle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Fixer la convention d'évaluation tuilée ; ré-évaluer le 58 % ; priorité au tuilage et à la résolution avant toute adaptation de domaine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Aérien interne : côté relatif p50 ≥ 4 % et gain de tuilage &lt; 5 points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 infirmée, H5 confirmée : vrai décalage d'apparence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Programme d'adaptation de domaine ou de pré-entraînement aérien ; conserver la convention actuelle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Gain de tuilage intermédiaire (5-20 points) et perte résiduelle 10-25 points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 mixte, le plus probable a priori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deux chantiers, dans cet ordre : tuilage puis adaptation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FP/image ≥ 1 à 80 % de rappel (E6)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H6 confirmée : le fond marin vu du dessus est le problème n° 1 de précision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Ajouter des négatifs aériens (images vides) à l'entraînement suivant ; filtrage par contexte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AP@0,3 − AP@0,5 ≥ 10 points en aérien (E3)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H11 confirmée : une part de l'écart est métrique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Rapporter systématiquement AP@0,3 et NWD à côté de AP@0,5 pour les objets &lt; 15 px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RT-DETRv2 apparié &lt; Grounding DINO zero-shot (E9)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H9 : le pré-entraînement sous-marin n'apporte rien en aérien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Repartir d'un modèle ouvert ou d'un pré-entraînement aérien pour la phase d'entraînement</w:t>
            </w:r>
          </w:p>
        </w:tc>
      </w:tr>
      <w:tr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IoU inter-annotateurs &lt; 0,7 ou &gt; 10 % de boîtes hors cadre (E1, H12)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annotations internes ne permettent pas de conclure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Ré-annoter avant toute autre expérience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7. Limites et points à vérifier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métriques internes (« 90 % », « 58 % ») n'ont pas été définies dans les documents disponibles ; toutes les prédictions supposent une AP@0,5 ou un F1 et doivent être reformulées si la métrique diffère.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chiffres de Chen et al. 2018 sont rapportés d'après un article secondaire [21] et ceux de Green et al. 2023 sont incomplets (précision et rappel non accessibles) : à vérifier sur les textes intégraux.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jeux publics ne contiennent pas de mégafaune sous-marine annotée en boîtes : la référence sous-marine repose sur des poissons (NOAA, jeu communautaire), dont les conventions peuvent différer des données internes.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Aucune étude publiée ne teste directement un transfert sous-marin → aérien ; les intervalles de H5 et H9 sont extrapolés de transferts aérien → satellite [6], de benchmarks open-world [19] et d'adaptation de domaine au sol [21].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gains de tuilage publiés [3][26] concernent des détecteurs entraînés dans le domaine cible ; appliqués à un modèle sous-marin non adapté, ils constituent une borne haute.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8. Références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[1] </w:t>
      </w:r>
      <w:r>
        <w:rPr>
          <w:rFonts w:ascii="Calibri" w:cs="Calibri" w:eastAsia="Calibri" w:hAnsi="Calibri"/>
          <w:sz w:val="20"/>
          <w:szCs w:val="20"/>
        </w:rPr>
        <w:t xml:space="preserve">Zhao Y., Lv W., Xu S. et al. (2024). DETRs Beat YOLOs on Real-time Object Detection. CVPR 2024. https://openaccess.thecvf.com/content/CVPR2024/html/Zhao_DETRs_Beat_YOLOs_on_Real-time_Object_Detection_CVPR_2024_paper.html — RT-DETR-R50 : AP 53,1 ; AP_S 34,8 / AP_M 58,2 / AP_L 71,0 (COCO val2017).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[2] </w:t>
      </w:r>
      <w:r>
        <w:rPr>
          <w:rFonts w:ascii="Calibri" w:cs="Calibri" w:eastAsia="Calibri" w:hAnsi="Calibri"/>
          <w:sz w:val="20"/>
          <w:szCs w:val="20"/>
        </w:rPr>
        <w:t xml:space="preserve">Lv W., Zhao Y., Chang Q. et al. (2024). RT-DETRv2: Improved Baseline with Bag-of-Freebies for Real-Time Detection Transformer. arXiv:2407.17140. — gains de +1,0 à +1,4 AP sur RT-DETR à taille égale.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[3] </w:t>
      </w:r>
      <w:r>
        <w:rPr>
          <w:rFonts w:ascii="Calibri" w:cs="Calibri" w:eastAsia="Calibri" w:hAnsi="Calibri"/>
          <w:sz w:val="20"/>
          <w:szCs w:val="20"/>
        </w:rPr>
        <w:t xml:space="preserve">Akyon F.C., Altinuc S.O., Temizel A. (2022). Slicing Aided Hyper Inference and Fine-tuning for Small Object Detection. IEEE ICIP 2022. arXiv:2202.06934. — VisDrone/xView : +6,8 / +5,1 / +5,3 AP (FCOS, VFNet, TOOD) par tuilage à l'inférence ; +12,7 / +13,4 / +14,5 AP avec fine-tuning tuilé.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[4] </w:t>
      </w:r>
      <w:r>
        <w:rPr>
          <w:rFonts w:ascii="Calibri" w:cs="Calibri" w:eastAsia="Calibri" w:hAnsi="Calibri"/>
          <w:sz w:val="20"/>
          <w:szCs w:val="20"/>
        </w:rPr>
        <w:t xml:space="preserve">Wang J., Xu C., Yang W., Yu L. (2021). A Normalized Gaussian Wasserstein Distance for Tiny Object Detection. arXiv:2110.13389 ; Xu C. et al. (2022) Detecting tiny objects in aerial images: a normalized Wasserstein distance and a new benchmark, ISPRS J. Photogramm. Remote Sens. — objet 6×6 px : une déviation mineure fait chuter l'IoU de 0,53 à 0,06 ; +6,7 AP sur AI-TOD ; RFLA 24,8 AP sur AI-TOD.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[5] </w:t>
      </w:r>
      <w:r>
        <w:rPr>
          <w:rFonts w:ascii="Calibri" w:cs="Calibri" w:eastAsia="Calibri" w:hAnsi="Calibri"/>
          <w:sz w:val="20"/>
          <w:szCs w:val="20"/>
        </w:rPr>
        <w:t xml:space="preserve">Wu Z., Hall S.B., Kimber A.J. et al. (2022). Automated aerial animal detection when spatial resolution conditions are varied. Computers and Electronics in Agriculture 193, 106689. arXiv:2110.01329. — chute brutale des performances autour d'une GSD de 0,5 m/px ; mAP −52 % avec ouverture Cassegrain à 0,5 m/px.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[6] </w:t>
      </w:r>
      <w:r>
        <w:rPr>
          <w:rFonts w:ascii="Calibri" w:cs="Calibri" w:eastAsia="Calibri" w:hAnsi="Calibri"/>
          <w:sz w:val="20"/>
          <w:szCs w:val="20"/>
        </w:rPr>
        <w:t xml:space="preserve">Borowicz A., Le H., Humphries G. et al. (2019). Aerial-trained deep learning networks for surveying cetaceans from satellite imagery. PLOS ONE 14(10): e0212532. — CNN entraînés sur imagerie aérienne sous-échantillonnée, testés sur WorldView-3 (31 cm) : 100 % des tuiles avec baleine et 94 % des tuiles d'eau correctement classées ; F1 = 0,968.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[7] </w:t>
      </w:r>
      <w:r>
        <w:rPr>
          <w:rFonts w:ascii="Calibri" w:cs="Calibri" w:eastAsia="Calibri" w:hAnsi="Calibri"/>
          <w:sz w:val="20"/>
          <w:szCs w:val="20"/>
        </w:rPr>
        <w:t xml:space="preserve">Guirado E., Tabik S., Rivas M.L., Alcaraz-Segura D., Herrera F. (2019). Whale counting in satellite and aerial images with deep learning. Scientific Reports 9, 14259. — F1 = 0,81 en détection (présence) et 0,94 en comptage.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[8] </w:t>
      </w:r>
      <w:r>
        <w:rPr>
          <w:rFonts w:ascii="Calibri" w:cs="Calibri" w:eastAsia="Calibri" w:hAnsi="Calibri"/>
          <w:sz w:val="20"/>
          <w:szCs w:val="20"/>
        </w:rPr>
        <w:t xml:space="preserve">Green K.M., Virdee M.K., Cubaynes H.C. et al. (2023). Gray whale detection in satellite imagery using deep learning. Remote Sensing in Ecology and Conservation 9(6), 829-840. doi:10.1002/rse2.352. — YOLOv5, apprentissage combiné drone (53 baleines, Oregon) + satellite ; 344/69/90 baleines en train/val/test.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[9] </w:t>
      </w:r>
      <w:r>
        <w:rPr>
          <w:rFonts w:ascii="Calibri" w:cs="Calibri" w:eastAsia="Calibri" w:hAnsi="Calibri"/>
          <w:sz w:val="20"/>
          <w:szCs w:val="20"/>
        </w:rPr>
        <w:t xml:space="preserve">Zheng Y., Yang J., Chen Y. et al. (2025). Beluga Whale Detection from Satellite Imagery with Point Labels. IGARSS 2025. arXiv:2505.12066. — YOLOv8 sur boîtes SAM : F1 72,2 % (bélugas), 70,3 % (phoques du Groenland) ; boîtes SAM &gt; boîtes tampon.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[10] </w:t>
      </w:r>
      <w:r>
        <w:rPr>
          <w:rFonts w:ascii="Calibri" w:cs="Calibri" w:eastAsia="Calibri" w:hAnsi="Calibri"/>
          <w:sz w:val="20"/>
          <w:szCs w:val="20"/>
        </w:rPr>
        <w:t xml:space="preserve">Kapoor S., Kumar M., Kaushal M. (2023). Deep learning based whale detection from satellite imagery. Sustainable Computing: Informatics and Systems 38, 100858. — F1 ≈ 90 % ; YOLO F1 0,89 sur Svalbard vs 0,57 (Hough), 0,43 (DBSCAN), 0,71 (template matching).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[11] </w:t>
      </w:r>
      <w:r>
        <w:rPr>
          <w:rFonts w:ascii="Calibri" w:cs="Calibri" w:eastAsia="Calibri" w:hAnsi="Calibri"/>
          <w:sz w:val="20"/>
          <w:szCs w:val="20"/>
        </w:rPr>
        <w:t xml:space="preserve">Boulent J., Charry B., Kennedy M.M. et al. (2023). Scaling whale monitoring using deep learning: a human-in-the-loop solution for analyzing aerial datasets. Frontiers in Marine Science 10:1099479. — 5 334 images aériennes (bélugas, Cumberland Sound) ; 4 051 détections communes sur 4 572 (observateur) et 4 298 (pipeline) ; biais de détection variable entre observateurs expérimentés.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[12] </w:t>
      </w:r>
      <w:r>
        <w:rPr>
          <w:rFonts w:ascii="Calibri" w:cs="Calibri" w:eastAsia="Calibri" w:hAnsi="Calibri"/>
          <w:sz w:val="20"/>
          <w:szCs w:val="20"/>
        </w:rPr>
        <w:t xml:space="preserve">Fu J., Gauthier A.M., Marcoux M. et al. (2024). Localization and tracking of beluga whales in aerial video using deep learning. Frontiers in Marine Science 11:1445698. — YOLOv7 : précision 93,4 %, rappel 91,2 % (toutes classes) ; F1 0,92 ; travaux antérieurs YOLOv4 : 74 % / 72 %.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[13] </w:t>
      </w:r>
      <w:r>
        <w:rPr>
          <w:rFonts w:ascii="Calibri" w:cs="Calibri" w:eastAsia="Calibri" w:hAnsi="Calibri"/>
          <w:sz w:val="20"/>
          <w:szCs w:val="20"/>
        </w:rPr>
        <w:t xml:space="preserve">Kellenberger B., Marcos D., Tuia D. (2018). Detecting mammals in UAV images: best practices to address a substantially imbalanced dataset with deep learning. Remote Sensing of Environment 216, 139-153. arXiv:1806.11368. — à 80 % de rappel, faux positifs réduits de &gt; 2 500 à &lt; 450 ; à 90 % de rappel, 870 détections contre 20 688 pour la base.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[14] </w:t>
      </w:r>
      <w:r>
        <w:rPr>
          <w:rFonts w:ascii="Calibri" w:cs="Calibri" w:eastAsia="Calibri" w:hAnsi="Calibri"/>
          <w:sz w:val="20"/>
          <w:szCs w:val="20"/>
        </w:rPr>
        <w:t xml:space="preserve">Delplanque A., Foucher S., Théau J., Bussière E., Vermeulen C., Lejeune P. (2023). From crowd to herd counting: how to precisely detect and count African mammals using aerial imagery and deep learning? ISPRS J. Photogramm. Remote Sens. 197, 167-180. — HerdNet F1 global 73,6 % sur images 24 Mpx ; nécessite un ré-entraînement pour tout changement d'angle de vue, d'espèce ou de résolution.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[15] </w:t>
      </w:r>
      <w:r>
        <w:rPr>
          <w:rFonts w:ascii="Calibri" w:cs="Calibri" w:eastAsia="Calibri" w:hAnsi="Calibri"/>
          <w:sz w:val="20"/>
          <w:szCs w:val="20"/>
        </w:rPr>
        <w:t xml:space="preserve">Gray P.C., Fleishman A.B., Klein D.J. et al. (2019). A convolutional neural network for detecting sea turtles in drone imagery. Methods in Ecology and Evolution 10(3), 345-355. — 944 exemples d'entraînement ; +8 % de tortues détectées par rapport au comptage manuel ; charge de validation réduite de 2 971 554 à 44 822 fenêtres.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[16] </w:t>
      </w:r>
      <w:r>
        <w:rPr>
          <w:rFonts w:ascii="Calibri" w:cs="Calibri" w:eastAsia="Calibri" w:hAnsi="Calibri"/>
          <w:sz w:val="20"/>
          <w:szCs w:val="20"/>
        </w:rPr>
        <w:t xml:space="preserve">Cubaynes H.C., Fretwell P.T. (2022). Whales from space dataset, an annotated satellite image dataset of whales for training machine learning models. Scientific Data 9, 245 ; Cubaynes H.C. et al. (2023). Annotating very high-resolution satellite imagery: a whale case study. MethodsX 10, 102040. — 633 baleines annotées (boîtes + points), 4 espèces, 4 capteurs ; protocole d'annotation standardisé avec niveaux de certitude.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[17] </w:t>
      </w:r>
      <w:r>
        <w:rPr>
          <w:rFonts w:ascii="Calibri" w:cs="Calibri" w:eastAsia="Calibri" w:hAnsi="Calibri"/>
          <w:sz w:val="20"/>
          <w:szCs w:val="20"/>
        </w:rPr>
        <w:t xml:space="preserve">Jaiswal A., Wu Y., Natarajan P., Natarajan P. (2021). Class-agnostic Object Detection. WACV 2021. arXiv:2011.14204. — apprentissage adversarial retirant l'information de classe des caractéristiques ; meilleure détection des classes non vues.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[18] </w:t>
      </w:r>
      <w:r>
        <w:rPr>
          <w:rFonts w:ascii="Calibri" w:cs="Calibri" w:eastAsia="Calibri" w:hAnsi="Calibri"/>
          <w:sz w:val="20"/>
          <w:szCs w:val="20"/>
        </w:rPr>
        <w:t xml:space="preserve">Kim D., Lin T.-Y., Angelova A., Kweon I.S., Kuo W. (2022). Learning Open-World Object Proposals without Learning to Classify. IEEE RA-L / ICRA 2022. arXiv:2108.06753. — OLN : objectness par centralité/IoU sans classification ; généralisation cross-dataset (COCO → Objects365, RoboNet, EpicKitchens).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[19] </w:t>
      </w:r>
      <w:r>
        <w:rPr>
          <w:rFonts w:ascii="Calibri" w:cs="Calibri" w:eastAsia="Calibri" w:hAnsi="Calibri"/>
          <w:sz w:val="20"/>
          <w:szCs w:val="20"/>
        </w:rPr>
        <w:t xml:space="preserve">Liu S., Zeng Z., Ren T. et al. (2024). Grounding DINO: Marrying DINO with Grounded Pre-Training for Open-Set Object Detection. ECCV 2024. — 52,5 AP zero-shot sur COCO, 26,1 AP moyen zero-shot sur ODinW (35 domaines).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[20] </w:t>
      </w:r>
      <w:r>
        <w:rPr>
          <w:rFonts w:ascii="Calibri" w:cs="Calibri" w:eastAsia="Calibri" w:hAnsi="Calibri"/>
          <w:sz w:val="20"/>
          <w:szCs w:val="20"/>
        </w:rPr>
        <w:t xml:space="preserve">Beery S., Van Horn G., Perona P. (2018). Recognition in Terra Incognita. ECCV 2018. arXiv:1807.04975. — excellentes performances sur les lieux d'entraînement, généralisation médiocre à de nouveaux lieux (pièges photographiques).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[21] </w:t>
      </w:r>
      <w:r>
        <w:rPr>
          <w:rFonts w:ascii="Calibri" w:cs="Calibri" w:eastAsia="Calibri" w:hAnsi="Calibri"/>
          <w:sz w:val="20"/>
          <w:szCs w:val="20"/>
        </w:rPr>
        <w:t xml:space="preserve">Chen Y., Li W., Sakaridis C., Dai D., Van Gool L. (2018). Domain Adaptive Faster R-CNN for Object Detection in the Wild. CVPR 2018 ; et Su P. et al. (2020) Adapting Object Detectors with Conditional Domain Normalization, arXiv:2003.07071. — Cityscapes → Foggy Cityscapes : source seule 26,1 mAP, adapté 27,9 mAP (chiffres CDN).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[22] </w:t>
      </w:r>
      <w:r>
        <w:rPr>
          <w:rFonts w:ascii="Calibri" w:cs="Calibri" w:eastAsia="Calibri" w:hAnsi="Calibri"/>
          <w:sz w:val="20"/>
          <w:szCs w:val="20"/>
        </w:rPr>
        <w:t xml:space="preserve">Li J., Xiong C., Socher R., Hoi S. (2020). Towards Noise-resistant Object Detection with Noisy Annotations. arXiv:2003.01285 ; et Robust Tiny Object Detection in Aerial Images amidst Label Noise (2024), arXiv:2401.08056. — sous 40 % de bruit de boîte, l'IoU moyen bruit/propre n'est que de 0,45 ; les détecteurs sont robustes aux étiquettes manquantes (&lt; 2 points de mAP à 60 % de bruit) mais le mAP chute de près de moitié à 30 % de boîtes inexactes.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[23] </w:t>
      </w:r>
      <w:r>
        <w:rPr>
          <w:rFonts w:ascii="Calibri" w:cs="Calibri" w:eastAsia="Calibri" w:hAnsi="Calibri"/>
          <w:sz w:val="20"/>
          <w:szCs w:val="20"/>
        </w:rPr>
        <w:t xml:space="preserve">Kim Y. et al. (2024). NBBOX: Noisy Bounding Box Improves Remote Sensing Object Detection. arXiv:2409.09424. — écart entre boîte annotée et boîte englobante minimale ; transformations de boîtes comme régularisation en imagerie aérienne.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[24] </w:t>
      </w:r>
      <w:r>
        <w:rPr>
          <w:rFonts w:ascii="Calibri" w:cs="Calibri" w:eastAsia="Calibri" w:hAnsi="Calibri"/>
          <w:sz w:val="20"/>
          <w:szCs w:val="20"/>
        </w:rPr>
        <w:t xml:space="preserve">Why Domain Matters: a preliminary study of domain effects in underwater object detection (2026), arXiv:2604.26174 ; et Domain-Aware Benchmarking of Underwater Object Detection and Annotation Quality, arXiv:2607.10575. — visibilité et échelle sont les premiers facteurs de variation des performances en sous-marin.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[25] </w:t>
      </w:r>
      <w:r>
        <w:rPr>
          <w:rFonts w:ascii="Calibri" w:cs="Calibri" w:eastAsia="Calibri" w:hAnsi="Calibri"/>
          <w:sz w:val="20"/>
          <w:szCs w:val="20"/>
        </w:rPr>
        <w:t xml:space="preserve">Han J., Ding J., Xue N., Xia G.-S. (2021). ReDet: A Rotation-equivariant Detector for Aerial Object Detection. CVPR 2021. arXiv:2103.07733 ; Wu et al. (2025) Measuring the Impact of Rotation Equivariance on Aerial Object Detection, ICCV 2025. — +1,2 / +3,5 / +2,6 mAP sur DOTA-v1.0, DOTA-v1.5, HRSC2016.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[26] </w:t>
      </w:r>
      <w:r>
        <w:rPr>
          <w:rFonts w:ascii="Calibri" w:cs="Calibri" w:eastAsia="Calibri" w:hAnsi="Calibri"/>
          <w:sz w:val="20"/>
          <w:szCs w:val="20"/>
        </w:rPr>
        <w:t xml:space="preserve">Maritime Small Object Detection from UAVs using Deep Learning with Altitude-Aware Dynamic Tiling (2025). arXiv:2511.19728. — SeaDronesSee : +38 % de mAP50_small par tuilage (YOLOv5 + SAHI) par rapport à l'absence de tuilage.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[27] </w:t>
      </w:r>
      <w:r>
        <w:rPr>
          <w:rFonts w:ascii="Calibri" w:cs="Calibri" w:eastAsia="Calibri" w:hAnsi="Calibri"/>
          <w:sz w:val="20"/>
          <w:szCs w:val="20"/>
        </w:rPr>
        <w:t xml:space="preserve">Systematic evaluation / drone small object studies (2025-2026) : résolution d'entrée 640 → 1280 px : mAP50 de 12,7 % à 15,9 % (+25 % relatif) pour un coût ×4 ; taille des objets ~10 px → ~20 px. Sources : arXiv:2504.19347, arXiv:2603.02142, Sci. Rep. s41598-025-31803-7.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[28] </w:t>
      </w:r>
      <w:r>
        <w:rPr>
          <w:rFonts w:ascii="Calibri" w:cs="Calibri" w:eastAsia="Calibri" w:hAnsi="Calibri"/>
          <w:sz w:val="20"/>
          <w:szCs w:val="20"/>
        </w:rPr>
        <w:t xml:space="preserve">UAV-DETR (Sensors 2025, doi:10.3390/s25154582) ; ACD-DETR (2025) ; RT-UAV-SOD (Sci. Rep. 2025). — sur VisDrone2019-DET, RT-DETR-R18 de base ≈ 47–48 mAP@0,5 ; variantes UAV 50,9–51,6 mAP@0,5 (+3,5 points).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[29] </w:t>
      </w:r>
      <w:r>
        <w:rPr>
          <w:rFonts w:ascii="Calibri" w:cs="Calibri" w:eastAsia="Calibri" w:hAnsi="Calibri"/>
          <w:sz w:val="20"/>
          <w:szCs w:val="20"/>
        </w:rPr>
        <w:t xml:space="preserve">Wang X. et al. (2024). A review of deep learning techniques for detecting animals in aerial and satellite images. Int. J. Appl. Earth Obs. Geoinf. ; et Deep learning methods for detecting marine vertebrates and invertebrates from satellite, aerial and underwater imagery: a review (2026), Deep-Sea Research I. — défis principaux : jeux déséquilibrés, petits objets, méthodes d'annotation, fond d'image, comptage, estimation d'incertitude.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[30] </w:t>
      </w:r>
      <w:r>
        <w:rPr>
          <w:rFonts w:ascii="Calibri" w:cs="Calibri" w:eastAsia="Calibri" w:hAnsi="Calibri"/>
          <w:sz w:val="20"/>
          <w:szCs w:val="20"/>
        </w:rPr>
        <w:t xml:space="preserve">Zhu P., Wen L., Du D. et al. (2021). Detection and Tracking Meet Drones Challenge. IEEE TPAMI 43(11) ; Xia G.-S. et al. (2018/2021) DOTA. — benchmarks aériens non marins de référence (VisDrone-DET 10 209 images ; DOTA-v2.0 11 268 images, 1,79 M instances).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[31] </w:t>
      </w:r>
      <w:r>
        <w:rPr>
          <w:rFonts w:ascii="Calibri" w:cs="Calibri" w:eastAsia="Calibri" w:hAnsi="Calibri"/>
          <w:sz w:val="20"/>
          <w:szCs w:val="20"/>
        </w:rPr>
        <w:t xml:space="preserve">Wei et al. (2022). Detection and tracking of belugas, kayaks and motorized boats in drone video using deep learning. J. Unmanned Vehicle Systems ; et Machine-learning approach for automatic detection of wild beluga whales from hand-held camera pictures (Sensors 2022). — vagues, ombres, écume et reflets solaires sont visuellement proches des baleines ; au-delà de Beaufort 4, les moutons rendent la discrimination difficile.</w:t>
      </w:r>
    </w:p>
    <w:p>
      <w:pPr>
        <w:spacing w:after="80"/>
        <w:ind w:left="500" w:hanging="5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[32] </w:t>
      </w:r>
      <w:r>
        <w:rPr>
          <w:rFonts w:ascii="Calibri" w:cs="Calibri" w:eastAsia="Calibri" w:hAnsi="Calibri"/>
          <w:sz w:val="20"/>
          <w:szCs w:val="20"/>
        </w:rPr>
        <w:t xml:space="preserve">Audit interne GoldenEye (ce dépôt, inventory_report.md, 2026-09-09). — côté relatif médian des objets : 0,96 % (phoques NOAA, 14 311 boîtes, images 6576×4384), 0,99 % (oiseaux drone 5472×3648), 8,4 % (mêmes oiseaux en tuiles 684×521), 4,4 % (poissons estuaire NOAA, 1920×1080), 32,7 % (poissons multi-sources), 2,5 % (bélugas satellite, chips 320 px), 21 % (Whales from space, chips 128 px) ; 91 % d'images vides en relevé aérien ; aspect médian 1,7–2,1 en sous-marin contre ≈ 1 en nadir.</w:t>
      </w:r>
    </w:p>
    <w:sectPr>
      <w:headerReference w:type="default" r:id="rId7"/>
      <w:footerReference w:type="default" r:id="rId8"/>
      <w:pgSz w:w="11906" w:h="16838" w:orient="portrait"/>
      <w:pgMar w:top="1250" w:right="1300" w:bottom="12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GoldenEye — Hypothèses a priori cross-domaine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Hypothèses a priori — généralisation cross-domaine RT-DETRv2</dc:title>
  <dc:creator>GoldenEye / SogetiLabs</dc:creator>
  <cp:lastModifiedBy>Un-named</cp:lastModifiedBy>
  <cp:revision>1</cp:revision>
  <dcterms:created xsi:type="dcterms:W3CDTF">2026-09-09T12:25:15.731Z</dcterms:created>
  <dcterms:modified xsi:type="dcterms:W3CDTF">2026-09-09T12:25:15.732Z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