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Elias Miguel Retamales Enrique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2018/19?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Falta de práctica en el área, se comprenden y desarrollan competencias pero no al nivel de las otras.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 he puesto en práctica dichas habilidades en mi experiencia laboral, solo durante la ejecución de las materias indicadas en la malla duoc.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Habilidades y procesos aprendidos durante la carrera pero no puestos en práctica durante mi ejercicio laboral por lo que no lo manejo como otras areas.</w:t>
            </w:r>
          </w:p>
        </w:tc>
      </w:tr>
    </w:tbl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XErrw/9eDK8ValdofYgvhptTqA==">CgMxLjAyCGguZ2pkZ3hzMgloLjMwajB6bGw4AHIhMTZzQngwYjluaHFHSGFmUmh2eHJDazVrMDY1UXdWeDRQ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