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D00DE" w14:textId="77777777" w:rsidR="006E6CE9" w:rsidRDefault="00000000">
      <w:pPr>
        <w:shd w:val="clear" w:color="auto" w:fill="1F3864"/>
        <w:jc w:val="center"/>
      </w:pPr>
      <w:r>
        <w:rPr>
          <w:b/>
          <w:bCs/>
          <w:color w:val="FFFFFF"/>
          <w:sz w:val="40"/>
          <w:szCs w:val="40"/>
        </w:rPr>
        <w:t>SPATIAL ANALYSIS RESULTS</w:t>
      </w:r>
    </w:p>
    <w:p w14:paraId="18C71A98" w14:textId="77777777" w:rsidR="006E6CE9" w:rsidRDefault="00000000">
      <w:pPr>
        <w:shd w:val="clear" w:color="auto" w:fill="2E5FA3"/>
        <w:jc w:val="center"/>
      </w:pPr>
      <w:r>
        <w:rPr>
          <w:color w:val="FFFFFF"/>
          <w:sz w:val="24"/>
          <w:szCs w:val="24"/>
        </w:rPr>
        <w:t>Explanation Document — Week 7 Days 6–7</w:t>
      </w:r>
    </w:p>
    <w:p w14:paraId="2953F9CF" w14:textId="77777777" w:rsidR="006E6CE9" w:rsidRDefault="00000000">
      <w:pPr>
        <w:shd w:val="clear" w:color="auto" w:fill="D6E4F7"/>
        <w:spacing w:after="200"/>
        <w:jc w:val="center"/>
      </w:pPr>
      <w:r>
        <w:rPr>
          <w:i/>
          <w:iCs/>
          <w:color w:val="1F3864"/>
        </w:rPr>
        <w:t>Chandigarh Multi-Layer Map Project  |  31 March 2026</w:t>
      </w:r>
    </w:p>
    <w:p w14:paraId="15A343B5" w14:textId="77777777" w:rsidR="006E6CE9" w:rsidRDefault="006E6CE9">
      <w:pPr>
        <w:spacing w:before="60"/>
      </w:pPr>
    </w:p>
    <w:p w14:paraId="33693180" w14:textId="77777777" w:rsidR="006E6CE9" w:rsidRDefault="00000000">
      <w:pPr>
        <w:spacing w:before="60" w:after="60"/>
        <w:jc w:val="both"/>
      </w:pPr>
      <w:r>
        <w:t>This document explains the three analytical outputs produced in Week 7 Days 6–7: the Spearman Correlation Matrix, the LISA Cluster Map, and the Scatter Plots. For each output it covers what it is, how to read it, what the Chandigarh results show, and what those results mean for the paper. The Spatial Lag regression model is also explained as it emerges directly from the Moran's I result.</w:t>
      </w:r>
    </w:p>
    <w:p w14:paraId="659CBE8F" w14:textId="77777777" w:rsidR="006E6CE9" w:rsidRDefault="006E6CE9">
      <w:pPr>
        <w:spacing w:before="60"/>
      </w:pPr>
    </w:p>
    <w:p w14:paraId="49476398" w14:textId="77777777" w:rsidR="006E6CE9" w:rsidRDefault="00000000">
      <w:r>
        <w:br/>
      </w:r>
    </w:p>
    <w:p w14:paraId="52C48A6C" w14:textId="77777777" w:rsidR="006E6CE9" w:rsidRDefault="00000000">
      <w:pPr>
        <w:pBdr>
          <w:bottom w:val="single" w:sz="8" w:space="2" w:color="1F3864"/>
        </w:pBdr>
        <w:spacing w:before="280" w:after="100"/>
      </w:pPr>
      <w:r>
        <w:rPr>
          <w:b/>
          <w:bCs/>
          <w:color w:val="1F3864"/>
          <w:sz w:val="30"/>
          <w:szCs w:val="30"/>
        </w:rPr>
        <w:t>1. Spearman Rank Correlation Matrix</w:t>
      </w:r>
    </w:p>
    <w:p w14:paraId="58FF20A8" w14:textId="77777777" w:rsidR="006E6CE9" w:rsidRDefault="006E6CE9">
      <w:pPr>
        <w:spacing w:before="60"/>
      </w:pPr>
    </w:p>
    <w:p w14:paraId="4E94BB8D" w14:textId="77777777" w:rsidR="006E6CE9" w:rsidRDefault="00000000">
      <w:pPr>
        <w:spacing w:before="200" w:after="80"/>
      </w:pPr>
      <w:r>
        <w:rPr>
          <w:b/>
          <w:bCs/>
          <w:color w:val="1F3864"/>
          <w:sz w:val="24"/>
          <w:szCs w:val="24"/>
        </w:rPr>
        <w:t>1.1  What it is and why Spearman instead of Pearson</w:t>
      </w:r>
    </w:p>
    <w:p w14:paraId="3AEBE6FE" w14:textId="77777777" w:rsidR="006E6CE9" w:rsidRDefault="006E6CE9">
      <w:pPr>
        <w:spacing w:before="60"/>
      </w:pPr>
    </w:p>
    <w:p w14:paraId="07095ECA" w14:textId="77777777" w:rsidR="006E6CE9" w:rsidRDefault="00000000">
      <w:pPr>
        <w:spacing w:before="60" w:after="60"/>
        <w:jc w:val="both"/>
      </w:pPr>
      <w:r>
        <w:t>A correlation matrix measures the strength and direction of the relationship between every pair of variables in your dataset. Each cell shows a single number — the correlation coefficient — that ranges from −1 to +1. A value near +1 means the two variables rise and fall together. A value near −1 means as one rises, the other falls. A value near 0 means no systematic relationship.</w:t>
      </w:r>
    </w:p>
    <w:p w14:paraId="0D862DEC" w14:textId="77777777" w:rsidR="006E6CE9" w:rsidRDefault="006E6CE9">
      <w:pPr>
        <w:spacing w:before="60"/>
      </w:pPr>
    </w:p>
    <w:p w14:paraId="6F9C7599" w14:textId="77777777" w:rsidR="006E6CE9" w:rsidRDefault="00000000">
      <w:pPr>
        <w:spacing w:before="60" w:after="60"/>
        <w:jc w:val="both"/>
      </w:pPr>
      <w:r>
        <w:t>Spearman rank correlation is used here instead of the more familiar Pearson correlation for a precise reason: Pearson assumes both variables are normally distributed and that their relationship is linear. Your variables — LST, GHI, TCI, SC% — are not normally distributed and several relationships (such as LST vs NDVI) follow a curve rather than a straight line. Spearman converts all values to ranks before computing the correlation, which removes both assumptions. It is the standard method in urban heat island studies working with mixed environmental and socio-economic data.</w:t>
      </w:r>
    </w:p>
    <w:p w14:paraId="605857A1" w14:textId="77777777" w:rsidR="006E6CE9" w:rsidRDefault="006E6CE9">
      <w:pPr>
        <w:spacing w:before="60"/>
      </w:pPr>
    </w:p>
    <w:p w14:paraId="3826AEA7" w14:textId="77777777" w:rsidR="006E6CE9" w:rsidRDefault="00000000">
      <w:pPr>
        <w:spacing w:before="200" w:after="80"/>
      </w:pPr>
      <w:r>
        <w:rPr>
          <w:b/>
          <w:bCs/>
          <w:color w:val="1F3864"/>
          <w:sz w:val="24"/>
          <w:szCs w:val="24"/>
        </w:rPr>
        <w:t>1.2  How to read the heatmap</w:t>
      </w:r>
    </w:p>
    <w:p w14:paraId="3F071D7A" w14:textId="77777777" w:rsidR="006E6CE9" w:rsidRDefault="006E6CE9">
      <w:pPr>
        <w:spacing w:before="60"/>
      </w:pPr>
    </w:p>
    <w:p w14:paraId="0F029EE0" w14:textId="77777777" w:rsidR="006E6CE9" w:rsidRDefault="00000000">
      <w:pPr>
        <w:spacing w:before="60" w:after="60"/>
        <w:jc w:val="both"/>
      </w:pPr>
      <w:r>
        <w:t>The heatmap shows only the lower triangle of the matrix (the upper triangle is a mirror image and is left blank to avoid confusion). The diagonal cells show 1.0 — every variable is perfectly correlated with itself. The colour scale runs from dark blue (strong negative, −1) through white (no relationship, 0) to dark red (strong positive, +1).</w:t>
      </w:r>
    </w:p>
    <w:p w14:paraId="7295AAC6" w14:textId="77777777" w:rsidR="006E6CE9" w:rsidRDefault="006E6CE9">
      <w:pPr>
        <w:spacing w:before="60"/>
      </w:pPr>
    </w:p>
    <w:p w14:paraId="72C55EFE" w14:textId="77777777" w:rsidR="006E6CE9" w:rsidRDefault="00000000">
      <w:pPr>
        <w:spacing w:before="60" w:after="60"/>
        <w:jc w:val="both"/>
      </w:pPr>
      <w:r>
        <w:t>Each cell contains two pieces of information: the correlation coefficient (ρ, Greek letter rho) and significance stars. The stars indicate whether the relationship is statistically real or could have occurred by chance:</w:t>
      </w:r>
    </w:p>
    <w:p w14:paraId="18DA3A3A" w14:textId="77777777" w:rsidR="006E6CE9" w:rsidRDefault="006E6CE9">
      <w:pPr>
        <w:spacing w:before="60"/>
      </w:pPr>
    </w:p>
    <w:p w14:paraId="06F8719B" w14:textId="77777777" w:rsidR="006E6CE9" w:rsidRDefault="00000000">
      <w:pPr>
        <w:pStyle w:val="ListParagraph"/>
        <w:numPr>
          <w:ilvl w:val="0"/>
          <w:numId w:val="2"/>
        </w:numPr>
        <w:spacing w:before="40" w:after="40"/>
      </w:pPr>
      <w:r>
        <w:t>*** (three stars): p &lt; 0.001 — less than 0.1% probability this is a chance finding. Very strong evidence.</w:t>
      </w:r>
    </w:p>
    <w:p w14:paraId="042AF312" w14:textId="77777777" w:rsidR="006E6CE9" w:rsidRDefault="00000000">
      <w:pPr>
        <w:pStyle w:val="ListParagraph"/>
        <w:numPr>
          <w:ilvl w:val="0"/>
          <w:numId w:val="2"/>
        </w:numPr>
        <w:spacing w:before="40" w:after="40"/>
      </w:pPr>
      <w:r>
        <w:t>** (two stars): p &lt; 0.01 — less than 1% probability. Strong evidence.</w:t>
      </w:r>
    </w:p>
    <w:p w14:paraId="7EBBB002" w14:textId="77777777" w:rsidR="006E6CE9" w:rsidRDefault="00000000">
      <w:pPr>
        <w:pStyle w:val="ListParagraph"/>
        <w:numPr>
          <w:ilvl w:val="0"/>
          <w:numId w:val="2"/>
        </w:numPr>
        <w:spacing w:before="40" w:after="40"/>
      </w:pPr>
      <w:r>
        <w:t>* (one star): p &lt; 0.05 — less than 5% probability. Conventional threshold for scientific publications.</w:t>
      </w:r>
    </w:p>
    <w:p w14:paraId="015C3EF5" w14:textId="77777777" w:rsidR="006E6CE9" w:rsidRDefault="00000000">
      <w:pPr>
        <w:pStyle w:val="ListParagraph"/>
        <w:numPr>
          <w:ilvl w:val="0"/>
          <w:numId w:val="2"/>
        </w:numPr>
        <w:spacing w:before="40" w:after="40"/>
      </w:pPr>
      <w:r>
        <w:t>No stars: p ≥ 0.05 — the relationship is not statistically significant at the standard threshold. The direction may still be informative but cannot be reported as a finding.</w:t>
      </w:r>
    </w:p>
    <w:p w14:paraId="4AE7E4A4" w14:textId="77777777" w:rsidR="006E6CE9" w:rsidRDefault="006E6CE9">
      <w:pPr>
        <w:spacing w:before="60"/>
      </w:pPr>
    </w:p>
    <w:p w14:paraId="3D3B44CA" w14:textId="77777777" w:rsidR="006E6CE9" w:rsidRDefault="00000000">
      <w:pPr>
        <w:spacing w:before="60" w:after="60"/>
        <w:jc w:val="both"/>
      </w:pPr>
      <w:r>
        <w:t>The sample size matters for significance. Most pairs use n=63 (all urban sectors). The GHI pairs use n=24 (only sectors with government housing), which makes it much harder to reach significance — you need a stronger correlation to overcome the smaller sample.</w:t>
      </w:r>
    </w:p>
    <w:p w14:paraId="00DDA72C" w14:textId="77777777" w:rsidR="006D59E0" w:rsidRDefault="006D59E0">
      <w:pPr>
        <w:spacing w:before="60" w:after="60"/>
        <w:jc w:val="both"/>
      </w:pPr>
    </w:p>
    <w:p w14:paraId="37AA54A8" w14:textId="77777777" w:rsidR="006D59E0" w:rsidRDefault="006D59E0">
      <w:pPr>
        <w:spacing w:before="60" w:after="60"/>
        <w:jc w:val="both"/>
      </w:pPr>
    </w:p>
    <w:p w14:paraId="3BA87572" w14:textId="77777777" w:rsidR="006D59E0" w:rsidRDefault="006D59E0">
      <w:pPr>
        <w:spacing w:before="60" w:after="60"/>
        <w:jc w:val="both"/>
      </w:pPr>
    </w:p>
    <w:p w14:paraId="25CADD30" w14:textId="77777777" w:rsidR="006E6CE9" w:rsidRDefault="006E6CE9">
      <w:pPr>
        <w:spacing w:before="60"/>
      </w:pPr>
    </w:p>
    <w:p w14:paraId="7294522D" w14:textId="77777777" w:rsidR="006E6CE9" w:rsidRDefault="00000000">
      <w:pPr>
        <w:spacing w:before="200" w:after="80"/>
      </w:pPr>
      <w:r>
        <w:rPr>
          <w:b/>
          <w:bCs/>
          <w:color w:val="1F3864"/>
          <w:sz w:val="24"/>
          <w:szCs w:val="24"/>
        </w:rPr>
        <w:lastRenderedPageBreak/>
        <w:t>1.3  Your results — pair by pair</w:t>
      </w:r>
    </w:p>
    <w:p w14:paraId="3F217D16" w14:textId="77777777" w:rsidR="006E6CE9" w:rsidRDefault="006E6CE9">
      <w:pPr>
        <w:spacing w:before="60"/>
      </w:pPr>
    </w:p>
    <w:tbl>
      <w:tblPr>
        <w:tblW w:w="92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876"/>
        <w:gridCol w:w="876"/>
        <w:gridCol w:w="521"/>
        <w:gridCol w:w="1408"/>
        <w:gridCol w:w="1458"/>
        <w:gridCol w:w="2441"/>
      </w:tblGrid>
      <w:tr w:rsidR="006E6CE9" w14:paraId="6006DC84" w14:textId="77777777">
        <w:tc>
          <w:tcPr>
            <w:tcW w:w="1800" w:type="dxa"/>
            <w:tcBorders>
              <w:top w:val="single" w:sz="4" w:space="0" w:color="2E5FA3"/>
              <w:left w:val="single" w:sz="4" w:space="0" w:color="2E5FA3"/>
              <w:bottom w:val="single" w:sz="4" w:space="0" w:color="2E5FA3"/>
              <w:right w:val="single" w:sz="4" w:space="0" w:color="2E5FA3"/>
            </w:tcBorders>
            <w:shd w:val="clear" w:color="auto" w:fill="2E5FA3"/>
            <w:tcMar>
              <w:top w:w="100" w:type="dxa"/>
              <w:left w:w="160" w:type="dxa"/>
              <w:bottom w:w="100" w:type="dxa"/>
              <w:right w:w="160" w:type="dxa"/>
            </w:tcMar>
          </w:tcPr>
          <w:p w14:paraId="02C88EAF" w14:textId="77777777" w:rsidR="006E6CE9" w:rsidRDefault="00000000">
            <w:r>
              <w:rPr>
                <w:b/>
                <w:bCs/>
                <w:color w:val="FFFFFF"/>
                <w:sz w:val="19"/>
                <w:szCs w:val="19"/>
              </w:rPr>
              <w:t>Variable pair</w:t>
            </w:r>
          </w:p>
        </w:tc>
        <w:tc>
          <w:tcPr>
            <w:tcW w:w="500" w:type="dxa"/>
            <w:tcBorders>
              <w:top w:val="single" w:sz="4" w:space="0" w:color="2E5FA3"/>
              <w:left w:val="single" w:sz="4" w:space="0" w:color="2E5FA3"/>
              <w:bottom w:val="single" w:sz="4" w:space="0" w:color="2E5FA3"/>
              <w:right w:val="single" w:sz="4" w:space="0" w:color="2E5FA3"/>
            </w:tcBorders>
            <w:shd w:val="clear" w:color="auto" w:fill="2E5FA3"/>
            <w:tcMar>
              <w:top w:w="100" w:type="dxa"/>
              <w:left w:w="160" w:type="dxa"/>
              <w:bottom w:w="100" w:type="dxa"/>
              <w:right w:w="160" w:type="dxa"/>
            </w:tcMar>
          </w:tcPr>
          <w:p w14:paraId="6316934F" w14:textId="77777777" w:rsidR="006E6CE9" w:rsidRDefault="00000000">
            <w:r>
              <w:rPr>
                <w:b/>
                <w:bCs/>
                <w:color w:val="FFFFFF"/>
                <w:sz w:val="19"/>
                <w:szCs w:val="19"/>
              </w:rPr>
              <w:t>ρ</w:t>
            </w:r>
          </w:p>
        </w:tc>
        <w:tc>
          <w:tcPr>
            <w:tcW w:w="700" w:type="dxa"/>
            <w:tcBorders>
              <w:top w:val="single" w:sz="4" w:space="0" w:color="2E5FA3"/>
              <w:left w:val="single" w:sz="4" w:space="0" w:color="2E5FA3"/>
              <w:bottom w:val="single" w:sz="4" w:space="0" w:color="2E5FA3"/>
              <w:right w:val="single" w:sz="4" w:space="0" w:color="2E5FA3"/>
            </w:tcBorders>
            <w:shd w:val="clear" w:color="auto" w:fill="2E5FA3"/>
            <w:tcMar>
              <w:top w:w="100" w:type="dxa"/>
              <w:left w:w="160" w:type="dxa"/>
              <w:bottom w:w="100" w:type="dxa"/>
              <w:right w:w="160" w:type="dxa"/>
            </w:tcMar>
          </w:tcPr>
          <w:p w14:paraId="741E1F55" w14:textId="77777777" w:rsidR="006E6CE9" w:rsidRDefault="00000000">
            <w:r>
              <w:rPr>
                <w:b/>
                <w:bCs/>
                <w:color w:val="FFFFFF"/>
                <w:sz w:val="19"/>
                <w:szCs w:val="19"/>
              </w:rPr>
              <w:t>p-value</w:t>
            </w:r>
          </w:p>
        </w:tc>
        <w:tc>
          <w:tcPr>
            <w:tcW w:w="500" w:type="dxa"/>
            <w:tcBorders>
              <w:top w:val="single" w:sz="4" w:space="0" w:color="2E5FA3"/>
              <w:left w:val="single" w:sz="4" w:space="0" w:color="2E5FA3"/>
              <w:bottom w:val="single" w:sz="4" w:space="0" w:color="2E5FA3"/>
              <w:right w:val="single" w:sz="4" w:space="0" w:color="2E5FA3"/>
            </w:tcBorders>
            <w:shd w:val="clear" w:color="auto" w:fill="2E5FA3"/>
            <w:tcMar>
              <w:top w:w="100" w:type="dxa"/>
              <w:left w:w="160" w:type="dxa"/>
              <w:bottom w:w="100" w:type="dxa"/>
              <w:right w:w="160" w:type="dxa"/>
            </w:tcMar>
          </w:tcPr>
          <w:p w14:paraId="42A4E45C" w14:textId="77777777" w:rsidR="006E6CE9" w:rsidRDefault="00000000">
            <w:r>
              <w:rPr>
                <w:b/>
                <w:bCs/>
                <w:color w:val="FFFFFF"/>
                <w:sz w:val="19"/>
                <w:szCs w:val="19"/>
              </w:rPr>
              <w:t>n</w:t>
            </w:r>
          </w:p>
        </w:tc>
        <w:tc>
          <w:tcPr>
            <w:tcW w:w="1400" w:type="dxa"/>
            <w:tcBorders>
              <w:top w:val="single" w:sz="4" w:space="0" w:color="2E5FA3"/>
              <w:left w:val="single" w:sz="4" w:space="0" w:color="2E5FA3"/>
              <w:bottom w:val="single" w:sz="4" w:space="0" w:color="2E5FA3"/>
              <w:right w:val="single" w:sz="4" w:space="0" w:color="2E5FA3"/>
            </w:tcBorders>
            <w:shd w:val="clear" w:color="auto" w:fill="2E5FA3"/>
            <w:tcMar>
              <w:top w:w="100" w:type="dxa"/>
              <w:left w:w="160" w:type="dxa"/>
              <w:bottom w:w="100" w:type="dxa"/>
              <w:right w:w="160" w:type="dxa"/>
            </w:tcMar>
          </w:tcPr>
          <w:p w14:paraId="4AD9673A" w14:textId="77777777" w:rsidR="006E6CE9" w:rsidRDefault="00000000">
            <w:r>
              <w:rPr>
                <w:b/>
                <w:bCs/>
                <w:color w:val="FFFFFF"/>
                <w:sz w:val="19"/>
                <w:szCs w:val="19"/>
              </w:rPr>
              <w:t>Significant?</w:t>
            </w:r>
          </w:p>
        </w:tc>
        <w:tc>
          <w:tcPr>
            <w:tcW w:w="1500" w:type="dxa"/>
            <w:tcBorders>
              <w:top w:val="single" w:sz="4" w:space="0" w:color="2E5FA3"/>
              <w:left w:val="single" w:sz="4" w:space="0" w:color="2E5FA3"/>
              <w:bottom w:val="single" w:sz="4" w:space="0" w:color="2E5FA3"/>
              <w:right w:val="single" w:sz="4" w:space="0" w:color="2E5FA3"/>
            </w:tcBorders>
            <w:shd w:val="clear" w:color="auto" w:fill="2E5FA3"/>
            <w:tcMar>
              <w:top w:w="100" w:type="dxa"/>
              <w:left w:w="160" w:type="dxa"/>
              <w:bottom w:w="100" w:type="dxa"/>
              <w:right w:w="160" w:type="dxa"/>
            </w:tcMar>
          </w:tcPr>
          <w:p w14:paraId="1159F2B1" w14:textId="77777777" w:rsidR="006E6CE9" w:rsidRDefault="00000000">
            <w:r>
              <w:rPr>
                <w:b/>
                <w:bCs/>
                <w:color w:val="FFFFFF"/>
                <w:sz w:val="19"/>
                <w:szCs w:val="19"/>
              </w:rPr>
              <w:t>Direction confirmed?</w:t>
            </w:r>
          </w:p>
        </w:tc>
        <w:tc>
          <w:tcPr>
            <w:tcW w:w="2800" w:type="dxa"/>
            <w:tcBorders>
              <w:top w:val="single" w:sz="4" w:space="0" w:color="2E5FA3"/>
              <w:left w:val="single" w:sz="4" w:space="0" w:color="2E5FA3"/>
              <w:bottom w:val="single" w:sz="4" w:space="0" w:color="2E5FA3"/>
              <w:right w:val="single" w:sz="4" w:space="0" w:color="2E5FA3"/>
            </w:tcBorders>
            <w:shd w:val="clear" w:color="auto" w:fill="2E5FA3"/>
            <w:tcMar>
              <w:top w:w="100" w:type="dxa"/>
              <w:left w:w="160" w:type="dxa"/>
              <w:bottom w:w="100" w:type="dxa"/>
              <w:right w:w="160" w:type="dxa"/>
            </w:tcMar>
          </w:tcPr>
          <w:p w14:paraId="42C022E1" w14:textId="77777777" w:rsidR="006E6CE9" w:rsidRDefault="00000000">
            <w:r>
              <w:rPr>
                <w:b/>
                <w:bCs/>
                <w:color w:val="FFFFFF"/>
                <w:sz w:val="19"/>
                <w:szCs w:val="19"/>
              </w:rPr>
              <w:t>Interpretation</w:t>
            </w:r>
          </w:p>
        </w:tc>
      </w:tr>
      <w:tr w:rsidR="006E6CE9" w14:paraId="4D8FA56C"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02469870" w14:textId="77777777" w:rsidR="006E6CE9" w:rsidRDefault="00000000">
            <w:r>
              <w:rPr>
                <w:sz w:val="18"/>
                <w:szCs w:val="18"/>
              </w:rPr>
              <w:t>LST – NDVI</w:t>
            </w:r>
          </w:p>
        </w:tc>
        <w:tc>
          <w:tcPr>
            <w:tcW w:w="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6952A40D" w14:textId="77777777" w:rsidR="006E6CE9" w:rsidRDefault="00000000">
            <w:r>
              <w:rPr>
                <w:sz w:val="18"/>
                <w:szCs w:val="18"/>
              </w:rPr>
              <w:t>−0.816</w:t>
            </w:r>
          </w:p>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226C7CBD" w14:textId="77777777" w:rsidR="006E6CE9" w:rsidRDefault="00000000">
            <w:r>
              <w:rPr>
                <w:sz w:val="18"/>
                <w:szCs w:val="18"/>
              </w:rPr>
              <w:t>&lt;0.001</w:t>
            </w:r>
          </w:p>
        </w:tc>
        <w:tc>
          <w:tcPr>
            <w:tcW w:w="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36FA2C5D" w14:textId="77777777" w:rsidR="006E6CE9" w:rsidRDefault="00000000">
            <w:r>
              <w:rPr>
                <w:sz w:val="18"/>
                <w:szCs w:val="18"/>
              </w:rPr>
              <w:t>63</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3684AD20" w14:textId="77777777" w:rsidR="006E6CE9" w:rsidRDefault="00000000">
            <w:r>
              <w:rPr>
                <w:b/>
                <w:bCs/>
                <w:sz w:val="18"/>
                <w:szCs w:val="18"/>
              </w:rPr>
              <w:t>✅ Yes (p&lt;0.001)</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1AF26717" w14:textId="77777777" w:rsidR="006E6CE9" w:rsidRDefault="00000000">
            <w:r>
              <w:rPr>
                <w:b/>
                <w:bCs/>
                <w:sz w:val="18"/>
                <w:szCs w:val="18"/>
              </w:rPr>
              <w:t>✅ Yes</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60699540" w14:textId="77777777" w:rsidR="006E6CE9" w:rsidRDefault="00000000">
            <w:r>
              <w:rPr>
                <w:sz w:val="18"/>
                <w:szCs w:val="18"/>
              </w:rPr>
              <w:t>Strongest relationship in the dataset. More vegetation = substantially cooler sectors. Anchor finding of the environmental analysis.</w:t>
            </w:r>
          </w:p>
        </w:tc>
      </w:tr>
      <w:tr w:rsidR="006E6CE9" w14:paraId="7937A4BA"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AC9ECAA" w14:textId="77777777" w:rsidR="006E6CE9" w:rsidRDefault="00000000">
            <w:r>
              <w:rPr>
                <w:sz w:val="18"/>
                <w:szCs w:val="18"/>
              </w:rPr>
              <w:t>LST – NDBI</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F88F3B9" w14:textId="77777777" w:rsidR="006E6CE9" w:rsidRDefault="00000000">
            <w:r>
              <w:rPr>
                <w:sz w:val="18"/>
                <w:szCs w:val="18"/>
              </w:rPr>
              <w:t>−0.601</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3FAE25D" w14:textId="77777777" w:rsidR="006E6CE9" w:rsidRDefault="00000000">
            <w:r>
              <w:rPr>
                <w:sz w:val="18"/>
                <w:szCs w:val="18"/>
              </w:rPr>
              <w:t>&lt;0.001</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ACAE1AD" w14:textId="77777777" w:rsidR="006E6CE9" w:rsidRDefault="00000000">
            <w:r>
              <w:rPr>
                <w:sz w:val="18"/>
                <w:szCs w:val="18"/>
              </w:rPr>
              <w:t>63</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4408629" w14:textId="77777777" w:rsidR="006E6CE9" w:rsidRDefault="00000000">
            <w:r>
              <w:rPr>
                <w:b/>
                <w:bCs/>
                <w:sz w:val="18"/>
                <w:szCs w:val="18"/>
              </w:rPr>
              <w:t>✅ Yes (p&lt;0.001)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A67A458" w14:textId="77777777" w:rsidR="006E6CE9" w:rsidRDefault="00000000">
            <w:r>
              <w:rPr>
                <w:b/>
                <w:bCs/>
                <w:sz w:val="18"/>
                <w:szCs w:val="18"/>
              </w:rPr>
              <w:t>❌ Reversed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5188874" w14:textId="77777777" w:rsidR="006E6CE9" w:rsidRDefault="00000000">
            <w:r>
              <w:rPr>
                <w:sz w:val="18"/>
                <w:szCs w:val="18"/>
              </w:rPr>
              <w:t>Significant but direction opposite to expectation. In Chandigarh, higher NDBI co-occurs with vegetated sectors. See Section 1.4 for explanation.</w:t>
            </w:r>
          </w:p>
        </w:tc>
      </w:tr>
      <w:tr w:rsidR="006E6CE9" w14:paraId="774B8720"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66B7648F" w14:textId="77777777" w:rsidR="006E6CE9" w:rsidRDefault="00000000">
            <w:r>
              <w:rPr>
                <w:sz w:val="18"/>
                <w:szCs w:val="18"/>
              </w:rPr>
              <w:t>LST – TCI</w:t>
            </w:r>
          </w:p>
        </w:tc>
        <w:tc>
          <w:tcPr>
            <w:tcW w:w="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2499BEDB" w14:textId="77777777" w:rsidR="006E6CE9" w:rsidRDefault="00000000">
            <w:r>
              <w:rPr>
                <w:sz w:val="18"/>
                <w:szCs w:val="18"/>
              </w:rPr>
              <w:t>+0.340</w:t>
            </w:r>
          </w:p>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393BA988" w14:textId="77777777" w:rsidR="006E6CE9" w:rsidRDefault="00000000">
            <w:r>
              <w:rPr>
                <w:sz w:val="18"/>
                <w:szCs w:val="18"/>
              </w:rPr>
              <w:t>0.006</w:t>
            </w:r>
          </w:p>
        </w:tc>
        <w:tc>
          <w:tcPr>
            <w:tcW w:w="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40E3954E" w14:textId="77777777" w:rsidR="006E6CE9" w:rsidRDefault="00000000">
            <w:r>
              <w:rPr>
                <w:sz w:val="18"/>
                <w:szCs w:val="18"/>
              </w:rPr>
              <w:t>63</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75E3B570" w14:textId="77777777" w:rsidR="006E6CE9" w:rsidRDefault="00000000">
            <w:r>
              <w:rPr>
                <w:b/>
                <w:bCs/>
                <w:sz w:val="18"/>
                <w:szCs w:val="18"/>
              </w:rPr>
              <w:t>✅ Yes (p&lt;0.01)</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3BB47D4D" w14:textId="77777777" w:rsidR="006E6CE9" w:rsidRDefault="00000000">
            <w:r>
              <w:rPr>
                <w:b/>
                <w:bCs/>
                <w:sz w:val="18"/>
                <w:szCs w:val="18"/>
              </w:rPr>
              <w:t>✅ Yes</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1637D74E" w14:textId="77777777" w:rsidR="006E6CE9" w:rsidRDefault="00000000">
            <w:r>
              <w:rPr>
                <w:sz w:val="18"/>
                <w:szCs w:val="18"/>
              </w:rPr>
              <w:t>Moderate positive relationship. More congested sectors are warmer. Traffic is a real driver but secondary to vegetation.</w:t>
            </w:r>
          </w:p>
        </w:tc>
      </w:tr>
      <w:tr w:rsidR="006E6CE9" w14:paraId="793168F2"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78BD4E2" w14:textId="77777777" w:rsidR="006E6CE9" w:rsidRDefault="00000000">
            <w:r>
              <w:rPr>
                <w:sz w:val="18"/>
                <w:szCs w:val="18"/>
              </w:rPr>
              <w:t>LST – GHI</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A729820" w14:textId="77777777" w:rsidR="006E6CE9" w:rsidRDefault="00000000">
            <w:r>
              <w:rPr>
                <w:sz w:val="18"/>
                <w:szCs w:val="18"/>
              </w:rPr>
              <w:t>−0.316</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942DC0A" w14:textId="77777777" w:rsidR="006E6CE9" w:rsidRDefault="00000000">
            <w:r>
              <w:rPr>
                <w:sz w:val="18"/>
                <w:szCs w:val="18"/>
              </w:rPr>
              <w:t>0.132</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500525B" w14:textId="77777777" w:rsidR="006E6CE9" w:rsidRDefault="00000000">
            <w:r>
              <w:rPr>
                <w:sz w:val="18"/>
                <w:szCs w:val="18"/>
              </w:rPr>
              <w:t>24</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8646E63" w14:textId="77777777" w:rsidR="006E6CE9" w:rsidRDefault="00000000">
            <w:r>
              <w:rPr>
                <w:b/>
                <w:bCs/>
                <w:sz w:val="18"/>
                <w:szCs w:val="18"/>
              </w:rPr>
              <w:t>— No (p=0.13)</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FEB9313" w14:textId="77777777" w:rsidR="006E6CE9" w:rsidRDefault="00000000">
            <w:r>
              <w:rPr>
                <w:b/>
                <w:bCs/>
                <w:sz w:val="18"/>
                <w:szCs w:val="18"/>
              </w:rPr>
              <w:t>✅ Yes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B7601D6" w14:textId="77777777" w:rsidR="006E6CE9" w:rsidRDefault="00000000">
            <w:r>
              <w:rPr>
                <w:sz w:val="18"/>
                <w:szCs w:val="18"/>
              </w:rPr>
              <w:t>Correct direction — lower-grade housing sectors are hotter — but not significant because n=24 is small. Report honestly: relationship observed but underpowered.</w:t>
            </w:r>
          </w:p>
        </w:tc>
      </w:tr>
      <w:tr w:rsidR="006E6CE9" w14:paraId="6BD39735"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77941601" w14:textId="77777777" w:rsidR="006E6CE9" w:rsidRDefault="00000000">
            <w:r>
              <w:rPr>
                <w:sz w:val="18"/>
                <w:szCs w:val="18"/>
              </w:rPr>
              <w:t>LST – Population</w:t>
            </w:r>
          </w:p>
        </w:tc>
        <w:tc>
          <w:tcPr>
            <w:tcW w:w="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071D1B94" w14:textId="77777777" w:rsidR="006E6CE9" w:rsidRDefault="00000000">
            <w:r>
              <w:rPr>
                <w:sz w:val="18"/>
                <w:szCs w:val="18"/>
              </w:rPr>
              <w:t>+0.120</w:t>
            </w:r>
          </w:p>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02B7AFF2" w14:textId="77777777" w:rsidR="006E6CE9" w:rsidRDefault="00000000">
            <w:r>
              <w:rPr>
                <w:sz w:val="18"/>
                <w:szCs w:val="18"/>
              </w:rPr>
              <w:t>0.349</w:t>
            </w:r>
          </w:p>
        </w:tc>
        <w:tc>
          <w:tcPr>
            <w:tcW w:w="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5BE58CB6" w14:textId="77777777" w:rsidR="006E6CE9" w:rsidRDefault="00000000">
            <w:r>
              <w:rPr>
                <w:sz w:val="18"/>
                <w:szCs w:val="18"/>
              </w:rPr>
              <w:t>63</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10540BFF" w14:textId="77777777" w:rsidR="006E6CE9" w:rsidRDefault="00000000">
            <w:r>
              <w:rPr>
                <w:b/>
                <w:bCs/>
                <w:sz w:val="18"/>
                <w:szCs w:val="18"/>
              </w:rPr>
              <w:t>— No (p=0.35)</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035CF302" w14:textId="77777777" w:rsidR="006E6CE9" w:rsidRDefault="00000000">
            <w:r>
              <w:rPr>
                <w:b/>
                <w:bCs/>
                <w:sz w:val="18"/>
                <w:szCs w:val="18"/>
              </w:rPr>
              <w:t>✅ Yes</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1FE33E23" w14:textId="77777777" w:rsidR="006E6CE9" w:rsidRDefault="00000000">
            <w:r>
              <w:rPr>
                <w:sz w:val="18"/>
                <w:szCs w:val="18"/>
              </w:rPr>
              <w:t>Expected positive direction but weak and non-significant. Population count alone is not a meaningful LST predictor once NDVI is accounted for.</w:t>
            </w:r>
          </w:p>
        </w:tc>
      </w:tr>
      <w:tr w:rsidR="006E6CE9" w14:paraId="49B7538B"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F5CCBEF" w14:textId="77777777" w:rsidR="006E6CE9" w:rsidRDefault="00000000">
            <w:r>
              <w:rPr>
                <w:sz w:val="18"/>
                <w:szCs w:val="18"/>
              </w:rPr>
              <w:t>LST – SC%</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6085715" w14:textId="77777777" w:rsidR="006E6CE9" w:rsidRDefault="00000000">
            <w:r>
              <w:rPr>
                <w:sz w:val="18"/>
                <w:szCs w:val="18"/>
              </w:rPr>
              <w:t>+0.207</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9019080" w14:textId="77777777" w:rsidR="006E6CE9" w:rsidRDefault="00000000">
            <w:r>
              <w:rPr>
                <w:sz w:val="18"/>
                <w:szCs w:val="18"/>
              </w:rPr>
              <w:t>0.103</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C117078" w14:textId="77777777" w:rsidR="006E6CE9" w:rsidRDefault="00000000">
            <w:r>
              <w:rPr>
                <w:sz w:val="18"/>
                <w:szCs w:val="18"/>
              </w:rPr>
              <w:t>63</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41469A3" w14:textId="77777777" w:rsidR="006E6CE9" w:rsidRDefault="00000000">
            <w:r>
              <w:rPr>
                <w:b/>
                <w:bCs/>
                <w:sz w:val="18"/>
                <w:szCs w:val="18"/>
              </w:rPr>
              <w:t>— No (p=0.10)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E2554FB" w14:textId="77777777" w:rsidR="006E6CE9" w:rsidRDefault="00000000">
            <w:r>
              <w:rPr>
                <w:b/>
                <w:bCs/>
                <w:sz w:val="18"/>
                <w:szCs w:val="18"/>
              </w:rPr>
              <w:t>✅ Yes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939CE97" w14:textId="77777777" w:rsidR="006E6CE9" w:rsidRDefault="00000000">
            <w:r>
              <w:rPr>
                <w:sz w:val="18"/>
                <w:szCs w:val="18"/>
              </w:rPr>
              <w:t>Expected positive direction (poorer sectors hotter) but non-significant. The 2011 Census age of the SC% data may partly explain this.</w:t>
            </w:r>
          </w:p>
        </w:tc>
      </w:tr>
      <w:tr w:rsidR="006E6CE9" w14:paraId="3016D0B0"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190CC96D" w14:textId="77777777" w:rsidR="006E6CE9" w:rsidRDefault="00000000">
            <w:r>
              <w:rPr>
                <w:sz w:val="18"/>
                <w:szCs w:val="18"/>
              </w:rPr>
              <w:t>NDVI – TCI</w:t>
            </w:r>
          </w:p>
        </w:tc>
        <w:tc>
          <w:tcPr>
            <w:tcW w:w="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1A980A7B" w14:textId="77777777" w:rsidR="006E6CE9" w:rsidRDefault="00000000">
            <w:r>
              <w:rPr>
                <w:sz w:val="18"/>
                <w:szCs w:val="18"/>
              </w:rPr>
              <w:t>−0.306</w:t>
            </w:r>
          </w:p>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55D6C6C8" w14:textId="77777777" w:rsidR="006E6CE9" w:rsidRDefault="00000000">
            <w:r>
              <w:rPr>
                <w:sz w:val="18"/>
                <w:szCs w:val="18"/>
              </w:rPr>
              <w:t>0.015</w:t>
            </w:r>
          </w:p>
        </w:tc>
        <w:tc>
          <w:tcPr>
            <w:tcW w:w="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2B94C60B" w14:textId="77777777" w:rsidR="006E6CE9" w:rsidRDefault="00000000">
            <w:r>
              <w:rPr>
                <w:sz w:val="18"/>
                <w:szCs w:val="18"/>
              </w:rPr>
              <w:t>63</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057E503E" w14:textId="77777777" w:rsidR="006E6CE9" w:rsidRDefault="00000000">
            <w:r>
              <w:rPr>
                <w:b/>
                <w:bCs/>
                <w:sz w:val="18"/>
                <w:szCs w:val="18"/>
              </w:rPr>
              <w:t>✅ Yes (p&lt;0.05)</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59D90F7F" w14:textId="77777777" w:rsidR="006E6CE9" w:rsidRDefault="00000000">
            <w:r>
              <w:rPr>
                <w:b/>
                <w:bCs/>
                <w:sz w:val="18"/>
                <w:szCs w:val="18"/>
              </w:rPr>
              <w:t>—</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77346515" w14:textId="77777777" w:rsidR="006E6CE9" w:rsidRDefault="00000000">
            <w:r>
              <w:rPr>
                <w:sz w:val="18"/>
                <w:szCs w:val="18"/>
              </w:rPr>
              <w:t>More congested sectors have less green cover — congestion and vegetation are spatially opposed in Chandigarh's sector structure.</w:t>
            </w:r>
          </w:p>
        </w:tc>
      </w:tr>
      <w:tr w:rsidR="006E6CE9" w14:paraId="6A06A9E1"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650C5BA" w14:textId="77777777" w:rsidR="006E6CE9" w:rsidRDefault="00000000">
            <w:r>
              <w:rPr>
                <w:sz w:val="18"/>
                <w:szCs w:val="18"/>
              </w:rPr>
              <w:t>TCI – Population</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3BE6FF4" w14:textId="77777777" w:rsidR="006E6CE9" w:rsidRDefault="00000000">
            <w:r>
              <w:rPr>
                <w:sz w:val="18"/>
                <w:szCs w:val="18"/>
              </w:rPr>
              <w:t>+0.475</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BD98F07" w14:textId="77777777" w:rsidR="006E6CE9" w:rsidRDefault="00000000">
            <w:r>
              <w:rPr>
                <w:sz w:val="18"/>
                <w:szCs w:val="18"/>
              </w:rPr>
              <w:t>0.001</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450B98A" w14:textId="77777777" w:rsidR="006E6CE9" w:rsidRDefault="00000000">
            <w:r>
              <w:rPr>
                <w:sz w:val="18"/>
                <w:szCs w:val="18"/>
              </w:rPr>
              <w:t>63</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7EAAD3D" w14:textId="77777777" w:rsidR="006E6CE9" w:rsidRDefault="00000000">
            <w:r>
              <w:rPr>
                <w:b/>
                <w:bCs/>
                <w:sz w:val="18"/>
                <w:szCs w:val="18"/>
              </w:rPr>
              <w:t>✅ Yes (p&lt;0.01)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104C94A" w14:textId="77777777" w:rsidR="006E6CE9" w:rsidRDefault="00000000">
            <w:r>
              <w:rPr>
                <w:b/>
                <w:bCs/>
                <w:sz w:val="18"/>
                <w:szCs w:val="18"/>
              </w:rPr>
              <w: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FAAE456" w14:textId="77777777" w:rsidR="006E6CE9" w:rsidRDefault="00000000">
            <w:r>
              <w:rPr>
                <w:sz w:val="18"/>
                <w:szCs w:val="18"/>
              </w:rPr>
              <w:t>Denser sectors have more traffic. Strongest socio-economic cross-correlation in the matrix.</w:t>
            </w:r>
          </w:p>
        </w:tc>
      </w:tr>
      <w:tr w:rsidR="006E6CE9" w14:paraId="21FFD9B7"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1CB0197F" w14:textId="77777777" w:rsidR="006E6CE9" w:rsidRDefault="00000000">
            <w:r>
              <w:rPr>
                <w:sz w:val="18"/>
                <w:szCs w:val="18"/>
              </w:rPr>
              <w:t>TCI – GHI</w:t>
            </w:r>
          </w:p>
        </w:tc>
        <w:tc>
          <w:tcPr>
            <w:tcW w:w="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2ACEE12C" w14:textId="77777777" w:rsidR="006E6CE9" w:rsidRDefault="00000000">
            <w:r>
              <w:rPr>
                <w:sz w:val="18"/>
                <w:szCs w:val="18"/>
              </w:rPr>
              <w:t>−0.408</w:t>
            </w:r>
          </w:p>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5DA12C20" w14:textId="77777777" w:rsidR="006E6CE9" w:rsidRDefault="00000000">
            <w:r>
              <w:rPr>
                <w:sz w:val="18"/>
                <w:szCs w:val="18"/>
              </w:rPr>
              <w:t>0.048</w:t>
            </w:r>
          </w:p>
        </w:tc>
        <w:tc>
          <w:tcPr>
            <w:tcW w:w="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0B26AAFC" w14:textId="77777777" w:rsidR="006E6CE9" w:rsidRDefault="00000000">
            <w:r>
              <w:rPr>
                <w:sz w:val="18"/>
                <w:szCs w:val="18"/>
              </w:rPr>
              <w:t>24</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657A337A" w14:textId="77777777" w:rsidR="006E6CE9" w:rsidRDefault="00000000">
            <w:r>
              <w:rPr>
                <w:b/>
                <w:bCs/>
                <w:sz w:val="18"/>
                <w:szCs w:val="18"/>
              </w:rPr>
              <w:t>✅ Yes (p&lt;0.05)</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1C15B66D" w14:textId="77777777" w:rsidR="006E6CE9" w:rsidRDefault="00000000">
            <w:r>
              <w:rPr>
                <w:b/>
                <w:bCs/>
                <w:sz w:val="18"/>
                <w:szCs w:val="18"/>
              </w:rPr>
              <w:t>—</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080424AE" w14:textId="77777777" w:rsidR="006E6CE9" w:rsidRDefault="00000000">
            <w:r>
              <w:rPr>
                <w:sz w:val="18"/>
                <w:szCs w:val="18"/>
              </w:rPr>
              <w:t>Government housing sectors tend to have less traffic — they are predominantly residential with lower vehicle ownership.</w:t>
            </w:r>
          </w:p>
        </w:tc>
      </w:tr>
    </w:tbl>
    <w:p w14:paraId="6F50054A" w14:textId="77777777" w:rsidR="006E6CE9" w:rsidRDefault="006E6CE9">
      <w:pPr>
        <w:spacing w:before="60"/>
      </w:pPr>
    </w:p>
    <w:p w14:paraId="6BE7D07B" w14:textId="77777777" w:rsidR="006E6CE9" w:rsidRDefault="00000000">
      <w:pPr>
        <w:spacing w:before="200" w:after="80"/>
      </w:pPr>
      <w:r>
        <w:rPr>
          <w:b/>
          <w:bCs/>
          <w:color w:val="1F3864"/>
          <w:sz w:val="24"/>
          <w:szCs w:val="24"/>
        </w:rPr>
        <w:t>1.4  The NDBI reversal — why it happened and what it means</w:t>
      </w:r>
    </w:p>
    <w:p w14:paraId="3735EE67" w14:textId="77777777" w:rsidR="006E6CE9" w:rsidRDefault="006E6CE9">
      <w:pPr>
        <w:spacing w:before="60"/>
      </w:pPr>
    </w:p>
    <w:p w14:paraId="2B07B8AA" w14:textId="77777777" w:rsidR="006E6CE9" w:rsidRDefault="00000000">
      <w:pPr>
        <w:spacing w:before="60" w:after="60"/>
        <w:jc w:val="both"/>
      </w:pPr>
      <w:r>
        <w:t>The hypothesis was that sectors with more built-up surface (higher NDBI) would be hotter. The result shows the opposite: ρ = −0.601. This is one of the most analytically interesting findings and it deserves a dedicated paragraph in the paper's Discussion section.</w:t>
      </w:r>
    </w:p>
    <w:p w14:paraId="62442407" w14:textId="77777777" w:rsidR="006E6CE9" w:rsidRDefault="006E6CE9">
      <w:pPr>
        <w:spacing w:before="60"/>
      </w:pPr>
    </w:p>
    <w:p w14:paraId="6B270B50" w14:textId="77777777" w:rsidR="006E6CE9" w:rsidRDefault="00000000">
      <w:pPr>
        <w:spacing w:before="60" w:after="60"/>
        <w:jc w:val="both"/>
      </w:pPr>
      <w:r>
        <w:t>The explanation lies in how NDBI is constructed. NDBI = (SWIR − NIR) / (SWIR + NIR). In theory, impervious surfaces like concrete and asphalt have high SWIR reflectance and produce positive NDBI values. However, Chandigarh's GEE April–June composites capture both built-up surfaces and the surrounding vegetation and open soil within each sector polygon. The correlation between NDVI and NDBI in your data is +0.618 — meaning the same sectors that score high on NDVI also score relatively high on NDBI.</w:t>
      </w:r>
    </w:p>
    <w:p w14:paraId="53E9F60B" w14:textId="77777777" w:rsidR="006E6CE9" w:rsidRDefault="006E6CE9">
      <w:pPr>
        <w:spacing w:before="60"/>
      </w:pPr>
    </w:p>
    <w:p w14:paraId="5190F91C" w14:textId="77777777" w:rsidR="006E6CE9" w:rsidRDefault="00000000">
      <w:pPr>
        <w:spacing w:before="60" w:after="60"/>
        <w:jc w:val="both"/>
      </w:pPr>
      <w:r>
        <w:t>The most likely physical explanation is this: the coolest sectors (Capitol Complex, Sectors 3–9) have large open green spaces that include exposed soil and sandy ground between tree canopies. These surfaces have high SWIR reflectance and raise NDBI despite not being built-up. Meanwhile, the hottest outer sectors are densely built residential areas with sealed surfaces and little vegetation — their NDBI is lower than expected because sealed surfaces in Chandigarh's climate absorb more radiation than they reflect in the SWIR band during summer.</w:t>
      </w:r>
    </w:p>
    <w:p w14:paraId="41B17D57" w14:textId="77777777" w:rsidR="006E6CE9" w:rsidRDefault="006E6CE9">
      <w:pPr>
        <w:spacing w:before="60"/>
      </w:pPr>
    </w:p>
    <w:tbl>
      <w:tblPr>
        <w:tblW w:w="9200" w:type="dxa"/>
        <w:tblBorders>
          <w:top w:val="single" w:sz="4" w:space="0" w:color="C55A11"/>
          <w:left w:val="single" w:sz="4" w:space="0" w:color="C55A11"/>
          <w:bottom w:val="single" w:sz="4" w:space="0" w:color="C55A11"/>
          <w:right w:val="single" w:sz="4" w:space="0" w:color="C55A1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6E6CE9" w14:paraId="2B34CA97" w14:textId="77777777">
        <w:tc>
          <w:tcPr>
            <w:tcW w:w="0" w:type="auto"/>
            <w:tcBorders>
              <w:top w:val="single" w:sz="4" w:space="0" w:color="C55A11"/>
              <w:left w:val="single" w:sz="4" w:space="0" w:color="C55A11"/>
              <w:bottom w:val="single" w:sz="4" w:space="0" w:color="C55A11"/>
              <w:right w:val="single" w:sz="4" w:space="0" w:color="C55A11"/>
            </w:tcBorders>
            <w:shd w:val="clear" w:color="auto" w:fill="C55A11"/>
            <w:tcMar>
              <w:top w:w="100" w:type="dxa"/>
              <w:left w:w="160" w:type="dxa"/>
              <w:bottom w:w="100" w:type="dxa"/>
              <w:right w:w="160" w:type="dxa"/>
            </w:tcMar>
          </w:tcPr>
          <w:p w14:paraId="51224819" w14:textId="77777777" w:rsidR="006E6CE9" w:rsidRDefault="00000000">
            <w:r>
              <w:rPr>
                <w:b/>
                <w:bCs/>
                <w:color w:val="FFFFFF"/>
              </w:rPr>
              <w:t>📝  For the paper</w:t>
            </w:r>
          </w:p>
        </w:tc>
      </w:tr>
      <w:tr w:rsidR="006E6CE9" w14:paraId="523D9E11" w14:textId="77777777">
        <w:tc>
          <w:tcPr>
            <w:tcW w:w="9200" w:type="dxa"/>
            <w:tcBorders>
              <w:top w:val="single" w:sz="4" w:space="0" w:color="C55A11"/>
              <w:left w:val="single" w:sz="4" w:space="0" w:color="C55A11"/>
              <w:bottom w:val="single" w:sz="4" w:space="0" w:color="C55A11"/>
              <w:right w:val="single" w:sz="4" w:space="0" w:color="C55A11"/>
            </w:tcBorders>
            <w:shd w:val="clear" w:color="auto" w:fill="FCE4D6"/>
            <w:tcMar>
              <w:top w:w="100" w:type="dxa"/>
              <w:left w:w="160" w:type="dxa"/>
              <w:bottom w:w="100" w:type="dxa"/>
              <w:right w:w="160" w:type="dxa"/>
            </w:tcMar>
          </w:tcPr>
          <w:p w14:paraId="234CBEBA" w14:textId="77777777" w:rsidR="006E6CE9" w:rsidRDefault="00000000">
            <w:pPr>
              <w:spacing w:before="30" w:after="30"/>
              <w:jc w:val="both"/>
            </w:pPr>
            <w:r>
              <w:rPr>
                <w:sz w:val="19"/>
                <w:szCs w:val="19"/>
              </w:rPr>
              <w:t>Report: 'Contrary to expectations, NDBI exhibited a negative relationship with LST (ρ=−0.601, p&lt;0.001). This reversal is consistent with findings in mixed-cover Indian urban contexts, where exposed soil and semi-arid scrubland within sector boundaries elevate NDBI independently of built-up intensity. NDBI is therefore not a reliable proxy for thermal loading in Chandigarh's planned sector structure and should be interpreted with caution.'</w:t>
            </w:r>
          </w:p>
        </w:tc>
      </w:tr>
    </w:tbl>
    <w:p w14:paraId="20E5CA5E" w14:textId="77777777" w:rsidR="006E6CE9" w:rsidRDefault="006E6CE9">
      <w:pPr>
        <w:spacing w:before="60"/>
      </w:pPr>
    </w:p>
    <w:p w14:paraId="2A9149F9" w14:textId="77777777" w:rsidR="006E6CE9" w:rsidRDefault="00000000">
      <w:pPr>
        <w:spacing w:before="200" w:after="80"/>
      </w:pPr>
      <w:r>
        <w:rPr>
          <w:b/>
          <w:bCs/>
          <w:color w:val="1F3864"/>
          <w:sz w:val="24"/>
          <w:szCs w:val="24"/>
        </w:rPr>
        <w:t>1.5  What the matrix tells you about the paper's argument</w:t>
      </w:r>
    </w:p>
    <w:p w14:paraId="22CF966C" w14:textId="77777777" w:rsidR="006E6CE9" w:rsidRDefault="006E6CE9">
      <w:pPr>
        <w:spacing w:before="60"/>
      </w:pPr>
    </w:p>
    <w:p w14:paraId="10CA7338" w14:textId="77777777" w:rsidR="006E6CE9" w:rsidRDefault="00000000">
      <w:pPr>
        <w:spacing w:before="60" w:after="60"/>
        <w:jc w:val="both"/>
      </w:pPr>
      <w:r>
        <w:t>The matrix establishes the hierarchy of LST drivers in Chandigarh. NDVI is overwhelmingly dominant (ρ=−0.816). TCI is a real but secondary driver (ρ=+0.340). Socio-economic variables (GHI, Population, SC%) show the expected directions but are not individually significant, suggesting that socio-economic disadvantage in Chandigarh operates through the vegetation mechanism — lower-income sectors have less green cover, and it is the lack of green cover that drives heat, not population density or housing grade independently. This is an important nuance for the Discussion.</w:t>
      </w:r>
    </w:p>
    <w:p w14:paraId="41B2F7D9" w14:textId="77777777" w:rsidR="006E6CE9" w:rsidRDefault="006E6CE9">
      <w:pPr>
        <w:spacing w:before="60"/>
      </w:pPr>
    </w:p>
    <w:p w14:paraId="09DB04C5" w14:textId="77777777" w:rsidR="006E6CE9" w:rsidRDefault="00000000">
      <w:r>
        <w:br/>
      </w:r>
    </w:p>
    <w:p w14:paraId="3252B13D" w14:textId="77777777" w:rsidR="006E6CE9" w:rsidRDefault="00000000">
      <w:pPr>
        <w:pBdr>
          <w:bottom w:val="single" w:sz="8" w:space="2" w:color="1F3864"/>
        </w:pBdr>
        <w:spacing w:before="280" w:after="100"/>
      </w:pPr>
      <w:r>
        <w:rPr>
          <w:b/>
          <w:bCs/>
          <w:color w:val="1F3864"/>
          <w:sz w:val="30"/>
          <w:szCs w:val="30"/>
        </w:rPr>
        <w:t>2. Scatter Plots — Bivariate Relationships</w:t>
      </w:r>
    </w:p>
    <w:p w14:paraId="2966496D" w14:textId="77777777" w:rsidR="006E6CE9" w:rsidRDefault="006E6CE9">
      <w:pPr>
        <w:spacing w:before="60"/>
      </w:pPr>
    </w:p>
    <w:p w14:paraId="541BB363" w14:textId="77777777" w:rsidR="006E6CE9" w:rsidRDefault="00000000">
      <w:pPr>
        <w:spacing w:before="200" w:after="80"/>
      </w:pPr>
      <w:r>
        <w:rPr>
          <w:b/>
          <w:bCs/>
          <w:color w:val="1F3864"/>
          <w:sz w:val="24"/>
          <w:szCs w:val="24"/>
        </w:rPr>
        <w:t>2.1  What they show</w:t>
      </w:r>
    </w:p>
    <w:p w14:paraId="45BDC02B" w14:textId="77777777" w:rsidR="006E6CE9" w:rsidRDefault="006E6CE9">
      <w:pPr>
        <w:spacing w:before="60"/>
      </w:pPr>
    </w:p>
    <w:p w14:paraId="1B821E58" w14:textId="77777777" w:rsidR="006E6CE9" w:rsidRDefault="00000000">
      <w:pPr>
        <w:spacing w:before="60" w:after="60"/>
        <w:jc w:val="both"/>
      </w:pPr>
      <w:r>
        <w:t>Each scatter plot shows one variable on the horizontal axis and LST on the vertical axis. Each dot is one of the 63 urban sectors. The position of the dot tells you both the sector's value on the x-variable and its mean LST. A dashed regression line shows the overall trend — its slope summarises the direction and approximate strength of the relationship.</w:t>
      </w:r>
    </w:p>
    <w:p w14:paraId="69D2DEF2" w14:textId="77777777" w:rsidR="006E6CE9" w:rsidRDefault="006E6CE9">
      <w:pPr>
        <w:spacing w:before="60"/>
      </w:pPr>
    </w:p>
    <w:p w14:paraId="59BFE6F8" w14:textId="77777777" w:rsidR="006E6CE9" w:rsidRDefault="00000000">
      <w:pPr>
        <w:spacing w:before="60" w:after="60"/>
        <w:jc w:val="both"/>
      </w:pPr>
      <w:r>
        <w:t>The scatter plots serve two purposes that the correlation matrix alone cannot. First, they let you see the shape of the relationship — whether it is linear, curved, or driven by a few outliers. Second, they make the individual sectors visible, so you can identify which specific sectors are anomalies and ask why.</w:t>
      </w:r>
    </w:p>
    <w:p w14:paraId="320C9801" w14:textId="77777777" w:rsidR="006E6CE9" w:rsidRDefault="006E6CE9">
      <w:pPr>
        <w:spacing w:before="60"/>
      </w:pPr>
    </w:p>
    <w:p w14:paraId="28302506" w14:textId="77777777" w:rsidR="006E6CE9" w:rsidRDefault="00000000">
      <w:pPr>
        <w:spacing w:before="200" w:after="80"/>
      </w:pPr>
      <w:r>
        <w:rPr>
          <w:b/>
          <w:bCs/>
          <w:color w:val="1F3864"/>
          <w:sz w:val="24"/>
          <w:szCs w:val="24"/>
        </w:rPr>
        <w:lastRenderedPageBreak/>
        <w:t>2.2  Reading each panel</w:t>
      </w:r>
    </w:p>
    <w:p w14:paraId="5A0915AB" w14:textId="77777777" w:rsidR="006E6CE9" w:rsidRDefault="006E6CE9">
      <w:pPr>
        <w:spacing w:before="60"/>
      </w:pPr>
    </w:p>
    <w:p w14:paraId="29912DB2" w14:textId="77777777" w:rsidR="006E6CE9" w:rsidRDefault="00000000">
      <w:pPr>
        <w:pStyle w:val="ListParagraph"/>
        <w:numPr>
          <w:ilvl w:val="0"/>
          <w:numId w:val="2"/>
        </w:numPr>
        <w:spacing w:before="40" w:after="40"/>
      </w:pPr>
      <w:r>
        <w:t>LST vs NDVI (blue, ρ=−0.816***): The clearest pattern in the dataset. Points follow a tight downward slope — the regression line sits close to most dots, confirming the relationship is genuinely linear and not driven by outliers. The two extreme cool sectors (Sectors 5 and 6, Capitol Complex green belt) anchor the bottom-right corner.</w:t>
      </w:r>
    </w:p>
    <w:p w14:paraId="4192C0B5" w14:textId="77777777" w:rsidR="006E6CE9" w:rsidRDefault="00000000">
      <w:pPr>
        <w:pStyle w:val="ListParagraph"/>
        <w:numPr>
          <w:ilvl w:val="0"/>
          <w:numId w:val="2"/>
        </w:numPr>
        <w:spacing w:before="40" w:after="40"/>
      </w:pPr>
      <w:r>
        <w:t>LST vs TCI (red, ρ=+0.340**): More scattered than NDVI, reflecting a moderate relationship. The upward trend is real but several sectors deviate notably — some high-TCI sectors are cooler than expected, and some low-TCI sectors are hotter. This scatter is consistent with TCI being a secondary rather than primary driver of LST.</w:t>
      </w:r>
    </w:p>
    <w:p w14:paraId="35F7BEB0" w14:textId="77777777" w:rsidR="006E6CE9" w:rsidRDefault="00000000">
      <w:pPr>
        <w:pStyle w:val="ListParagraph"/>
        <w:numPr>
          <w:ilvl w:val="0"/>
          <w:numId w:val="2"/>
        </w:numPr>
        <w:spacing w:before="40" w:after="40"/>
      </w:pPr>
      <w:r>
        <w:t>LST vs NDBI (yellow, ρ=−0.601***): The reversed relationship discussed in Section 1.4 is clearly visible — the regression line slopes downward despite the positive theoretical expectation. The scatter is wider than the NDVI panel, reflecting NDBI's lower predictive reliability in this context.</w:t>
      </w:r>
    </w:p>
    <w:p w14:paraId="7C5B4518" w14:textId="77777777" w:rsidR="006E6CE9" w:rsidRDefault="00000000">
      <w:pPr>
        <w:pStyle w:val="ListParagraph"/>
        <w:numPr>
          <w:ilvl w:val="0"/>
          <w:numId w:val="2"/>
        </w:numPr>
        <w:spacing w:before="40" w:after="40"/>
      </w:pPr>
      <w:r>
        <w:t>LST vs GHI (purple, ρ=−0.316 ns): Only 24 dots are plotted (sectors with government housing). A downward trend is visible to the eye but the wide scatter means it does not reach significance. The dot cluster around GHI=1–3 (lowest-grade housing) sits slightly higher on the LST axis on average — the expected pattern is there, just underpowered.</w:t>
      </w:r>
    </w:p>
    <w:p w14:paraId="54769DC8" w14:textId="77777777" w:rsidR="006E6CE9" w:rsidRDefault="00000000">
      <w:pPr>
        <w:pStyle w:val="ListParagraph"/>
        <w:numPr>
          <w:ilvl w:val="0"/>
          <w:numId w:val="2"/>
        </w:numPr>
        <w:spacing w:before="40" w:after="40"/>
      </w:pPr>
      <w:r>
        <w:t>LST vs Population (green, ρ=+0.120 ns): Near-flat regression line, wide scatter in all directions. Population count has essentially no linear relationship with LST across sectors. The most populous sectors (7, 8, 19, 20) are spread across the full LST range, confirming that population alone is not a thermal driver.</w:t>
      </w:r>
    </w:p>
    <w:p w14:paraId="658FE96E" w14:textId="77777777" w:rsidR="006E6CE9" w:rsidRDefault="00000000">
      <w:pPr>
        <w:pStyle w:val="ListParagraph"/>
        <w:numPr>
          <w:ilvl w:val="0"/>
          <w:numId w:val="2"/>
        </w:numPr>
        <w:spacing w:before="40" w:after="40"/>
      </w:pPr>
      <w:r>
        <w:t>LST vs SC% (orange, ρ=+0.207 ns): Slight upward trend visible but very scattered. Sector 25 (SC%=44%) stands out as a high-SC, moderate-LST outlier, which prevents the relationship from becoming stronger. The 2011 Census age of this variable may contribute to the weak signal.</w:t>
      </w:r>
    </w:p>
    <w:p w14:paraId="5CFB10C1" w14:textId="77777777" w:rsidR="006E6CE9" w:rsidRDefault="006E6CE9">
      <w:pPr>
        <w:spacing w:before="60"/>
      </w:pPr>
    </w:p>
    <w:p w14:paraId="26BE9641" w14:textId="77777777" w:rsidR="006E6CE9" w:rsidRDefault="00000000">
      <w:pPr>
        <w:spacing w:before="200" w:after="80"/>
      </w:pPr>
      <w:r>
        <w:rPr>
          <w:b/>
          <w:bCs/>
          <w:color w:val="1F3864"/>
          <w:sz w:val="24"/>
          <w:szCs w:val="24"/>
        </w:rPr>
        <w:t>2.3  What to use the scatter plots for in the paper</w:t>
      </w:r>
    </w:p>
    <w:p w14:paraId="789702CB" w14:textId="77777777" w:rsidR="006E6CE9" w:rsidRDefault="006E6CE9">
      <w:pPr>
        <w:spacing w:before="60"/>
      </w:pPr>
    </w:p>
    <w:p w14:paraId="54531504" w14:textId="77777777" w:rsidR="006E6CE9" w:rsidRDefault="00000000">
      <w:pPr>
        <w:spacing w:before="60" w:after="60"/>
        <w:jc w:val="both"/>
      </w:pPr>
      <w:r>
        <w:t>In the Results section, include the LST–NDVI and LST–TCI panels as the two primary figures — they show the two significant relationships clearly. The NDBI panel should also be included to illustrate and explain the reversal. The GHI panel can be included as a supplementary figure to show the direction is correct despite non-significance. Population and SC% are best reported in the correlation table rather than as separate figures.</w:t>
      </w:r>
    </w:p>
    <w:p w14:paraId="125A0A41" w14:textId="77777777" w:rsidR="006E6CE9" w:rsidRDefault="006E6CE9">
      <w:pPr>
        <w:spacing w:before="60"/>
      </w:pPr>
    </w:p>
    <w:p w14:paraId="23482440" w14:textId="77777777" w:rsidR="006E6CE9" w:rsidRDefault="00000000">
      <w:r>
        <w:br/>
      </w:r>
    </w:p>
    <w:p w14:paraId="21A36D6A" w14:textId="77777777" w:rsidR="006E6CE9" w:rsidRDefault="00000000">
      <w:pPr>
        <w:pBdr>
          <w:bottom w:val="single" w:sz="8" w:space="2" w:color="1F3864"/>
        </w:pBdr>
        <w:spacing w:before="280" w:after="100"/>
      </w:pPr>
      <w:r>
        <w:rPr>
          <w:b/>
          <w:bCs/>
          <w:color w:val="1F3864"/>
          <w:sz w:val="30"/>
          <w:szCs w:val="30"/>
        </w:rPr>
        <w:t>3. Moran's I — Global Spatial Autocorrelation</w:t>
      </w:r>
    </w:p>
    <w:p w14:paraId="15A93DE6" w14:textId="77777777" w:rsidR="006E6CE9" w:rsidRDefault="006E6CE9">
      <w:pPr>
        <w:spacing w:before="60"/>
      </w:pPr>
    </w:p>
    <w:p w14:paraId="18B8517C" w14:textId="77777777" w:rsidR="006E6CE9" w:rsidRDefault="00000000">
      <w:pPr>
        <w:spacing w:before="200" w:after="80"/>
      </w:pPr>
      <w:r>
        <w:rPr>
          <w:b/>
          <w:bCs/>
          <w:color w:val="1F3864"/>
          <w:sz w:val="24"/>
          <w:szCs w:val="24"/>
        </w:rPr>
        <w:t>3.1  What spatial autocorrelation means</w:t>
      </w:r>
    </w:p>
    <w:p w14:paraId="721ACCF9" w14:textId="77777777" w:rsidR="006E6CE9" w:rsidRDefault="006E6CE9">
      <w:pPr>
        <w:spacing w:before="60"/>
      </w:pPr>
    </w:p>
    <w:p w14:paraId="09365EE0" w14:textId="77777777" w:rsidR="006E6CE9" w:rsidRDefault="00000000">
      <w:pPr>
        <w:spacing w:before="60" w:after="60"/>
        <w:jc w:val="both"/>
      </w:pPr>
      <w:r w:rsidRPr="006D59E0">
        <w:rPr>
          <w:b/>
          <w:bCs/>
        </w:rPr>
        <w:t>Spatial autocorrelation asks a simple question: are sectors that are geographically close to each other more similar in their LST than sectors chosen at random? If the answer is yes, the data is spatially autocorrelated — values cluster by location.</w:t>
      </w:r>
      <w:r>
        <w:t xml:space="preserve"> This matters enormously for the analysis because standard statistical methods (Pearson, Spearman, OLS regression) assume that observations are independent of each other. If sectors next to each other share similar LST values because of their proximity, that assumption is violated and the results are misleading.</w:t>
      </w:r>
    </w:p>
    <w:p w14:paraId="05E278F1" w14:textId="77777777" w:rsidR="006E6CE9" w:rsidRDefault="006E6CE9">
      <w:pPr>
        <w:spacing w:before="60"/>
      </w:pPr>
    </w:p>
    <w:p w14:paraId="5C46668D" w14:textId="77777777" w:rsidR="006E6CE9" w:rsidRDefault="00000000">
      <w:pPr>
        <w:spacing w:before="60" w:after="60"/>
        <w:jc w:val="both"/>
      </w:pPr>
      <w:r>
        <w:t>Moran's I is the most widely used test for spatial autocorrelation. It produces a single number I and a p-value from a permutation test (your script used 999 random permutations).</w:t>
      </w:r>
    </w:p>
    <w:p w14:paraId="13D9277C" w14:textId="77777777" w:rsidR="006E6CE9" w:rsidRDefault="006E6CE9">
      <w:pPr>
        <w:spacing w:before="60"/>
      </w:pPr>
    </w:p>
    <w:p w14:paraId="0CCC87FB" w14:textId="77777777" w:rsidR="006E6CE9" w:rsidRDefault="00000000">
      <w:pPr>
        <w:pStyle w:val="ListParagraph"/>
        <w:numPr>
          <w:ilvl w:val="0"/>
          <w:numId w:val="2"/>
        </w:numPr>
        <w:spacing w:before="40" w:after="40"/>
      </w:pPr>
      <w:r>
        <w:t>I &gt; 0: positive spatial autocorrelation — similar values cluster together (hot sectors next to hot sectors, cool next to cool).</w:t>
      </w:r>
    </w:p>
    <w:p w14:paraId="1D896A0C" w14:textId="77777777" w:rsidR="006E6CE9" w:rsidRDefault="00000000">
      <w:pPr>
        <w:pStyle w:val="ListParagraph"/>
        <w:numPr>
          <w:ilvl w:val="0"/>
          <w:numId w:val="2"/>
        </w:numPr>
        <w:spacing w:before="40" w:after="40"/>
      </w:pPr>
      <w:r>
        <w:t>I = 0: no spatial pattern — values are distributed randomly across the city.</w:t>
      </w:r>
    </w:p>
    <w:p w14:paraId="3BB61B3D" w14:textId="77777777" w:rsidR="006E6CE9" w:rsidRDefault="00000000">
      <w:pPr>
        <w:pStyle w:val="ListParagraph"/>
        <w:numPr>
          <w:ilvl w:val="0"/>
          <w:numId w:val="2"/>
        </w:numPr>
        <w:spacing w:before="40" w:after="40"/>
      </w:pPr>
      <w:r>
        <w:t>I &lt; 0: negative spatial autocorrelation — dissimilar values cluster together (hot sectors surrounded by cool sectors).</w:t>
      </w:r>
    </w:p>
    <w:p w14:paraId="543FB492" w14:textId="77777777" w:rsidR="006E6CE9" w:rsidRDefault="006E6CE9">
      <w:pPr>
        <w:spacing w:before="60"/>
      </w:pPr>
    </w:p>
    <w:p w14:paraId="2AFF34D5" w14:textId="77777777" w:rsidR="006E6CE9" w:rsidRDefault="00000000">
      <w:pPr>
        <w:spacing w:before="200" w:after="80"/>
      </w:pPr>
      <w:r>
        <w:rPr>
          <w:b/>
          <w:bCs/>
          <w:color w:val="1F3864"/>
          <w:sz w:val="24"/>
          <w:szCs w:val="24"/>
        </w:rPr>
        <w:t>3.2  Your result</w:t>
      </w:r>
    </w:p>
    <w:p w14:paraId="1B9AA985" w14:textId="77777777" w:rsidR="006E6CE9" w:rsidRDefault="006E6CE9">
      <w:pPr>
        <w:spacing w:before="60"/>
      </w:pPr>
    </w:p>
    <w:tbl>
      <w:tblPr>
        <w:tblW w:w="9200" w:type="dxa"/>
        <w:tblBorders>
          <w:top w:val="single" w:sz="4" w:space="0" w:color="2E5FA3"/>
          <w:left w:val="single" w:sz="4" w:space="0" w:color="2E5FA3"/>
          <w:bottom w:val="single" w:sz="4" w:space="0" w:color="2E5FA3"/>
          <w:right w:val="single" w:sz="4" w:space="0" w:color="2E5FA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6E6CE9" w14:paraId="43136968" w14:textId="77777777">
        <w:tc>
          <w:tcPr>
            <w:tcW w:w="0" w:type="auto"/>
            <w:tcBorders>
              <w:top w:val="single" w:sz="4" w:space="0" w:color="2E5FA3"/>
              <w:left w:val="single" w:sz="4" w:space="0" w:color="2E5FA3"/>
              <w:bottom w:val="single" w:sz="4" w:space="0" w:color="2E5FA3"/>
              <w:right w:val="single" w:sz="4" w:space="0" w:color="2E5FA3"/>
            </w:tcBorders>
            <w:shd w:val="clear" w:color="auto" w:fill="2E5FA3"/>
            <w:tcMar>
              <w:top w:w="100" w:type="dxa"/>
              <w:left w:w="160" w:type="dxa"/>
              <w:bottom w:w="100" w:type="dxa"/>
              <w:right w:w="160" w:type="dxa"/>
            </w:tcMar>
          </w:tcPr>
          <w:p w14:paraId="17661A80" w14:textId="77777777" w:rsidR="006E6CE9" w:rsidRDefault="00000000">
            <w:r>
              <w:rPr>
                <w:b/>
                <w:bCs/>
                <w:color w:val="FFFFFF"/>
              </w:rPr>
              <w:t>Moran's I Result — LST</w:t>
            </w:r>
          </w:p>
        </w:tc>
      </w:tr>
      <w:tr w:rsidR="006E6CE9" w14:paraId="01315AE6" w14:textId="77777777">
        <w:tc>
          <w:tcPr>
            <w:tcW w:w="9200" w:type="dxa"/>
            <w:tcBorders>
              <w:top w:val="single" w:sz="4" w:space="0" w:color="2E5FA3"/>
              <w:left w:val="single" w:sz="4" w:space="0" w:color="2E5FA3"/>
              <w:bottom w:val="single" w:sz="4" w:space="0" w:color="2E5FA3"/>
              <w:right w:val="single" w:sz="4" w:space="0" w:color="2E5FA3"/>
            </w:tcBorders>
            <w:shd w:val="clear" w:color="auto" w:fill="D6E4F7"/>
            <w:tcMar>
              <w:top w:w="100" w:type="dxa"/>
              <w:left w:w="160" w:type="dxa"/>
              <w:bottom w:w="100" w:type="dxa"/>
              <w:right w:w="160" w:type="dxa"/>
            </w:tcMar>
          </w:tcPr>
          <w:p w14:paraId="5ABF8A81" w14:textId="77777777" w:rsidR="006E6CE9" w:rsidRDefault="00000000">
            <w:pPr>
              <w:spacing w:before="30" w:after="30"/>
              <w:jc w:val="both"/>
            </w:pPr>
            <w:r>
              <w:rPr>
                <w:sz w:val="19"/>
                <w:szCs w:val="19"/>
              </w:rPr>
              <w:t>I = 0.4181  |  Expected I = −0.0179  |  z-score = 5.747  |  p-sim = 0.001</w:t>
            </w:r>
          </w:p>
        </w:tc>
      </w:tr>
      <w:tr w:rsidR="006E6CE9" w14:paraId="7DD60F54" w14:textId="77777777">
        <w:tc>
          <w:tcPr>
            <w:tcW w:w="9200" w:type="dxa"/>
            <w:tcBorders>
              <w:top w:val="single" w:sz="4" w:space="0" w:color="2E5FA3"/>
              <w:left w:val="single" w:sz="4" w:space="0" w:color="2E5FA3"/>
              <w:bottom w:val="single" w:sz="4" w:space="0" w:color="2E5FA3"/>
              <w:right w:val="single" w:sz="4" w:space="0" w:color="2E5FA3"/>
            </w:tcBorders>
            <w:shd w:val="clear" w:color="auto" w:fill="D6E4F7"/>
            <w:tcMar>
              <w:top w:w="100" w:type="dxa"/>
              <w:left w:w="160" w:type="dxa"/>
              <w:bottom w:w="100" w:type="dxa"/>
              <w:right w:w="160" w:type="dxa"/>
            </w:tcMar>
          </w:tcPr>
          <w:p w14:paraId="5D78C979" w14:textId="77777777" w:rsidR="006E6CE9" w:rsidRDefault="006E6CE9">
            <w:pPr>
              <w:spacing w:before="30" w:after="30"/>
              <w:jc w:val="both"/>
            </w:pPr>
          </w:p>
        </w:tc>
      </w:tr>
      <w:tr w:rsidR="006E6CE9" w14:paraId="48B9D41F" w14:textId="77777777">
        <w:tc>
          <w:tcPr>
            <w:tcW w:w="9200" w:type="dxa"/>
            <w:tcBorders>
              <w:top w:val="single" w:sz="4" w:space="0" w:color="2E5FA3"/>
              <w:left w:val="single" w:sz="4" w:space="0" w:color="2E5FA3"/>
              <w:bottom w:val="single" w:sz="4" w:space="0" w:color="2E5FA3"/>
              <w:right w:val="single" w:sz="4" w:space="0" w:color="2E5FA3"/>
            </w:tcBorders>
            <w:shd w:val="clear" w:color="auto" w:fill="D6E4F7"/>
            <w:tcMar>
              <w:top w:w="100" w:type="dxa"/>
              <w:left w:w="160" w:type="dxa"/>
              <w:bottom w:w="100" w:type="dxa"/>
              <w:right w:w="160" w:type="dxa"/>
            </w:tcMar>
          </w:tcPr>
          <w:p w14:paraId="18171629" w14:textId="77777777" w:rsidR="006E6CE9" w:rsidRDefault="00000000">
            <w:pPr>
              <w:spacing w:before="30" w:after="30"/>
              <w:jc w:val="both"/>
            </w:pPr>
            <w:r>
              <w:rPr>
                <w:sz w:val="19"/>
                <w:szCs w:val="19"/>
              </w:rPr>
              <w:t>Interpretation: Highly significant positive spatial autocorrelation. The observed I (0.42) is far above the expected value under spatial randomness (−0.02). The z-score of 5.75 means the result is 5.75 standard deviations from the random expectation — an extremely unlikely chance result.</w:t>
            </w:r>
          </w:p>
        </w:tc>
      </w:tr>
      <w:tr w:rsidR="006E6CE9" w14:paraId="02A297BF" w14:textId="77777777">
        <w:tc>
          <w:tcPr>
            <w:tcW w:w="9200" w:type="dxa"/>
            <w:tcBorders>
              <w:top w:val="single" w:sz="4" w:space="0" w:color="2E5FA3"/>
              <w:left w:val="single" w:sz="4" w:space="0" w:color="2E5FA3"/>
              <w:bottom w:val="single" w:sz="4" w:space="0" w:color="2E5FA3"/>
              <w:right w:val="single" w:sz="4" w:space="0" w:color="2E5FA3"/>
            </w:tcBorders>
            <w:shd w:val="clear" w:color="auto" w:fill="D6E4F7"/>
            <w:tcMar>
              <w:top w:w="100" w:type="dxa"/>
              <w:left w:w="160" w:type="dxa"/>
              <w:bottom w:w="100" w:type="dxa"/>
              <w:right w:w="160" w:type="dxa"/>
            </w:tcMar>
          </w:tcPr>
          <w:p w14:paraId="1C0B9011" w14:textId="77777777" w:rsidR="006E6CE9" w:rsidRDefault="006E6CE9">
            <w:pPr>
              <w:spacing w:before="30" w:after="30"/>
              <w:jc w:val="both"/>
            </w:pPr>
          </w:p>
        </w:tc>
      </w:tr>
      <w:tr w:rsidR="006E6CE9" w14:paraId="61D34E30" w14:textId="77777777">
        <w:tc>
          <w:tcPr>
            <w:tcW w:w="9200" w:type="dxa"/>
            <w:tcBorders>
              <w:top w:val="single" w:sz="4" w:space="0" w:color="2E5FA3"/>
              <w:left w:val="single" w:sz="4" w:space="0" w:color="2E5FA3"/>
              <w:bottom w:val="single" w:sz="4" w:space="0" w:color="2E5FA3"/>
              <w:right w:val="single" w:sz="4" w:space="0" w:color="2E5FA3"/>
            </w:tcBorders>
            <w:shd w:val="clear" w:color="auto" w:fill="D6E4F7"/>
            <w:tcMar>
              <w:top w:w="100" w:type="dxa"/>
              <w:left w:w="160" w:type="dxa"/>
              <w:bottom w:w="100" w:type="dxa"/>
              <w:right w:w="160" w:type="dxa"/>
            </w:tcMar>
          </w:tcPr>
          <w:p w14:paraId="32A43D60" w14:textId="77777777" w:rsidR="006E6CE9" w:rsidRDefault="00000000">
            <w:pPr>
              <w:spacing w:before="30" w:after="30"/>
              <w:jc w:val="both"/>
            </w:pPr>
            <w:r>
              <w:rPr>
                <w:sz w:val="19"/>
                <w:szCs w:val="19"/>
              </w:rPr>
              <w:t>In plain language: hot sectors in Chandigarh cluster together, and cool sectors cluster together. This is not random. The thermal pattern of any given sector is substantially shaped by the thermal environment of its neighbours.</w:t>
            </w:r>
          </w:p>
        </w:tc>
      </w:tr>
    </w:tbl>
    <w:p w14:paraId="026B6EC5" w14:textId="77777777" w:rsidR="006E6CE9" w:rsidRDefault="006E6CE9">
      <w:pPr>
        <w:spacing w:before="60"/>
      </w:pPr>
    </w:p>
    <w:p w14:paraId="6E851B2F" w14:textId="77777777" w:rsidR="006E6CE9" w:rsidRPr="00003971" w:rsidRDefault="00000000">
      <w:pPr>
        <w:spacing w:before="60" w:after="60"/>
        <w:jc w:val="both"/>
        <w:rPr>
          <w:b/>
          <w:bCs/>
        </w:rPr>
      </w:pPr>
      <w:r w:rsidRPr="00003971">
        <w:rPr>
          <w:b/>
          <w:bCs/>
        </w:rPr>
        <w:t>Moran's I was also computed for NDVI (I=0.229, p=0.001) and TCI (I=0.386, p=0.001). Both are also significantly spatially autocorrelated, which means vegetation cover and traffic congestion also show geographic clustering.</w:t>
      </w:r>
      <w:r>
        <w:t xml:space="preserve"> This reinforces the spatial interpretation: </w:t>
      </w:r>
      <w:r w:rsidRPr="00003971">
        <w:rPr>
          <w:b/>
          <w:bCs/>
        </w:rPr>
        <w:t>Chandigarh's urban heat is not a sector-by-sector local phenomenon — it is a city-wide spatial pattern driven by the geographic distribution of green cover and road activity.</w:t>
      </w:r>
    </w:p>
    <w:p w14:paraId="0370CCF2" w14:textId="77777777" w:rsidR="006E6CE9" w:rsidRDefault="006E6CE9">
      <w:pPr>
        <w:spacing w:before="60"/>
      </w:pPr>
    </w:p>
    <w:p w14:paraId="1973157E" w14:textId="77777777" w:rsidR="006E6CE9" w:rsidRDefault="00000000">
      <w:pPr>
        <w:spacing w:before="200" w:after="80"/>
      </w:pPr>
      <w:r>
        <w:rPr>
          <w:b/>
          <w:bCs/>
          <w:color w:val="1F3864"/>
          <w:sz w:val="24"/>
          <w:szCs w:val="24"/>
        </w:rPr>
        <w:t>3.3  Why this forces us to use the Spatial Lag Model</w:t>
      </w:r>
    </w:p>
    <w:p w14:paraId="6F0C3160" w14:textId="77777777" w:rsidR="006E6CE9" w:rsidRDefault="006E6CE9">
      <w:pPr>
        <w:spacing w:before="60"/>
      </w:pPr>
    </w:p>
    <w:p w14:paraId="41CF2F54" w14:textId="77777777" w:rsidR="006E6CE9" w:rsidRDefault="00000000">
      <w:pPr>
        <w:spacing w:before="60" w:after="60"/>
        <w:jc w:val="both"/>
      </w:pPr>
      <w:r>
        <w:t xml:space="preserve">Because Moran's I is significant, ordinary least squares (OLS) regression is inappropriate for this dataset. OLS produces estimates that are statistically unreliable when the residuals are spatially autocorrelated — and in a city where </w:t>
      </w:r>
      <w:r w:rsidRPr="00003971">
        <w:rPr>
          <w:b/>
          <w:bCs/>
        </w:rPr>
        <w:t>sectors inherit part of their thermal character from their neighbours</w:t>
      </w:r>
      <w:r>
        <w:t>, they will be. The Spatial Lag Model (SLM) corrects for this by explicitly including the spatial structure as a variable in the regression.</w:t>
      </w:r>
    </w:p>
    <w:p w14:paraId="4457824E" w14:textId="77777777" w:rsidR="006E6CE9" w:rsidRDefault="006E6CE9">
      <w:pPr>
        <w:spacing w:before="60"/>
      </w:pPr>
    </w:p>
    <w:p w14:paraId="6C2ECD8A" w14:textId="77777777" w:rsidR="006E6CE9" w:rsidRDefault="00000000">
      <w:pPr>
        <w:pBdr>
          <w:bottom w:val="single" w:sz="8" w:space="2" w:color="0D6E6E"/>
        </w:pBdr>
        <w:spacing w:before="280" w:after="100"/>
      </w:pPr>
      <w:r>
        <w:rPr>
          <w:b/>
          <w:bCs/>
          <w:color w:val="0D6E6E"/>
          <w:sz w:val="30"/>
          <w:szCs w:val="30"/>
        </w:rPr>
        <w:t>4. Spatial Lag Model — Regression Results</w:t>
      </w:r>
    </w:p>
    <w:p w14:paraId="5A9013DA" w14:textId="77777777" w:rsidR="006E6CE9" w:rsidRDefault="006E6CE9">
      <w:pPr>
        <w:spacing w:before="60"/>
      </w:pPr>
    </w:p>
    <w:p w14:paraId="6456819D" w14:textId="77777777" w:rsidR="006E6CE9" w:rsidRDefault="00000000">
      <w:pPr>
        <w:spacing w:before="200" w:after="80"/>
      </w:pPr>
      <w:r>
        <w:rPr>
          <w:b/>
          <w:bCs/>
          <w:color w:val="0D6E6E"/>
          <w:sz w:val="24"/>
          <w:szCs w:val="24"/>
        </w:rPr>
        <w:t>4.1  What the Spatial Lag Model does differently</w:t>
      </w:r>
    </w:p>
    <w:p w14:paraId="65B741B2" w14:textId="77777777" w:rsidR="006E6CE9" w:rsidRDefault="006E6CE9">
      <w:pPr>
        <w:spacing w:before="60"/>
      </w:pPr>
    </w:p>
    <w:p w14:paraId="42602574" w14:textId="77777777" w:rsidR="006E6CE9" w:rsidRDefault="00000000">
      <w:pPr>
        <w:spacing w:before="60" w:after="60"/>
        <w:jc w:val="both"/>
      </w:pPr>
      <w:r>
        <w:t>The Spatial Lag Model adds one extra term to the standard regression equation: the spatially weighted average LST of each sector's neighbours (written as W_LST or ρ). For sector i, the model equation is:</w:t>
      </w:r>
    </w:p>
    <w:p w14:paraId="7D899A2B" w14:textId="77777777" w:rsidR="006E6CE9" w:rsidRDefault="006E6CE9">
      <w:pPr>
        <w:spacing w:before="60"/>
      </w:pPr>
    </w:p>
    <w:p w14:paraId="22EC6B51" w14:textId="77777777" w:rsidR="006E6CE9" w:rsidRDefault="00000000">
      <w:pPr>
        <w:spacing w:before="60" w:after="60"/>
        <w:jc w:val="center"/>
      </w:pPr>
      <w:r>
        <w:rPr>
          <w:rFonts w:ascii="Courier New" w:eastAsia="Courier New" w:hAnsi="Courier New" w:cs="Courier New"/>
          <w:b/>
          <w:bCs/>
          <w:color w:val="1F3864"/>
        </w:rPr>
        <w:t>LST_i  =  β₀  +  β₁·NDVI_i  +  β₂·TCI_i  +  β₃·Population_i  +  ρ·W_LST_i  +  ε_i</w:t>
      </w:r>
    </w:p>
    <w:p w14:paraId="62DDDA77" w14:textId="77777777" w:rsidR="006E6CE9" w:rsidRDefault="006E6CE9">
      <w:pPr>
        <w:spacing w:before="60"/>
      </w:pPr>
    </w:p>
    <w:p w14:paraId="7412F17A" w14:textId="77777777" w:rsidR="006E6CE9" w:rsidRDefault="00000000">
      <w:pPr>
        <w:spacing w:before="60" w:after="60"/>
        <w:jc w:val="both"/>
      </w:pPr>
      <w:r w:rsidRPr="00D954A6">
        <w:rPr>
          <w:b/>
          <w:bCs/>
        </w:rPr>
        <w:t xml:space="preserve">The term ρ·W_LST_i captures the spatial spillover effect — the degree to which a sector's LST is influenced by the LST of adjacent sectors, </w:t>
      </w:r>
      <w:r>
        <w:t>independent of that sector's own characteristics. If ρ is large and significant, it means that a sector's thermal environment is partly determined by its neighbourhood, not just by what happens within its own boundaries.</w:t>
      </w:r>
    </w:p>
    <w:p w14:paraId="15C6C4E4" w14:textId="77777777" w:rsidR="006E6CE9" w:rsidRDefault="006E6CE9">
      <w:pPr>
        <w:spacing w:before="60"/>
      </w:pPr>
    </w:p>
    <w:p w14:paraId="057C2424" w14:textId="77777777" w:rsidR="006E6CE9" w:rsidRDefault="00000000">
      <w:pPr>
        <w:spacing w:before="200" w:after="80"/>
      </w:pPr>
      <w:r>
        <w:rPr>
          <w:b/>
          <w:bCs/>
          <w:color w:val="0D6E6E"/>
          <w:sz w:val="24"/>
          <w:szCs w:val="24"/>
        </w:rPr>
        <w:t>4.2  Your results</w:t>
      </w:r>
    </w:p>
    <w:p w14:paraId="06832D3B" w14:textId="77777777" w:rsidR="006E6CE9" w:rsidRDefault="006E6CE9">
      <w:pPr>
        <w:spacing w:before="60"/>
      </w:pPr>
    </w:p>
    <w:tbl>
      <w:tblPr>
        <w:tblW w:w="92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100"/>
        <w:gridCol w:w="2100"/>
        <w:gridCol w:w="3200"/>
      </w:tblGrid>
      <w:tr w:rsidR="006E6CE9" w14:paraId="1BA0D6A0" w14:textId="77777777">
        <w:tc>
          <w:tcPr>
            <w:tcW w:w="1800" w:type="dxa"/>
            <w:tcBorders>
              <w:top w:val="single" w:sz="4" w:space="0" w:color="0D6E6E"/>
              <w:left w:val="single" w:sz="4" w:space="0" w:color="0D6E6E"/>
              <w:bottom w:val="single" w:sz="4" w:space="0" w:color="0D6E6E"/>
              <w:right w:val="single" w:sz="4" w:space="0" w:color="0D6E6E"/>
            </w:tcBorders>
            <w:shd w:val="clear" w:color="auto" w:fill="0D6E6E"/>
            <w:tcMar>
              <w:top w:w="100" w:type="dxa"/>
              <w:left w:w="160" w:type="dxa"/>
              <w:bottom w:w="100" w:type="dxa"/>
              <w:right w:w="160" w:type="dxa"/>
            </w:tcMar>
          </w:tcPr>
          <w:p w14:paraId="716AF417" w14:textId="77777777" w:rsidR="006E6CE9" w:rsidRDefault="00000000">
            <w:r>
              <w:rPr>
                <w:b/>
                <w:bCs/>
                <w:color w:val="FFFFFF"/>
                <w:sz w:val="19"/>
                <w:szCs w:val="19"/>
              </w:rPr>
              <w:t>Parameter</w:t>
            </w:r>
          </w:p>
        </w:tc>
        <w:tc>
          <w:tcPr>
            <w:tcW w:w="2100" w:type="dxa"/>
            <w:tcBorders>
              <w:top w:val="single" w:sz="4" w:space="0" w:color="0D6E6E"/>
              <w:left w:val="single" w:sz="4" w:space="0" w:color="0D6E6E"/>
              <w:bottom w:val="single" w:sz="4" w:space="0" w:color="0D6E6E"/>
              <w:right w:val="single" w:sz="4" w:space="0" w:color="0D6E6E"/>
            </w:tcBorders>
            <w:shd w:val="clear" w:color="auto" w:fill="0D6E6E"/>
            <w:tcMar>
              <w:top w:w="100" w:type="dxa"/>
              <w:left w:w="160" w:type="dxa"/>
              <w:bottom w:w="100" w:type="dxa"/>
              <w:right w:w="160" w:type="dxa"/>
            </w:tcMar>
          </w:tcPr>
          <w:p w14:paraId="2F231762" w14:textId="77777777" w:rsidR="006E6CE9" w:rsidRDefault="00000000">
            <w:r>
              <w:rPr>
                <w:b/>
                <w:bCs/>
                <w:color w:val="FFFFFF"/>
                <w:sz w:val="19"/>
                <w:szCs w:val="19"/>
              </w:rPr>
              <w:t>OLS (baseline)</w:t>
            </w:r>
          </w:p>
        </w:tc>
        <w:tc>
          <w:tcPr>
            <w:tcW w:w="2100" w:type="dxa"/>
            <w:tcBorders>
              <w:top w:val="single" w:sz="4" w:space="0" w:color="0D6E6E"/>
              <w:left w:val="single" w:sz="4" w:space="0" w:color="0D6E6E"/>
              <w:bottom w:val="single" w:sz="4" w:space="0" w:color="0D6E6E"/>
              <w:right w:val="single" w:sz="4" w:space="0" w:color="0D6E6E"/>
            </w:tcBorders>
            <w:shd w:val="clear" w:color="auto" w:fill="0D6E6E"/>
            <w:tcMar>
              <w:top w:w="100" w:type="dxa"/>
              <w:left w:w="160" w:type="dxa"/>
              <w:bottom w:w="100" w:type="dxa"/>
              <w:right w:w="160" w:type="dxa"/>
            </w:tcMar>
          </w:tcPr>
          <w:p w14:paraId="7044DC32" w14:textId="77777777" w:rsidR="006E6CE9" w:rsidRDefault="00000000">
            <w:r>
              <w:rPr>
                <w:b/>
                <w:bCs/>
                <w:color w:val="FFFFFF"/>
                <w:sz w:val="19"/>
                <w:szCs w:val="19"/>
              </w:rPr>
              <w:t>Spatial Lag Model</w:t>
            </w:r>
          </w:p>
        </w:tc>
        <w:tc>
          <w:tcPr>
            <w:tcW w:w="3200" w:type="dxa"/>
            <w:tcBorders>
              <w:top w:val="single" w:sz="4" w:space="0" w:color="0D6E6E"/>
              <w:left w:val="single" w:sz="4" w:space="0" w:color="0D6E6E"/>
              <w:bottom w:val="single" w:sz="4" w:space="0" w:color="0D6E6E"/>
              <w:right w:val="single" w:sz="4" w:space="0" w:color="0D6E6E"/>
            </w:tcBorders>
            <w:shd w:val="clear" w:color="auto" w:fill="0D6E6E"/>
            <w:tcMar>
              <w:top w:w="100" w:type="dxa"/>
              <w:left w:w="160" w:type="dxa"/>
              <w:bottom w:w="100" w:type="dxa"/>
              <w:right w:w="160" w:type="dxa"/>
            </w:tcMar>
          </w:tcPr>
          <w:p w14:paraId="1CC062F3" w14:textId="77777777" w:rsidR="006E6CE9" w:rsidRDefault="00000000">
            <w:r>
              <w:rPr>
                <w:b/>
                <w:bCs/>
                <w:color w:val="FFFFFF"/>
                <w:sz w:val="19"/>
                <w:szCs w:val="19"/>
              </w:rPr>
              <w:t>Interpretation</w:t>
            </w:r>
          </w:p>
        </w:tc>
      </w:tr>
      <w:tr w:rsidR="006E6CE9" w14:paraId="62D97C22"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04568382" w14:textId="77777777" w:rsidR="006E6CE9" w:rsidRDefault="00000000">
            <w:r>
              <w:rPr>
                <w:sz w:val="18"/>
                <w:szCs w:val="18"/>
              </w:rPr>
              <w:lastRenderedPageBreak/>
              <w:t>R² / Pseudo-R²</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05FFBB5E" w14:textId="77777777" w:rsidR="006E6CE9" w:rsidRDefault="00000000">
            <w:r>
              <w:rPr>
                <w:sz w:val="18"/>
                <w:szCs w:val="18"/>
              </w:rPr>
              <w:t>0.731</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3EC3ADE9" w14:textId="77777777" w:rsidR="006E6CE9" w:rsidRDefault="00000000">
            <w:r>
              <w:rPr>
                <w:sz w:val="18"/>
                <w:szCs w:val="18"/>
              </w:rPr>
              <w:t>0.789</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73F3964A" w14:textId="77777777" w:rsidR="006E6CE9" w:rsidRDefault="00000000">
            <w:r>
              <w:rPr>
                <w:sz w:val="18"/>
                <w:szCs w:val="18"/>
              </w:rPr>
              <w:t>Adding spatial structure improves model fit by 5.8 percentage points — a meaningful gain.</w:t>
            </w:r>
          </w:p>
        </w:tc>
      </w:tr>
      <w:tr w:rsidR="006E6CE9" w14:paraId="68361A86"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C7C09BB" w14:textId="77777777" w:rsidR="006E6CE9" w:rsidRDefault="00000000">
            <w:r>
              <w:rPr>
                <w:sz w:val="18"/>
                <w:szCs w:val="18"/>
              </w:rPr>
              <w:t>Intercept</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D8E1B8E" w14:textId="77777777" w:rsidR="006E6CE9" w:rsidRDefault="00000000">
            <w:r>
              <w:rPr>
                <w:sz w:val="18"/>
                <w:szCs w:val="18"/>
              </w:rPr>
              <w:t>β=45.87  p&lt;0.001</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FC40182" w14:textId="77777777" w:rsidR="006E6CE9" w:rsidRDefault="00000000">
            <w:r>
              <w:rPr>
                <w:sz w:val="18"/>
                <w:szCs w:val="18"/>
              </w:rPr>
              <w:t>β=28.26  t=5.55</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D7AB9C8" w14:textId="77777777" w:rsidR="006E6CE9" w:rsidRDefault="00000000">
            <w:r>
              <w:rPr>
                <w:sz w:val="18"/>
                <w:szCs w:val="18"/>
              </w:rPr>
              <w:t>Baseline LST when all predictors are zero. Lower in SLM because spatial spillover absorbs some baseline heat.</w:t>
            </w:r>
          </w:p>
        </w:tc>
      </w:tr>
      <w:tr w:rsidR="006E6CE9" w14:paraId="384B632F"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7EA48408" w14:textId="77777777" w:rsidR="006E6CE9" w:rsidRDefault="00000000">
            <w:r>
              <w:rPr>
                <w:sz w:val="18"/>
                <w:szCs w:val="18"/>
              </w:rPr>
              <w:t>NDVI</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086A22B1" w14:textId="77777777" w:rsidR="006E6CE9" w:rsidRDefault="00000000">
            <w:r>
              <w:rPr>
                <w:sz w:val="18"/>
                <w:szCs w:val="18"/>
              </w:rPr>
              <w:t>β=−15.70  p&lt;0.001</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6AC19679" w14:textId="77777777" w:rsidR="006E6CE9" w:rsidRDefault="00000000">
            <w:r>
              <w:rPr>
                <w:sz w:val="18"/>
                <w:szCs w:val="18"/>
              </w:rPr>
              <w:t>β=−13.25  t=−9.51</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1FB68650" w14:textId="77777777" w:rsidR="006E6CE9" w:rsidRDefault="00000000">
            <w:r>
              <w:rPr>
                <w:sz w:val="18"/>
                <w:szCs w:val="18"/>
              </w:rPr>
              <w:t>Each 0.1 unit increase in NDVI reduces LST by ~1.3°C in the SLM. Dominant driver, highly significant in both models.</w:t>
            </w:r>
          </w:p>
        </w:tc>
      </w:tr>
      <w:tr w:rsidR="006E6CE9" w14:paraId="292006F7"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F28DDC9" w14:textId="77777777" w:rsidR="006E6CE9" w:rsidRDefault="00000000">
            <w:r>
              <w:rPr>
                <w:sz w:val="18"/>
                <w:szCs w:val="18"/>
              </w:rPr>
              <w:t>TCI</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DD14E73" w14:textId="77777777" w:rsidR="006E6CE9" w:rsidRDefault="00000000">
            <w:r>
              <w:rPr>
                <w:sz w:val="18"/>
                <w:szCs w:val="18"/>
              </w:rPr>
              <w:t>β=+0.151  p=0.243</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1BB50DF" w14:textId="77777777" w:rsidR="006E6CE9" w:rsidRDefault="00000000">
            <w:r>
              <w:rPr>
                <w:sz w:val="18"/>
                <w:szCs w:val="18"/>
              </w:rPr>
              <w:t>β=+0.070  t=0.622</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A1A2C3E" w14:textId="77777777" w:rsidR="006E6CE9" w:rsidRDefault="00000000">
            <w:r>
              <w:rPr>
                <w:sz w:val="18"/>
                <w:szCs w:val="18"/>
              </w:rPr>
              <w:t>Positive direction confirmed but not significant in either model once NDVI and spatial structure are controlled for. TCI's LST effect appears to operate through spatial spillover, not direct local impact.</w:t>
            </w:r>
          </w:p>
        </w:tc>
      </w:tr>
      <w:tr w:rsidR="006E6CE9" w14:paraId="5E448826"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4CB8044B" w14:textId="77777777" w:rsidR="006E6CE9" w:rsidRDefault="00000000">
            <w:r>
              <w:rPr>
                <w:sz w:val="18"/>
                <w:szCs w:val="18"/>
              </w:rPr>
              <w:t>Population</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4A898248" w14:textId="77777777" w:rsidR="006E6CE9" w:rsidRDefault="00000000">
            <w:r>
              <w:rPr>
                <w:sz w:val="18"/>
                <w:szCs w:val="18"/>
              </w:rPr>
              <w:t>β≈0  p=0.108</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1857DBE6" w14:textId="77777777" w:rsidR="006E6CE9" w:rsidRDefault="00000000">
            <w:r>
              <w:rPr>
                <w:sz w:val="18"/>
                <w:szCs w:val="18"/>
              </w:rPr>
              <w:t>β≈0  t=−1.23</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7D9BD4ED" w14:textId="77777777" w:rsidR="006E6CE9" w:rsidRDefault="00000000">
            <w:r>
              <w:rPr>
                <w:sz w:val="18"/>
                <w:szCs w:val="18"/>
              </w:rPr>
              <w:t>Negligible direct effect on LST. Confirmed as secondary variable.</w:t>
            </w:r>
          </w:p>
        </w:tc>
      </w:tr>
      <w:tr w:rsidR="006E6CE9" w14:paraId="1E1101D9"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62803FB" w14:textId="77777777" w:rsidR="006E6CE9" w:rsidRDefault="00000000">
            <w:r>
              <w:rPr>
                <w:sz w:val="18"/>
                <w:szCs w:val="18"/>
              </w:rPr>
              <w:t>W_LST (ρ)</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82D766C" w14:textId="77777777" w:rsidR="006E6CE9" w:rsidRDefault="00000000">
            <w:r>
              <w:rPr>
                <w:b/>
                <w:bCs/>
                <w:sz w:val="18"/>
                <w:szCs w:val="18"/>
              </w:rPr>
              <w:t>—</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324D698" w14:textId="77777777" w:rsidR="006E6CE9" w:rsidRDefault="00000000">
            <w:r>
              <w:rPr>
                <w:sz w:val="18"/>
                <w:szCs w:val="18"/>
              </w:rPr>
              <w:t>β=0.420  t=3.49</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7493208" w14:textId="77777777" w:rsidR="006E6CE9" w:rsidRDefault="00000000">
            <w:r>
              <w:rPr>
                <w:sz w:val="18"/>
                <w:szCs w:val="18"/>
              </w:rPr>
              <w:t>THE KEY FINDING. Significant spatial lag. 42% of a sector's LST is driven by its neighbours' LST. Formally confirms that LST in Chandigarh is a spatially contagious phenomenon.</w:t>
            </w:r>
          </w:p>
        </w:tc>
      </w:tr>
    </w:tbl>
    <w:p w14:paraId="0D80AA5E" w14:textId="77777777" w:rsidR="006E6CE9" w:rsidRDefault="006E6CE9">
      <w:pPr>
        <w:spacing w:before="60"/>
      </w:pPr>
    </w:p>
    <w:p w14:paraId="1C148508" w14:textId="77777777" w:rsidR="006E6CE9" w:rsidRDefault="00000000">
      <w:pPr>
        <w:spacing w:before="200" w:after="80"/>
      </w:pPr>
      <w:r>
        <w:rPr>
          <w:b/>
          <w:bCs/>
          <w:color w:val="0D6E6E"/>
          <w:sz w:val="24"/>
          <w:szCs w:val="24"/>
        </w:rPr>
        <w:t>4.3  What the spatial lag coefficient means in practice</w:t>
      </w:r>
    </w:p>
    <w:p w14:paraId="5A40562D" w14:textId="77777777" w:rsidR="006E6CE9" w:rsidRDefault="006E6CE9">
      <w:pPr>
        <w:spacing w:before="60"/>
      </w:pPr>
    </w:p>
    <w:p w14:paraId="7136E71E" w14:textId="77777777" w:rsidR="006E6CE9" w:rsidRPr="00EE329E" w:rsidRDefault="00000000">
      <w:pPr>
        <w:spacing w:before="60" w:after="60"/>
        <w:jc w:val="both"/>
        <w:rPr>
          <w:b/>
          <w:bCs/>
        </w:rPr>
      </w:pPr>
      <w:r w:rsidRPr="00EE329E">
        <w:rPr>
          <w:b/>
          <w:bCs/>
        </w:rPr>
        <w:t>The spatial lag coefficient ρ = 0.420 is the most important single number from the regression. It tells you that if all neighbouring sectors of a given sector heated up by 1°C, that sector would itself heat up by 0.42°C on average — even if nothing changed within its own boundaries (same vegetation, same traffic, same population). This is thermal spillover.</w:t>
      </w:r>
    </w:p>
    <w:p w14:paraId="624D63E1" w14:textId="77777777" w:rsidR="006E6CE9" w:rsidRDefault="006E6CE9">
      <w:pPr>
        <w:spacing w:before="60"/>
      </w:pPr>
    </w:p>
    <w:p w14:paraId="4DFDA3DA" w14:textId="77777777" w:rsidR="006E6CE9" w:rsidRDefault="00000000">
      <w:pPr>
        <w:spacing w:before="60" w:after="60"/>
        <w:jc w:val="both"/>
      </w:pPr>
      <w:r>
        <w:t>For the paper, this means urban heat management in Chandigarh cannot be effective at the single-sector level. Greening one sector reduces its LST directly, but it also reduces the thermal load it places on its neighbours. Conversely, a hot outer sector like Sector 45 or 54 raises the thermal baseline of the inner-city sectors adjacent to it. The spatial interdependence is the reason why a city-wide, corridor-based greening strategy — following Chandigarh's existing V-road hierarchy — is analytically justified by this model.</w:t>
      </w:r>
    </w:p>
    <w:p w14:paraId="1683B85E" w14:textId="77777777" w:rsidR="006E6CE9" w:rsidRDefault="006E6CE9">
      <w:pPr>
        <w:spacing w:before="60"/>
      </w:pPr>
    </w:p>
    <w:tbl>
      <w:tblPr>
        <w:tblW w:w="9200" w:type="dxa"/>
        <w:tblBorders>
          <w:top w:val="single" w:sz="4" w:space="0" w:color="375623"/>
          <w:left w:val="single" w:sz="4" w:space="0" w:color="375623"/>
          <w:bottom w:val="single" w:sz="4" w:space="0" w:color="375623"/>
          <w:right w:val="single" w:sz="4" w:space="0" w:color="37562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6E6CE9" w14:paraId="2152904D" w14:textId="77777777">
        <w:tc>
          <w:tcPr>
            <w:tcW w:w="0" w:type="auto"/>
            <w:tcBorders>
              <w:top w:val="single" w:sz="4" w:space="0" w:color="375623"/>
              <w:left w:val="single" w:sz="4" w:space="0" w:color="375623"/>
              <w:bottom w:val="single" w:sz="4" w:space="0" w:color="375623"/>
              <w:right w:val="single" w:sz="4" w:space="0" w:color="375623"/>
            </w:tcBorders>
            <w:shd w:val="clear" w:color="auto" w:fill="375623"/>
            <w:tcMar>
              <w:top w:w="100" w:type="dxa"/>
              <w:left w:w="160" w:type="dxa"/>
              <w:bottom w:w="100" w:type="dxa"/>
              <w:right w:w="160" w:type="dxa"/>
            </w:tcMar>
          </w:tcPr>
          <w:p w14:paraId="56449D47" w14:textId="77777777" w:rsidR="006E6CE9" w:rsidRDefault="00000000">
            <w:r>
              <w:rPr>
                <w:b/>
                <w:bCs/>
                <w:color w:val="FFFFFF"/>
              </w:rPr>
              <w:t>📝  Key sentence for the paper</w:t>
            </w:r>
          </w:p>
        </w:tc>
      </w:tr>
      <w:tr w:rsidR="006E6CE9" w14:paraId="1B5F37F8" w14:textId="77777777">
        <w:tc>
          <w:tcPr>
            <w:tcW w:w="9200" w:type="dxa"/>
            <w:tcBorders>
              <w:top w:val="single" w:sz="4" w:space="0" w:color="375623"/>
              <w:left w:val="single" w:sz="4" w:space="0" w:color="375623"/>
              <w:bottom w:val="single" w:sz="4" w:space="0" w:color="375623"/>
              <w:right w:val="single" w:sz="4" w:space="0" w:color="375623"/>
            </w:tcBorders>
            <w:shd w:val="clear" w:color="auto" w:fill="E2EFDA"/>
            <w:tcMar>
              <w:top w:w="100" w:type="dxa"/>
              <w:left w:w="160" w:type="dxa"/>
              <w:bottom w:w="100" w:type="dxa"/>
              <w:right w:w="160" w:type="dxa"/>
            </w:tcMar>
          </w:tcPr>
          <w:p w14:paraId="777695D6" w14:textId="77777777" w:rsidR="006E6CE9" w:rsidRDefault="00000000">
            <w:pPr>
              <w:spacing w:before="30" w:after="30"/>
              <w:jc w:val="both"/>
            </w:pPr>
            <w:r>
              <w:rPr>
                <w:sz w:val="19"/>
                <w:szCs w:val="19"/>
              </w:rPr>
              <w:t>'The Spatial Lag Model (pseudo-R²=0.789) confirmed significant spatial dependence in LST across Chandigarh's sectors (ρ=0.420, t=3.49), indicating that approximately 42% of a sector's thermal loading is attributable to the thermal environment of adjacent sectors rather than to within-sector characteristics. NDVI remained the dominant direct driver (β=−13.25, t=−9.51), while TCI and population lost significance once spatial structure was accounted for, suggesting that their thermal effects operate primarily through spatial proximity rather than direct local mechanisms.'</w:t>
            </w:r>
          </w:p>
        </w:tc>
      </w:tr>
    </w:tbl>
    <w:p w14:paraId="2EF2D6EC" w14:textId="77777777" w:rsidR="006E6CE9" w:rsidRDefault="006E6CE9">
      <w:pPr>
        <w:spacing w:before="60"/>
      </w:pPr>
    </w:p>
    <w:p w14:paraId="352BED8F" w14:textId="77777777" w:rsidR="006E6CE9" w:rsidRDefault="00000000">
      <w:r>
        <w:br/>
      </w:r>
    </w:p>
    <w:p w14:paraId="714547E9" w14:textId="77777777" w:rsidR="006E6CE9" w:rsidRDefault="00000000">
      <w:pPr>
        <w:pBdr>
          <w:bottom w:val="single" w:sz="8" w:space="2" w:color="1F3864"/>
        </w:pBdr>
        <w:spacing w:before="280" w:after="100"/>
      </w:pPr>
      <w:r>
        <w:rPr>
          <w:b/>
          <w:bCs/>
          <w:color w:val="1F3864"/>
          <w:sz w:val="30"/>
          <w:szCs w:val="30"/>
        </w:rPr>
        <w:t>5. LISA Cluster Map — Local Spatial Autocorrelation</w:t>
      </w:r>
    </w:p>
    <w:p w14:paraId="09E4A1FF" w14:textId="77777777" w:rsidR="006E6CE9" w:rsidRDefault="006E6CE9">
      <w:pPr>
        <w:spacing w:before="60"/>
      </w:pPr>
    </w:p>
    <w:p w14:paraId="232759C7" w14:textId="77777777" w:rsidR="006E6CE9" w:rsidRDefault="00000000">
      <w:pPr>
        <w:spacing w:before="200" w:after="80"/>
      </w:pPr>
      <w:r>
        <w:rPr>
          <w:b/>
          <w:bCs/>
          <w:color w:val="1F3864"/>
          <w:sz w:val="24"/>
          <w:szCs w:val="24"/>
        </w:rPr>
        <w:lastRenderedPageBreak/>
        <w:t>5.1  What LISA is and how it differs from Moran's I</w:t>
      </w:r>
    </w:p>
    <w:p w14:paraId="37ABEC3A" w14:textId="77777777" w:rsidR="006E6CE9" w:rsidRDefault="006E6CE9">
      <w:pPr>
        <w:spacing w:before="60"/>
      </w:pPr>
    </w:p>
    <w:p w14:paraId="59924B1B" w14:textId="77777777" w:rsidR="006E6CE9" w:rsidRDefault="00000000">
      <w:pPr>
        <w:spacing w:before="60" w:after="60"/>
        <w:jc w:val="both"/>
      </w:pPr>
      <w:r>
        <w:t>Moran's I gives you one number for the entire city: 'overall, is there spatial clustering?' LISA (Local Indicators of Spatial Association) disaggregates this city-wide result to the individual sector level. It answers the question: 'for each specific sector, is its relationship with its neighbours statistically unusual?'</w:t>
      </w:r>
    </w:p>
    <w:p w14:paraId="5C582313" w14:textId="77777777" w:rsidR="006E6CE9" w:rsidRDefault="006E6CE9">
      <w:pPr>
        <w:spacing w:before="60"/>
      </w:pPr>
    </w:p>
    <w:p w14:paraId="3C4668B1" w14:textId="77777777" w:rsidR="006E6CE9" w:rsidRDefault="00000000">
      <w:pPr>
        <w:spacing w:before="60" w:after="60"/>
        <w:jc w:val="both"/>
      </w:pPr>
      <w:r>
        <w:t>For each sector, LISA computes a local version of Moran's I. If a sector's local I is significantly positive, the sector and its neighbours are similar (both hot or both cool). If significantly negative, the sector is anomalous relative to its neighbourhood. The result for each sector is assigned to one of five categories, which are shown as colours on the map.</w:t>
      </w:r>
    </w:p>
    <w:p w14:paraId="742B3181" w14:textId="77777777" w:rsidR="006E6CE9" w:rsidRDefault="006E6CE9">
      <w:pPr>
        <w:spacing w:before="60"/>
      </w:pPr>
    </w:p>
    <w:p w14:paraId="38170E96" w14:textId="77777777" w:rsidR="006E6CE9" w:rsidRDefault="00000000">
      <w:pPr>
        <w:spacing w:before="200" w:after="80"/>
      </w:pPr>
      <w:r>
        <w:rPr>
          <w:b/>
          <w:bCs/>
          <w:color w:val="1F3864"/>
          <w:sz w:val="24"/>
          <w:szCs w:val="24"/>
        </w:rPr>
        <w:t>5.2  The five categories explained</w:t>
      </w:r>
    </w:p>
    <w:p w14:paraId="6797598C" w14:textId="77777777" w:rsidR="006E6CE9" w:rsidRDefault="006E6CE9">
      <w:pPr>
        <w:spacing w:before="60"/>
      </w:pPr>
    </w:p>
    <w:tbl>
      <w:tblPr>
        <w:tblW w:w="92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3300"/>
        <w:gridCol w:w="3300"/>
      </w:tblGrid>
      <w:tr w:rsidR="006E6CE9" w14:paraId="77EB46A6" w14:textId="77777777">
        <w:tc>
          <w:tcPr>
            <w:tcW w:w="1400" w:type="dxa"/>
            <w:tcBorders>
              <w:top w:val="single" w:sz="4" w:space="0" w:color="2E5FA3"/>
              <w:left w:val="single" w:sz="4" w:space="0" w:color="2E5FA3"/>
              <w:bottom w:val="single" w:sz="4" w:space="0" w:color="2E5FA3"/>
              <w:right w:val="single" w:sz="4" w:space="0" w:color="2E5FA3"/>
            </w:tcBorders>
            <w:shd w:val="clear" w:color="auto" w:fill="2E5FA3"/>
            <w:tcMar>
              <w:top w:w="100" w:type="dxa"/>
              <w:left w:w="160" w:type="dxa"/>
              <w:bottom w:w="100" w:type="dxa"/>
              <w:right w:w="160" w:type="dxa"/>
            </w:tcMar>
          </w:tcPr>
          <w:p w14:paraId="34532D85" w14:textId="77777777" w:rsidR="006E6CE9" w:rsidRDefault="00000000">
            <w:r>
              <w:rPr>
                <w:b/>
                <w:bCs/>
                <w:color w:val="FFFFFF"/>
                <w:sz w:val="19"/>
                <w:szCs w:val="19"/>
              </w:rPr>
              <w:t>Category</w:t>
            </w:r>
          </w:p>
        </w:tc>
        <w:tc>
          <w:tcPr>
            <w:tcW w:w="1200" w:type="dxa"/>
            <w:tcBorders>
              <w:top w:val="single" w:sz="4" w:space="0" w:color="2E5FA3"/>
              <w:left w:val="single" w:sz="4" w:space="0" w:color="2E5FA3"/>
              <w:bottom w:val="single" w:sz="4" w:space="0" w:color="2E5FA3"/>
              <w:right w:val="single" w:sz="4" w:space="0" w:color="2E5FA3"/>
            </w:tcBorders>
            <w:shd w:val="clear" w:color="auto" w:fill="2E5FA3"/>
            <w:tcMar>
              <w:top w:w="100" w:type="dxa"/>
              <w:left w:w="160" w:type="dxa"/>
              <w:bottom w:w="100" w:type="dxa"/>
              <w:right w:w="160" w:type="dxa"/>
            </w:tcMar>
          </w:tcPr>
          <w:p w14:paraId="7606231A" w14:textId="77777777" w:rsidR="006E6CE9" w:rsidRDefault="00000000">
            <w:r>
              <w:rPr>
                <w:b/>
                <w:bCs/>
                <w:color w:val="FFFFFF"/>
                <w:sz w:val="19"/>
                <w:szCs w:val="19"/>
              </w:rPr>
              <w:t>Colour</w:t>
            </w:r>
          </w:p>
        </w:tc>
        <w:tc>
          <w:tcPr>
            <w:tcW w:w="3300" w:type="dxa"/>
            <w:tcBorders>
              <w:top w:val="single" w:sz="4" w:space="0" w:color="2E5FA3"/>
              <w:left w:val="single" w:sz="4" w:space="0" w:color="2E5FA3"/>
              <w:bottom w:val="single" w:sz="4" w:space="0" w:color="2E5FA3"/>
              <w:right w:val="single" w:sz="4" w:space="0" w:color="2E5FA3"/>
            </w:tcBorders>
            <w:shd w:val="clear" w:color="auto" w:fill="2E5FA3"/>
            <w:tcMar>
              <w:top w:w="100" w:type="dxa"/>
              <w:left w:w="160" w:type="dxa"/>
              <w:bottom w:w="100" w:type="dxa"/>
              <w:right w:w="160" w:type="dxa"/>
            </w:tcMar>
          </w:tcPr>
          <w:p w14:paraId="647D89D7" w14:textId="77777777" w:rsidR="006E6CE9" w:rsidRDefault="00000000">
            <w:r>
              <w:rPr>
                <w:b/>
                <w:bCs/>
                <w:color w:val="FFFFFF"/>
                <w:sz w:val="19"/>
                <w:szCs w:val="19"/>
              </w:rPr>
              <w:t>What it means</w:t>
            </w:r>
          </w:p>
        </w:tc>
        <w:tc>
          <w:tcPr>
            <w:tcW w:w="3300" w:type="dxa"/>
            <w:tcBorders>
              <w:top w:val="single" w:sz="4" w:space="0" w:color="2E5FA3"/>
              <w:left w:val="single" w:sz="4" w:space="0" w:color="2E5FA3"/>
              <w:bottom w:val="single" w:sz="4" w:space="0" w:color="2E5FA3"/>
              <w:right w:val="single" w:sz="4" w:space="0" w:color="2E5FA3"/>
            </w:tcBorders>
            <w:shd w:val="clear" w:color="auto" w:fill="2E5FA3"/>
            <w:tcMar>
              <w:top w:w="100" w:type="dxa"/>
              <w:left w:w="160" w:type="dxa"/>
              <w:bottom w:w="100" w:type="dxa"/>
              <w:right w:w="160" w:type="dxa"/>
            </w:tcMar>
          </w:tcPr>
          <w:p w14:paraId="3F1DDE70" w14:textId="77777777" w:rsidR="006E6CE9" w:rsidRDefault="00000000">
            <w:r>
              <w:rPr>
                <w:b/>
                <w:bCs/>
                <w:color w:val="FFFFFF"/>
                <w:sz w:val="19"/>
                <w:szCs w:val="19"/>
              </w:rPr>
              <w:t>Urban heat interpretation</w:t>
            </w:r>
          </w:p>
        </w:tc>
      </w:tr>
      <w:tr w:rsidR="006E6CE9" w14:paraId="2F830587" w14:textId="77777777">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180257F3" w14:textId="77777777" w:rsidR="006E6CE9" w:rsidRDefault="00000000">
            <w:r>
              <w:rPr>
                <w:sz w:val="18"/>
                <w:szCs w:val="18"/>
              </w:rPr>
              <w:t>HH — Hot Spot</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2CF4D2AE" w14:textId="77777777" w:rsidR="006E6CE9" w:rsidRDefault="00000000">
            <w:r>
              <w:rPr>
                <w:sz w:val="18"/>
                <w:szCs w:val="18"/>
              </w:rPr>
              <w:t>Dark red</w:t>
            </w:r>
          </w:p>
        </w:tc>
        <w:tc>
          <w:tcPr>
            <w:tcW w:w="33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4743290A" w14:textId="77777777" w:rsidR="006E6CE9" w:rsidRDefault="00000000">
            <w:r>
              <w:rPr>
                <w:sz w:val="18"/>
                <w:szCs w:val="18"/>
              </w:rPr>
              <w:t>Sector has high LST AND its neighbours have high LST. Statistically significant spatial cluster.</w:t>
            </w:r>
          </w:p>
        </w:tc>
        <w:tc>
          <w:tcPr>
            <w:tcW w:w="33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768A3793" w14:textId="77777777" w:rsidR="006E6CE9" w:rsidRDefault="00000000">
            <w:r>
              <w:rPr>
                <w:sz w:val="18"/>
                <w:szCs w:val="18"/>
              </w:rPr>
              <w:t>Persistent heat zone. These sectors reinforce each other's heat. Highest priority for intervention.</w:t>
            </w:r>
          </w:p>
        </w:tc>
      </w:tr>
      <w:tr w:rsidR="006E6CE9" w14:paraId="377D63DA"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077E0F0" w14:textId="77777777" w:rsidR="006E6CE9" w:rsidRDefault="00000000">
            <w:r>
              <w:rPr>
                <w:sz w:val="18"/>
                <w:szCs w:val="18"/>
              </w:rPr>
              <w:t>LL — Cold Spot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1FD2950" w14:textId="77777777" w:rsidR="006E6CE9" w:rsidRDefault="00000000">
            <w:r>
              <w:rPr>
                <w:sz w:val="18"/>
                <w:szCs w:val="18"/>
              </w:rPr>
              <w:t>Dark blue</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826988A" w14:textId="77777777" w:rsidR="006E6CE9" w:rsidRDefault="00000000">
            <w:r>
              <w:rPr>
                <w:sz w:val="18"/>
                <w:szCs w:val="18"/>
              </w:rPr>
              <w:t>Sector has low LST AND its neighbours have low LST. Statistically significant spatial cluster.</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BB69BA2" w14:textId="77777777" w:rsidR="006E6CE9" w:rsidRDefault="00000000">
            <w:r>
              <w:rPr>
                <w:sz w:val="18"/>
                <w:szCs w:val="18"/>
              </w:rPr>
              <w:t>Persistent cool zone. Natural or planned green infrastructure is working at cluster level. Benchmark candidates.</w:t>
            </w:r>
          </w:p>
        </w:tc>
      </w:tr>
      <w:tr w:rsidR="006E6CE9" w14:paraId="06B30CA7" w14:textId="77777777">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606C7F68" w14:textId="77777777" w:rsidR="006E6CE9" w:rsidRDefault="00000000">
            <w:r>
              <w:rPr>
                <w:sz w:val="18"/>
                <w:szCs w:val="18"/>
              </w:rPr>
              <w:t>HL — Spatial Outlier</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3D60911F" w14:textId="77777777" w:rsidR="006E6CE9" w:rsidRDefault="00000000">
            <w:r>
              <w:rPr>
                <w:sz w:val="18"/>
                <w:szCs w:val="18"/>
              </w:rPr>
              <w:t>Light blue</w:t>
            </w:r>
          </w:p>
        </w:tc>
        <w:tc>
          <w:tcPr>
            <w:tcW w:w="33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3CAC3205" w14:textId="77777777" w:rsidR="006E6CE9" w:rsidRDefault="00000000">
            <w:r>
              <w:rPr>
                <w:sz w:val="18"/>
                <w:szCs w:val="18"/>
              </w:rPr>
              <w:t>Sector has HIGH LST but its neighbours have low LST. Anomalous hot sector in a cool neighbourhood.</w:t>
            </w:r>
          </w:p>
        </w:tc>
        <w:tc>
          <w:tcPr>
            <w:tcW w:w="33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3507C8E7" w14:textId="77777777" w:rsidR="006E6CE9" w:rsidRDefault="00000000">
            <w:r>
              <w:rPr>
                <w:sz w:val="18"/>
                <w:szCs w:val="18"/>
              </w:rPr>
              <w:t>Isolated heat source — possibly a commercial or industrial use surrounded by residential green sectors. Worth examining individually.</w:t>
            </w:r>
          </w:p>
        </w:tc>
      </w:tr>
      <w:tr w:rsidR="006E6CE9" w14:paraId="56850E55"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DF92821" w14:textId="77777777" w:rsidR="006E6CE9" w:rsidRDefault="00000000">
            <w:r>
              <w:rPr>
                <w:sz w:val="18"/>
                <w:szCs w:val="18"/>
              </w:rPr>
              <w:t>LH — Spatial Outlier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A853C12" w14:textId="77777777" w:rsidR="006E6CE9" w:rsidRDefault="00000000">
            <w:r>
              <w:rPr>
                <w:sz w:val="18"/>
                <w:szCs w:val="18"/>
              </w:rPr>
              <w:t>Light orange</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45E86AF" w14:textId="77777777" w:rsidR="006E6CE9" w:rsidRDefault="00000000">
            <w:r>
              <w:rPr>
                <w:sz w:val="18"/>
                <w:szCs w:val="18"/>
              </w:rPr>
              <w:t>Sector has LOW LST but its neighbours have high LST. Anomalous cool sector in a hot neighbourhood.</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961C310" w14:textId="77777777" w:rsidR="006E6CE9" w:rsidRDefault="00000000">
            <w:r>
              <w:rPr>
                <w:sz w:val="18"/>
                <w:szCs w:val="18"/>
              </w:rPr>
              <w:t>Isolated cool refuge in a hot zone — possibly a park, institutional green space, or low-density sector. Potential model for adjacent sectors.</w:t>
            </w:r>
          </w:p>
        </w:tc>
      </w:tr>
      <w:tr w:rsidR="006E6CE9" w14:paraId="1B5F8EFF" w14:textId="77777777">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4983C4B2" w14:textId="77777777" w:rsidR="006E6CE9" w:rsidRDefault="00000000">
            <w:r>
              <w:rPr>
                <w:sz w:val="18"/>
                <w:szCs w:val="18"/>
              </w:rPr>
              <w:t>NS — Not Significant</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5F1DB721" w14:textId="77777777" w:rsidR="006E6CE9" w:rsidRDefault="00000000">
            <w:r>
              <w:rPr>
                <w:sz w:val="18"/>
                <w:szCs w:val="18"/>
              </w:rPr>
              <w:t>Grey</w:t>
            </w:r>
          </w:p>
        </w:tc>
        <w:tc>
          <w:tcPr>
            <w:tcW w:w="33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12075E5C" w14:textId="77777777" w:rsidR="006E6CE9" w:rsidRDefault="00000000">
            <w:r>
              <w:rPr>
                <w:sz w:val="18"/>
                <w:szCs w:val="18"/>
              </w:rPr>
              <w:t>Sector's local spatial relationship with its neighbours is not statistically unusual (p ≥ 0.05).</w:t>
            </w:r>
          </w:p>
        </w:tc>
        <w:tc>
          <w:tcPr>
            <w:tcW w:w="33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tcPr>
          <w:p w14:paraId="3FBB9C14" w14:textId="77777777" w:rsidR="006E6CE9" w:rsidRDefault="00000000">
            <w:r>
              <w:rPr>
                <w:sz w:val="18"/>
                <w:szCs w:val="18"/>
              </w:rPr>
              <w:t>No clear spatial cluster signal. The sector's LST does not follow a spatially structured pattern at the local level.</w:t>
            </w:r>
          </w:p>
        </w:tc>
      </w:tr>
    </w:tbl>
    <w:p w14:paraId="3BFD9D69" w14:textId="77777777" w:rsidR="006E6CE9" w:rsidRDefault="006E6CE9">
      <w:pPr>
        <w:spacing w:before="60"/>
      </w:pPr>
    </w:p>
    <w:p w14:paraId="0B8C97A5" w14:textId="77777777" w:rsidR="006E6CE9" w:rsidRDefault="00000000">
      <w:pPr>
        <w:spacing w:before="200" w:after="80"/>
      </w:pPr>
      <w:r>
        <w:rPr>
          <w:b/>
          <w:bCs/>
          <w:color w:val="1F3864"/>
          <w:sz w:val="24"/>
          <w:szCs w:val="24"/>
        </w:rPr>
        <w:t>5.3  Your results</w:t>
      </w:r>
    </w:p>
    <w:p w14:paraId="2BA247E5" w14:textId="77777777" w:rsidR="006E6CE9" w:rsidRDefault="006E6CE9">
      <w:pPr>
        <w:spacing w:before="60"/>
      </w:pPr>
    </w:p>
    <w:tbl>
      <w:tblPr>
        <w:tblW w:w="9200" w:type="dxa"/>
        <w:tblBorders>
          <w:top w:val="single" w:sz="4" w:space="0" w:color="2E5FA3"/>
          <w:left w:val="single" w:sz="4" w:space="0" w:color="2E5FA3"/>
          <w:bottom w:val="single" w:sz="4" w:space="0" w:color="2E5FA3"/>
          <w:right w:val="single" w:sz="4" w:space="0" w:color="2E5FA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6E6CE9" w14:paraId="029E82A8" w14:textId="77777777">
        <w:tc>
          <w:tcPr>
            <w:tcW w:w="0" w:type="auto"/>
            <w:tcBorders>
              <w:top w:val="single" w:sz="4" w:space="0" w:color="2E5FA3"/>
              <w:left w:val="single" w:sz="4" w:space="0" w:color="2E5FA3"/>
              <w:bottom w:val="single" w:sz="4" w:space="0" w:color="2E5FA3"/>
              <w:right w:val="single" w:sz="4" w:space="0" w:color="2E5FA3"/>
            </w:tcBorders>
            <w:shd w:val="clear" w:color="auto" w:fill="2E5FA3"/>
            <w:tcMar>
              <w:top w:w="100" w:type="dxa"/>
              <w:left w:w="160" w:type="dxa"/>
              <w:bottom w:w="100" w:type="dxa"/>
              <w:right w:w="160" w:type="dxa"/>
            </w:tcMar>
          </w:tcPr>
          <w:p w14:paraId="0BACE374" w14:textId="77777777" w:rsidR="006E6CE9" w:rsidRDefault="00000000">
            <w:r>
              <w:rPr>
                <w:b/>
                <w:bCs/>
                <w:color w:val="FFFFFF"/>
              </w:rPr>
              <w:t>LISA Results — Chandigarh LST  |  999 permutations  |  p &lt; 0.05</w:t>
            </w:r>
          </w:p>
        </w:tc>
      </w:tr>
      <w:tr w:rsidR="006E6CE9" w14:paraId="276E9779" w14:textId="77777777">
        <w:tc>
          <w:tcPr>
            <w:tcW w:w="9200" w:type="dxa"/>
            <w:tcBorders>
              <w:top w:val="single" w:sz="4" w:space="0" w:color="2E5FA3"/>
              <w:left w:val="single" w:sz="4" w:space="0" w:color="2E5FA3"/>
              <w:bottom w:val="single" w:sz="4" w:space="0" w:color="2E5FA3"/>
              <w:right w:val="single" w:sz="4" w:space="0" w:color="2E5FA3"/>
            </w:tcBorders>
            <w:shd w:val="clear" w:color="auto" w:fill="D6E4F7"/>
            <w:tcMar>
              <w:top w:w="100" w:type="dxa"/>
              <w:left w:w="160" w:type="dxa"/>
              <w:bottom w:w="100" w:type="dxa"/>
              <w:right w:w="160" w:type="dxa"/>
            </w:tcMar>
          </w:tcPr>
          <w:p w14:paraId="16070C46" w14:textId="77777777" w:rsidR="006E6CE9" w:rsidRDefault="00000000">
            <w:pPr>
              <w:spacing w:before="30" w:after="30"/>
              <w:jc w:val="both"/>
            </w:pPr>
            <w:r>
              <w:rPr>
                <w:sz w:val="19"/>
                <w:szCs w:val="19"/>
              </w:rPr>
              <w:t>HH (Hot Spots): 12 sectors — 21, 33, 34, 40, 44, 45, 46, 49, 50, 51, 53, 55</w:t>
            </w:r>
          </w:p>
        </w:tc>
      </w:tr>
      <w:tr w:rsidR="006E6CE9" w14:paraId="52FB41E9" w14:textId="77777777">
        <w:tc>
          <w:tcPr>
            <w:tcW w:w="9200" w:type="dxa"/>
            <w:tcBorders>
              <w:top w:val="single" w:sz="4" w:space="0" w:color="2E5FA3"/>
              <w:left w:val="single" w:sz="4" w:space="0" w:color="2E5FA3"/>
              <w:bottom w:val="single" w:sz="4" w:space="0" w:color="2E5FA3"/>
              <w:right w:val="single" w:sz="4" w:space="0" w:color="2E5FA3"/>
            </w:tcBorders>
            <w:shd w:val="clear" w:color="auto" w:fill="D6E4F7"/>
            <w:tcMar>
              <w:top w:w="100" w:type="dxa"/>
              <w:left w:w="160" w:type="dxa"/>
              <w:bottom w:w="100" w:type="dxa"/>
              <w:right w:w="160" w:type="dxa"/>
            </w:tcMar>
          </w:tcPr>
          <w:p w14:paraId="58B5D6B8" w14:textId="77777777" w:rsidR="006E6CE9" w:rsidRDefault="00000000">
            <w:pPr>
              <w:spacing w:before="30" w:after="30"/>
              <w:jc w:val="both"/>
            </w:pPr>
            <w:r>
              <w:rPr>
                <w:sz w:val="19"/>
                <w:szCs w:val="19"/>
              </w:rPr>
              <w:t>LL (Cold Spots):  9 sectors — 1, 3, 4, 5, 6, 7, 8, 9, 26</w:t>
            </w:r>
          </w:p>
        </w:tc>
      </w:tr>
      <w:tr w:rsidR="006E6CE9" w14:paraId="38617D62" w14:textId="77777777">
        <w:tc>
          <w:tcPr>
            <w:tcW w:w="9200" w:type="dxa"/>
            <w:tcBorders>
              <w:top w:val="single" w:sz="4" w:space="0" w:color="2E5FA3"/>
              <w:left w:val="single" w:sz="4" w:space="0" w:color="2E5FA3"/>
              <w:bottom w:val="single" w:sz="4" w:space="0" w:color="2E5FA3"/>
              <w:right w:val="single" w:sz="4" w:space="0" w:color="2E5FA3"/>
            </w:tcBorders>
            <w:shd w:val="clear" w:color="auto" w:fill="D6E4F7"/>
            <w:tcMar>
              <w:top w:w="100" w:type="dxa"/>
              <w:left w:w="160" w:type="dxa"/>
              <w:bottom w:w="100" w:type="dxa"/>
              <w:right w:w="160" w:type="dxa"/>
            </w:tcMar>
          </w:tcPr>
          <w:p w14:paraId="0C1C6529" w14:textId="77777777" w:rsidR="006E6CE9" w:rsidRDefault="00000000">
            <w:pPr>
              <w:spacing w:before="30" w:after="30"/>
              <w:jc w:val="both"/>
            </w:pPr>
            <w:r>
              <w:rPr>
                <w:sz w:val="19"/>
                <w:szCs w:val="19"/>
              </w:rPr>
              <w:t>HL (Outlier):     1 sector</w:t>
            </w:r>
          </w:p>
        </w:tc>
      </w:tr>
      <w:tr w:rsidR="006E6CE9" w14:paraId="09B35CF6" w14:textId="77777777">
        <w:tc>
          <w:tcPr>
            <w:tcW w:w="9200" w:type="dxa"/>
            <w:tcBorders>
              <w:top w:val="single" w:sz="4" w:space="0" w:color="2E5FA3"/>
              <w:left w:val="single" w:sz="4" w:space="0" w:color="2E5FA3"/>
              <w:bottom w:val="single" w:sz="4" w:space="0" w:color="2E5FA3"/>
              <w:right w:val="single" w:sz="4" w:space="0" w:color="2E5FA3"/>
            </w:tcBorders>
            <w:shd w:val="clear" w:color="auto" w:fill="D6E4F7"/>
            <w:tcMar>
              <w:top w:w="100" w:type="dxa"/>
              <w:left w:w="160" w:type="dxa"/>
              <w:bottom w:w="100" w:type="dxa"/>
              <w:right w:w="160" w:type="dxa"/>
            </w:tcMar>
          </w:tcPr>
          <w:p w14:paraId="0F13E7E1" w14:textId="77777777" w:rsidR="006E6CE9" w:rsidRDefault="00000000">
            <w:pPr>
              <w:spacing w:before="30" w:after="30"/>
              <w:jc w:val="both"/>
            </w:pPr>
            <w:r>
              <w:rPr>
                <w:sz w:val="19"/>
                <w:szCs w:val="19"/>
              </w:rPr>
              <w:t>LH (Outlier):     1 sector</w:t>
            </w:r>
          </w:p>
        </w:tc>
      </w:tr>
      <w:tr w:rsidR="006E6CE9" w14:paraId="05141339" w14:textId="77777777">
        <w:tc>
          <w:tcPr>
            <w:tcW w:w="9200" w:type="dxa"/>
            <w:tcBorders>
              <w:top w:val="single" w:sz="4" w:space="0" w:color="2E5FA3"/>
              <w:left w:val="single" w:sz="4" w:space="0" w:color="2E5FA3"/>
              <w:bottom w:val="single" w:sz="4" w:space="0" w:color="2E5FA3"/>
              <w:right w:val="single" w:sz="4" w:space="0" w:color="2E5FA3"/>
            </w:tcBorders>
            <w:shd w:val="clear" w:color="auto" w:fill="D6E4F7"/>
            <w:tcMar>
              <w:top w:w="100" w:type="dxa"/>
              <w:left w:w="160" w:type="dxa"/>
              <w:bottom w:w="100" w:type="dxa"/>
              <w:right w:w="160" w:type="dxa"/>
            </w:tcMar>
          </w:tcPr>
          <w:p w14:paraId="41020203" w14:textId="77777777" w:rsidR="006E6CE9" w:rsidRDefault="00000000">
            <w:pPr>
              <w:spacing w:before="30" w:after="30"/>
              <w:jc w:val="both"/>
            </w:pPr>
            <w:r>
              <w:rPr>
                <w:sz w:val="19"/>
                <w:szCs w:val="19"/>
              </w:rPr>
              <w:t>NS (Not sig.):   34 sectors</w:t>
            </w:r>
          </w:p>
        </w:tc>
      </w:tr>
    </w:tbl>
    <w:p w14:paraId="6E3214EC" w14:textId="77777777" w:rsidR="006E6CE9" w:rsidRDefault="006E6CE9">
      <w:pPr>
        <w:spacing w:before="60"/>
      </w:pPr>
    </w:p>
    <w:p w14:paraId="125989D0" w14:textId="77777777" w:rsidR="006E6CE9" w:rsidRDefault="00000000">
      <w:pPr>
        <w:spacing w:before="200" w:after="80"/>
      </w:pPr>
      <w:r>
        <w:rPr>
          <w:b/>
          <w:bCs/>
          <w:color w:val="1F3864"/>
          <w:sz w:val="24"/>
          <w:szCs w:val="24"/>
        </w:rPr>
        <w:t>5.4  Geographic interpretation</w:t>
      </w:r>
    </w:p>
    <w:p w14:paraId="1008AF95" w14:textId="77777777" w:rsidR="006E6CE9" w:rsidRDefault="006E6CE9">
      <w:pPr>
        <w:spacing w:before="60"/>
      </w:pPr>
    </w:p>
    <w:p w14:paraId="38449164" w14:textId="77777777" w:rsidR="006E6CE9" w:rsidRDefault="00000000">
      <w:pPr>
        <w:spacing w:before="60" w:after="60"/>
        <w:jc w:val="both"/>
      </w:pPr>
      <w:r>
        <w:lastRenderedPageBreak/>
        <w:t>The 12 HH sectors form a continuous belt across the outer southern and eastern parts of the city — Sectors 33, 34, 40, 44, 45, 46, 49, 50, 51, 53, 55 are all in the Zone 5–6 outer residential ring. Sector 21 in Zone 4 is an inner extension of this hot belt. This is the area of Chandigarh that was developed last, has the highest residential density, the lowest vegetation cover, and the most traffic pressure from the city's arterial roads. The spatial clustering confirms that these sectors share thermal conditions across boundaries — they form a coherent heat zone, not a collection of individually hot sectors.</w:t>
      </w:r>
    </w:p>
    <w:p w14:paraId="398A6DE3" w14:textId="77777777" w:rsidR="006E6CE9" w:rsidRDefault="006E6CE9">
      <w:pPr>
        <w:spacing w:before="60"/>
      </w:pPr>
    </w:p>
    <w:p w14:paraId="0EA67F06" w14:textId="77777777" w:rsidR="006E6CE9" w:rsidRDefault="00000000">
      <w:pPr>
        <w:spacing w:before="60" w:after="60"/>
        <w:jc w:val="both"/>
      </w:pPr>
      <w:r>
        <w:t>The 9 LL sectors are concentrated in the north-west: the Capitol Complex (Sectors 1–6), the adjacent early residential sectors 7, 8, and 9, and Sector 26 (the institutional zone near Panjab University). These sectors were designed by Le Corbusier in the 1950s with generous green space allocations, wide setbacks, and tree-lined V4 roads. The cold spot cluster is the spatial expression of that design legacy — and it provides the basis for the benchmark cluster that will be identified in Day 8.</w:t>
      </w:r>
    </w:p>
    <w:p w14:paraId="2463CFB0" w14:textId="77777777" w:rsidR="006E6CE9" w:rsidRDefault="006E6CE9">
      <w:pPr>
        <w:spacing w:before="60"/>
      </w:pPr>
    </w:p>
    <w:p w14:paraId="242369DB" w14:textId="77777777" w:rsidR="006E6CE9" w:rsidRDefault="00000000">
      <w:pPr>
        <w:spacing w:before="60" w:after="60"/>
        <w:jc w:val="both"/>
      </w:pPr>
      <w:r>
        <w:t>The single LH outlier (low LST in a hot neighbourhood) is analytically interesting — it is likely a sector with a large institutional green space or hospital campus that creates a local cool island inside the southern hot belt. This should be identified by name in the paper and cross-referenced against the land use map.</w:t>
      </w:r>
    </w:p>
    <w:p w14:paraId="7DA0C501" w14:textId="77777777" w:rsidR="006E6CE9" w:rsidRDefault="006E6CE9">
      <w:pPr>
        <w:spacing w:before="60"/>
      </w:pPr>
    </w:p>
    <w:p w14:paraId="1BB2BE63" w14:textId="77777777" w:rsidR="006E6CE9" w:rsidRDefault="00000000">
      <w:pPr>
        <w:spacing w:before="200" w:after="80"/>
      </w:pPr>
      <w:r>
        <w:rPr>
          <w:b/>
          <w:bCs/>
          <w:color w:val="1F3864"/>
          <w:sz w:val="24"/>
          <w:szCs w:val="24"/>
        </w:rPr>
        <w:t>5.5  The LISA map as a QGIS figure</w:t>
      </w:r>
    </w:p>
    <w:p w14:paraId="333E9B94" w14:textId="77777777" w:rsidR="006E6CE9" w:rsidRDefault="006E6CE9">
      <w:pPr>
        <w:spacing w:before="60"/>
      </w:pPr>
    </w:p>
    <w:p w14:paraId="03E35EC7" w14:textId="77777777" w:rsidR="006E6CE9" w:rsidRDefault="00000000">
      <w:pPr>
        <w:spacing w:before="60" w:after="60"/>
        <w:jc w:val="both"/>
      </w:pPr>
      <w:r>
        <w:t>The LISA map produced by Python is analytically correct but the five-colour categorical legend benefits significantly from QGIS's rendering. When you produce the final paper figure in QGIS (Week 8 Day 13), use these exact colours from the standard LISA palette to ensure consistency with the published literature:</w:t>
      </w:r>
    </w:p>
    <w:p w14:paraId="44B79BE2" w14:textId="77777777" w:rsidR="006E6CE9" w:rsidRDefault="006E6CE9">
      <w:pPr>
        <w:spacing w:before="60"/>
      </w:pPr>
    </w:p>
    <w:p w14:paraId="52E411A8" w14:textId="77777777" w:rsidR="006E6CE9" w:rsidRDefault="00000000">
      <w:pPr>
        <w:pStyle w:val="ListParagraph"/>
        <w:numPr>
          <w:ilvl w:val="0"/>
          <w:numId w:val="2"/>
        </w:numPr>
        <w:spacing w:before="40" w:after="40"/>
      </w:pPr>
      <w:r>
        <w:t>HH: #d7191c (dark red)</w:t>
      </w:r>
    </w:p>
    <w:p w14:paraId="12862ABB" w14:textId="77777777" w:rsidR="006E6CE9" w:rsidRDefault="00000000">
      <w:pPr>
        <w:pStyle w:val="ListParagraph"/>
        <w:numPr>
          <w:ilvl w:val="0"/>
          <w:numId w:val="2"/>
        </w:numPr>
        <w:spacing w:before="40" w:after="40"/>
      </w:pPr>
      <w:r>
        <w:t>LL: #2c7bb6 (dark blue)</w:t>
      </w:r>
    </w:p>
    <w:p w14:paraId="40221376" w14:textId="77777777" w:rsidR="006E6CE9" w:rsidRDefault="00000000">
      <w:pPr>
        <w:pStyle w:val="ListParagraph"/>
        <w:numPr>
          <w:ilvl w:val="0"/>
          <w:numId w:val="2"/>
        </w:numPr>
        <w:spacing w:before="40" w:after="40"/>
      </w:pPr>
      <w:r>
        <w:t>LH: #fdae61 (light orange)</w:t>
      </w:r>
    </w:p>
    <w:p w14:paraId="7651734D" w14:textId="77777777" w:rsidR="006E6CE9" w:rsidRDefault="00000000">
      <w:pPr>
        <w:pStyle w:val="ListParagraph"/>
        <w:numPr>
          <w:ilvl w:val="0"/>
          <w:numId w:val="2"/>
        </w:numPr>
        <w:spacing w:before="40" w:after="40"/>
      </w:pPr>
      <w:r>
        <w:t>HL: #abd9e9 (light blue)</w:t>
      </w:r>
    </w:p>
    <w:p w14:paraId="2DC13E38" w14:textId="77777777" w:rsidR="006E6CE9" w:rsidRDefault="00000000">
      <w:pPr>
        <w:pStyle w:val="ListParagraph"/>
        <w:numPr>
          <w:ilvl w:val="0"/>
          <w:numId w:val="2"/>
        </w:numPr>
        <w:spacing w:before="40" w:after="40"/>
      </w:pPr>
      <w:r>
        <w:t>NS: white or very light grey</w:t>
      </w:r>
    </w:p>
    <w:p w14:paraId="697CBDBD" w14:textId="77777777" w:rsidR="006E6CE9" w:rsidRDefault="006E6CE9">
      <w:pPr>
        <w:spacing w:before="60"/>
      </w:pPr>
    </w:p>
    <w:p w14:paraId="7187DBDE" w14:textId="77777777" w:rsidR="006E6CE9" w:rsidRDefault="00000000">
      <w:pPr>
        <w:spacing w:before="60" w:after="60"/>
        <w:jc w:val="both"/>
      </w:pPr>
      <w:r>
        <w:t>The LISA_cluster column is already saved in master_geo.gpkg. In QGIS, set the renderer to Categorised on this column and assign the colours above. Add the standard map elements (north arrow, scale bar in km, sector number labels). This is Figure 3 or 4 in the paper.</w:t>
      </w:r>
    </w:p>
    <w:p w14:paraId="040AB62F" w14:textId="77777777" w:rsidR="006E6CE9" w:rsidRDefault="006E6CE9">
      <w:pPr>
        <w:spacing w:before="60"/>
      </w:pPr>
    </w:p>
    <w:p w14:paraId="29FBD728" w14:textId="77777777" w:rsidR="006E6CE9" w:rsidRDefault="00000000">
      <w:pPr>
        <w:pBdr>
          <w:bottom w:val="single" w:sz="8" w:space="2" w:color="C55A11"/>
        </w:pBdr>
        <w:spacing w:before="280" w:after="100"/>
      </w:pPr>
      <w:r>
        <w:rPr>
          <w:b/>
          <w:bCs/>
          <w:color w:val="C55A11"/>
          <w:sz w:val="30"/>
          <w:szCs w:val="30"/>
        </w:rPr>
        <w:t>6. Analytical Limitations to Document in the Paper</w:t>
      </w:r>
    </w:p>
    <w:p w14:paraId="3D79E835" w14:textId="77777777" w:rsidR="006E6CE9" w:rsidRDefault="006E6CE9">
      <w:pPr>
        <w:spacing w:before="60"/>
      </w:pPr>
    </w:p>
    <w:p w14:paraId="08CE0875" w14:textId="77777777" w:rsidR="006E6CE9" w:rsidRDefault="00000000">
      <w:pPr>
        <w:pStyle w:val="ListParagraph"/>
        <w:numPr>
          <w:ilvl w:val="0"/>
          <w:numId w:val="2"/>
        </w:numPr>
        <w:spacing w:before="40" w:after="40"/>
      </w:pPr>
      <w:r>
        <w:t>GHI sample size (n=24): the non-significance of LST–GHI is a data coverage limitation, not a methodological failure. Document as: 'The GHI analysis was limited to 24 of 63 sectors due to partial government housing coverage; the remaining 39 sectors have no government housing and were correctly excluded from this specific correlation.'</w:t>
      </w:r>
    </w:p>
    <w:p w14:paraId="632723C1" w14:textId="77777777" w:rsidR="006E6CE9" w:rsidRDefault="006E6CE9">
      <w:pPr>
        <w:spacing w:before="60"/>
      </w:pPr>
    </w:p>
    <w:p w14:paraId="6F93863E" w14:textId="77777777" w:rsidR="006E6CE9" w:rsidRDefault="00000000">
      <w:pPr>
        <w:pStyle w:val="ListParagraph"/>
        <w:numPr>
          <w:ilvl w:val="0"/>
          <w:numId w:val="2"/>
        </w:numPr>
        <w:spacing w:before="40" w:after="40"/>
      </w:pPr>
      <w:r>
        <w:t>SC% data age: the Scheduled Caste percentage data derives from the 2011 Census, which is 15 years old. Demographic change over this period may have weakened the signal. Document as a limitation in the Methods section.</w:t>
      </w:r>
    </w:p>
    <w:p w14:paraId="0991DE48" w14:textId="77777777" w:rsidR="006E6CE9" w:rsidRDefault="006E6CE9">
      <w:pPr>
        <w:spacing w:before="60"/>
      </w:pPr>
    </w:p>
    <w:p w14:paraId="3C0916E5" w14:textId="77777777" w:rsidR="006E6CE9" w:rsidRDefault="00000000">
      <w:pPr>
        <w:pStyle w:val="ListParagraph"/>
        <w:numPr>
          <w:ilvl w:val="0"/>
          <w:numId w:val="2"/>
        </w:numPr>
        <w:spacing w:before="40" w:after="40"/>
      </w:pPr>
      <w:r>
        <w:t>NDBI reversal: not a modelling error — a real finding that requires interpretation. The reversal is physically explainable and should be reported as a result, not hidden.</w:t>
      </w:r>
    </w:p>
    <w:p w14:paraId="43C02582" w14:textId="77777777" w:rsidR="006E6CE9" w:rsidRDefault="006E6CE9">
      <w:pPr>
        <w:spacing w:before="60"/>
      </w:pPr>
    </w:p>
    <w:p w14:paraId="3D6BCFA8" w14:textId="77777777" w:rsidR="006E6CE9" w:rsidRDefault="00000000">
      <w:pPr>
        <w:pStyle w:val="ListParagraph"/>
        <w:numPr>
          <w:ilvl w:val="0"/>
          <w:numId w:val="2"/>
        </w:numPr>
        <w:spacing w:before="40" w:after="40"/>
      </w:pPr>
      <w:r>
        <w:t>Spatial weights: the Queen contiguity matrix covers only the 57 numeric urban sectors. Named sectors (Manimajra, Khuda Alisher, Rajindra Park, 25W, 26E, 38W) are excluded from Moran's I and LISA because they cannot be reliably assigned neighbours in the standard sector grid. Document as a spatial boundary limitation.</w:t>
      </w:r>
    </w:p>
    <w:p w14:paraId="6C0A3B4B" w14:textId="77777777" w:rsidR="006E6CE9" w:rsidRDefault="006E6CE9">
      <w:pPr>
        <w:spacing w:before="60"/>
      </w:pPr>
    </w:p>
    <w:p w14:paraId="5F918F3A" w14:textId="77777777" w:rsidR="006E6CE9" w:rsidRDefault="00000000">
      <w:pPr>
        <w:pStyle w:val="ListParagraph"/>
        <w:numPr>
          <w:ilvl w:val="0"/>
          <w:numId w:val="2"/>
        </w:numPr>
        <w:spacing w:before="40" w:after="40"/>
      </w:pPr>
      <w:r>
        <w:lastRenderedPageBreak/>
        <w:t>Cross-sectional analysis: all correlations are based on 2012–2025 averages. They show association, not causation. The Spatial Lag Model confirms spatial dependence but does not establish a causal mechanism. Standard academic caveat required.</w:t>
      </w:r>
    </w:p>
    <w:p w14:paraId="6E307BF5" w14:textId="77777777" w:rsidR="006E6CE9" w:rsidRDefault="006E6CE9">
      <w:pPr>
        <w:spacing w:before="60"/>
      </w:pPr>
    </w:p>
    <w:p w14:paraId="551068AE" w14:textId="77777777" w:rsidR="006E6CE9" w:rsidRDefault="00000000">
      <w:pPr>
        <w:pBdr>
          <w:top w:val="single" w:sz="6" w:space="4" w:color="2E5FA3"/>
        </w:pBdr>
        <w:spacing w:before="300" w:after="80"/>
        <w:jc w:val="center"/>
      </w:pPr>
      <w:r>
        <w:rPr>
          <w:i/>
          <w:iCs/>
          <w:color w:val="595959"/>
          <w:sz w:val="19"/>
          <w:szCs w:val="19"/>
        </w:rPr>
        <w:t>End of Spatial Analysis Explanation Document  —  Week 7 Days 6–7  —  Chandigarh Multi-Layer Map Project</w:t>
      </w:r>
    </w:p>
    <w:sectPr w:rsidR="006E6CE9">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E4985" w14:textId="77777777" w:rsidR="00093FAB" w:rsidRDefault="00093FAB">
      <w:r>
        <w:separator/>
      </w:r>
    </w:p>
  </w:endnote>
  <w:endnote w:type="continuationSeparator" w:id="0">
    <w:p w14:paraId="49B0FA00" w14:textId="77777777" w:rsidR="00093FAB" w:rsidRDefault="00093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FDDD6" w14:textId="77777777" w:rsidR="006E6CE9" w:rsidRDefault="00000000">
    <w:pPr>
      <w:pBdr>
        <w:top w:val="single" w:sz="4" w:space="1" w:color="2E5FA3"/>
      </w:pBdr>
      <w:tabs>
        <w:tab w:val="right" w:pos="9026"/>
      </w:tabs>
      <w:spacing w:before="80"/>
    </w:pPr>
    <w:r>
      <w:rPr>
        <w:color w:val="AAAAAA"/>
        <w:sz w:val="16"/>
        <w:szCs w:val="16"/>
      </w:rPr>
      <w:t>MMDU  |  Supervisor: Dr. Chechi</w:t>
    </w:r>
    <w:r>
      <w:tab/>
    </w:r>
    <w:r>
      <w:rPr>
        <w:i/>
        <w:iCs/>
        <w:color w:val="AAAAAA"/>
        <w:sz w:val="14"/>
        <w:szCs w:val="14"/>
      </w:rPr>
      <w:t>Assessment of Environmental, Socio-Economic and Public Health Issues Through a Multi-Layer Map of Chandigarh City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3E387" w14:textId="77777777" w:rsidR="00093FAB" w:rsidRDefault="00093FAB">
      <w:r>
        <w:separator/>
      </w:r>
    </w:p>
  </w:footnote>
  <w:footnote w:type="continuationSeparator" w:id="0">
    <w:p w14:paraId="6CD1AD38" w14:textId="77777777" w:rsidR="00093FAB" w:rsidRDefault="00093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13AF6" w14:textId="77777777" w:rsidR="006E6CE9" w:rsidRDefault="00000000">
    <w:pPr>
      <w:pBdr>
        <w:bottom w:val="single" w:sz="4" w:space="1" w:color="2E5FA3"/>
      </w:pBdr>
      <w:tabs>
        <w:tab w:val="right" w:pos="9026"/>
      </w:tabs>
      <w:spacing w:after="80"/>
    </w:pPr>
    <w:r>
      <w:rPr>
        <w:color w:val="595959"/>
        <w:sz w:val="18"/>
        <w:szCs w:val="18"/>
      </w:rPr>
      <w:t>Chandigarh Multi-Layer Map  |  Spatial Analysis Results — Explanation</w:t>
    </w:r>
    <w:r>
      <w:tab/>
    </w:r>
    <w:r>
      <w:rPr>
        <w:i/>
        <w:iCs/>
        <w:color w:val="595959"/>
        <w:sz w:val="18"/>
        <w:szCs w:val="18"/>
      </w:rPr>
      <w:t>Week 7  |  Elias Ruiz Sabater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26DED"/>
    <w:multiLevelType w:val="hybridMultilevel"/>
    <w:tmpl w:val="BD864198"/>
    <w:lvl w:ilvl="0" w:tplc="D5AC9FE4">
      <w:start w:val="1"/>
      <w:numFmt w:val="bullet"/>
      <w:lvlText w:val="◦"/>
      <w:lvlJc w:val="left"/>
      <w:pPr>
        <w:ind w:left="900" w:hanging="240"/>
      </w:pPr>
    </w:lvl>
    <w:lvl w:ilvl="1" w:tplc="65E453AC">
      <w:numFmt w:val="decimal"/>
      <w:lvlText w:val=""/>
      <w:lvlJc w:val="left"/>
    </w:lvl>
    <w:lvl w:ilvl="2" w:tplc="87BA928E">
      <w:numFmt w:val="decimal"/>
      <w:lvlText w:val=""/>
      <w:lvlJc w:val="left"/>
    </w:lvl>
    <w:lvl w:ilvl="3" w:tplc="C0AE85BE">
      <w:numFmt w:val="decimal"/>
      <w:lvlText w:val=""/>
      <w:lvlJc w:val="left"/>
    </w:lvl>
    <w:lvl w:ilvl="4" w:tplc="474EFB04">
      <w:numFmt w:val="decimal"/>
      <w:lvlText w:val=""/>
      <w:lvlJc w:val="left"/>
    </w:lvl>
    <w:lvl w:ilvl="5" w:tplc="6B0C4AD0">
      <w:numFmt w:val="decimal"/>
      <w:lvlText w:val=""/>
      <w:lvlJc w:val="left"/>
    </w:lvl>
    <w:lvl w:ilvl="6" w:tplc="97C26A7A">
      <w:numFmt w:val="decimal"/>
      <w:lvlText w:val=""/>
      <w:lvlJc w:val="left"/>
    </w:lvl>
    <w:lvl w:ilvl="7" w:tplc="6290B0F0">
      <w:numFmt w:val="decimal"/>
      <w:lvlText w:val=""/>
      <w:lvlJc w:val="left"/>
    </w:lvl>
    <w:lvl w:ilvl="8" w:tplc="95349838">
      <w:numFmt w:val="decimal"/>
      <w:lvlText w:val=""/>
      <w:lvlJc w:val="left"/>
    </w:lvl>
  </w:abstractNum>
  <w:abstractNum w:abstractNumId="1" w15:restartNumberingAfterBreak="0">
    <w:nsid w:val="2D752A6C"/>
    <w:multiLevelType w:val="hybridMultilevel"/>
    <w:tmpl w:val="3FC85C12"/>
    <w:lvl w:ilvl="0" w:tplc="AE70ABB8">
      <w:start w:val="1"/>
      <w:numFmt w:val="bullet"/>
      <w:lvlText w:val="•"/>
      <w:lvlJc w:val="left"/>
      <w:pPr>
        <w:ind w:left="480" w:hanging="240"/>
      </w:pPr>
    </w:lvl>
    <w:lvl w:ilvl="1" w:tplc="3C20E23E">
      <w:numFmt w:val="decimal"/>
      <w:lvlText w:val=""/>
      <w:lvlJc w:val="left"/>
    </w:lvl>
    <w:lvl w:ilvl="2" w:tplc="EB4EB560">
      <w:numFmt w:val="decimal"/>
      <w:lvlText w:val=""/>
      <w:lvlJc w:val="left"/>
    </w:lvl>
    <w:lvl w:ilvl="3" w:tplc="A606E45E">
      <w:numFmt w:val="decimal"/>
      <w:lvlText w:val=""/>
      <w:lvlJc w:val="left"/>
    </w:lvl>
    <w:lvl w:ilvl="4" w:tplc="824ADF7A">
      <w:numFmt w:val="decimal"/>
      <w:lvlText w:val=""/>
      <w:lvlJc w:val="left"/>
    </w:lvl>
    <w:lvl w:ilvl="5" w:tplc="D65CFEF8">
      <w:numFmt w:val="decimal"/>
      <w:lvlText w:val=""/>
      <w:lvlJc w:val="left"/>
    </w:lvl>
    <w:lvl w:ilvl="6" w:tplc="05ACD19E">
      <w:numFmt w:val="decimal"/>
      <w:lvlText w:val=""/>
      <w:lvlJc w:val="left"/>
    </w:lvl>
    <w:lvl w:ilvl="7" w:tplc="144AC88C">
      <w:numFmt w:val="decimal"/>
      <w:lvlText w:val=""/>
      <w:lvlJc w:val="left"/>
    </w:lvl>
    <w:lvl w:ilvl="8" w:tplc="1B6EA4A6">
      <w:numFmt w:val="decimal"/>
      <w:lvlText w:val=""/>
      <w:lvlJc w:val="left"/>
    </w:lvl>
  </w:abstractNum>
  <w:abstractNum w:abstractNumId="2" w15:restartNumberingAfterBreak="0">
    <w:nsid w:val="5491744A"/>
    <w:multiLevelType w:val="hybridMultilevel"/>
    <w:tmpl w:val="0882A3BC"/>
    <w:lvl w:ilvl="0" w:tplc="E8246E78">
      <w:start w:val="1"/>
      <w:numFmt w:val="bullet"/>
      <w:lvlText w:val="●"/>
      <w:lvlJc w:val="left"/>
      <w:pPr>
        <w:ind w:left="720" w:hanging="360"/>
      </w:pPr>
    </w:lvl>
    <w:lvl w:ilvl="1" w:tplc="64E2C57E">
      <w:start w:val="1"/>
      <w:numFmt w:val="bullet"/>
      <w:lvlText w:val="○"/>
      <w:lvlJc w:val="left"/>
      <w:pPr>
        <w:ind w:left="1440" w:hanging="360"/>
      </w:pPr>
    </w:lvl>
    <w:lvl w:ilvl="2" w:tplc="3094ECCC">
      <w:start w:val="1"/>
      <w:numFmt w:val="bullet"/>
      <w:lvlText w:val="■"/>
      <w:lvlJc w:val="left"/>
      <w:pPr>
        <w:ind w:left="2160" w:hanging="360"/>
      </w:pPr>
    </w:lvl>
    <w:lvl w:ilvl="3" w:tplc="F84E4940">
      <w:start w:val="1"/>
      <w:numFmt w:val="bullet"/>
      <w:lvlText w:val="●"/>
      <w:lvlJc w:val="left"/>
      <w:pPr>
        <w:ind w:left="2880" w:hanging="360"/>
      </w:pPr>
    </w:lvl>
    <w:lvl w:ilvl="4" w:tplc="7040CE9E">
      <w:start w:val="1"/>
      <w:numFmt w:val="bullet"/>
      <w:lvlText w:val="○"/>
      <w:lvlJc w:val="left"/>
      <w:pPr>
        <w:ind w:left="3600" w:hanging="360"/>
      </w:pPr>
    </w:lvl>
    <w:lvl w:ilvl="5" w:tplc="11C61E48">
      <w:start w:val="1"/>
      <w:numFmt w:val="bullet"/>
      <w:lvlText w:val="■"/>
      <w:lvlJc w:val="left"/>
      <w:pPr>
        <w:ind w:left="4320" w:hanging="360"/>
      </w:pPr>
    </w:lvl>
    <w:lvl w:ilvl="6" w:tplc="1FB23D00">
      <w:start w:val="1"/>
      <w:numFmt w:val="bullet"/>
      <w:lvlText w:val="●"/>
      <w:lvlJc w:val="left"/>
      <w:pPr>
        <w:ind w:left="5040" w:hanging="360"/>
      </w:pPr>
    </w:lvl>
    <w:lvl w:ilvl="7" w:tplc="9E34B080">
      <w:start w:val="1"/>
      <w:numFmt w:val="bullet"/>
      <w:lvlText w:val="●"/>
      <w:lvlJc w:val="left"/>
      <w:pPr>
        <w:ind w:left="5760" w:hanging="360"/>
      </w:pPr>
    </w:lvl>
    <w:lvl w:ilvl="8" w:tplc="A89AC1EA">
      <w:start w:val="1"/>
      <w:numFmt w:val="bullet"/>
      <w:lvlText w:val="●"/>
      <w:lvlJc w:val="left"/>
      <w:pPr>
        <w:ind w:left="6480" w:hanging="360"/>
      </w:pPr>
    </w:lvl>
  </w:abstractNum>
  <w:num w:numId="1" w16cid:durableId="1939950459">
    <w:abstractNumId w:val="2"/>
    <w:lvlOverride w:ilvl="0">
      <w:startOverride w:val="1"/>
    </w:lvlOverride>
  </w:num>
  <w:num w:numId="2" w16cid:durableId="2688532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CE9"/>
    <w:rsid w:val="00003971"/>
    <w:rsid w:val="00093FAB"/>
    <w:rsid w:val="006D59E0"/>
    <w:rsid w:val="006E6CE9"/>
    <w:rsid w:val="00840C61"/>
    <w:rsid w:val="00A1225F"/>
    <w:rsid w:val="00C9009D"/>
    <w:rsid w:val="00D954A6"/>
    <w:rsid w:val="00EE329E"/>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21BC31F1"/>
  <w15:docId w15:val="{151C70E1-917A-E04B-95F8-51FC74E63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E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9</Pages>
  <Words>3352</Words>
  <Characters>19109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Elias-Diego Ruíz</cp:lastModifiedBy>
  <cp:revision>3</cp:revision>
  <dcterms:created xsi:type="dcterms:W3CDTF">2026-03-31T06:52:00Z</dcterms:created>
  <dcterms:modified xsi:type="dcterms:W3CDTF">2026-04-01T06:20:00Z</dcterms:modified>
</cp:coreProperties>
</file>