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EE2B" w14:textId="77777777" w:rsidR="00F6667A" w:rsidRPr="00F6667A" w:rsidRDefault="00F6667A" w:rsidP="00F6667A">
      <w:pPr>
        <w:spacing w:after="0" w:line="240" w:lineRule="auto"/>
        <w:jc w:val="center"/>
        <w:rPr>
          <w:rFonts w:ascii="Times New Roman" w:eastAsia="Times New Roman" w:hAnsi="Times New Roman" w:cs="Times New Roman"/>
          <w:color w:val="303030"/>
          <w:sz w:val="40"/>
          <w:szCs w:val="40"/>
          <w:lang w:eastAsia="pt-BR"/>
        </w:rPr>
      </w:pPr>
      <w:r w:rsidRPr="00F6667A">
        <w:rPr>
          <w:rFonts w:ascii="Times New Roman" w:eastAsia="Times New Roman" w:hAnsi="Times New Roman" w:cs="Times New Roman"/>
          <w:b/>
          <w:bCs/>
          <w:color w:val="303030"/>
          <w:sz w:val="40"/>
          <w:szCs w:val="40"/>
          <w:lang w:eastAsia="pt-BR"/>
        </w:rPr>
        <w:t>Capítulo 3</w:t>
      </w:r>
    </w:p>
    <w:p w14:paraId="031EA67D" w14:textId="7AA5118E" w:rsidR="00F6667A" w:rsidRDefault="00F6667A" w:rsidP="00F6667A">
      <w:pPr>
        <w:spacing w:after="0" w:line="240" w:lineRule="auto"/>
        <w:jc w:val="center"/>
        <w:rPr>
          <w:rFonts w:ascii="Times New Roman" w:eastAsia="Times New Roman" w:hAnsi="Times New Roman" w:cs="Times New Roman"/>
          <w:b/>
          <w:bCs/>
          <w:color w:val="303030"/>
          <w:sz w:val="40"/>
          <w:szCs w:val="40"/>
          <w:lang w:eastAsia="pt-BR"/>
        </w:rPr>
      </w:pPr>
      <w:r w:rsidRPr="00F6667A">
        <w:rPr>
          <w:rFonts w:ascii="Times New Roman" w:eastAsia="Times New Roman" w:hAnsi="Times New Roman" w:cs="Times New Roman"/>
          <w:b/>
          <w:bCs/>
          <w:color w:val="303030"/>
          <w:sz w:val="40"/>
          <w:szCs w:val="40"/>
          <w:lang w:eastAsia="pt-BR"/>
        </w:rPr>
        <w:t>A Graça que Alcança Todas as Nações</w:t>
      </w:r>
    </w:p>
    <w:p w14:paraId="299F5F5C" w14:textId="77777777" w:rsidR="00F6667A" w:rsidRPr="00F6667A" w:rsidRDefault="00F6667A" w:rsidP="00F6667A">
      <w:pPr>
        <w:spacing w:after="0" w:line="240" w:lineRule="auto"/>
        <w:jc w:val="both"/>
        <w:rPr>
          <w:rFonts w:ascii="Times New Roman" w:eastAsia="Times New Roman" w:hAnsi="Times New Roman" w:cs="Times New Roman"/>
          <w:color w:val="303030"/>
          <w:sz w:val="40"/>
          <w:szCs w:val="40"/>
          <w:lang w:eastAsia="pt-BR"/>
        </w:rPr>
      </w:pPr>
    </w:p>
    <w:p w14:paraId="49E5CC19"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INTRODUÇÃO</w:t>
      </w:r>
      <w:r w:rsidRPr="00F6667A">
        <w:rPr>
          <w:rFonts w:ascii="Times New Roman" w:eastAsia="Times New Roman" w:hAnsi="Times New Roman" w:cs="Times New Roman"/>
          <w:color w:val="303030"/>
          <w:sz w:val="24"/>
          <w:szCs w:val="24"/>
          <w:lang w:eastAsia="pt-BR"/>
        </w:rPr>
        <w:t xml:space="preserve"> À medida que cada vez mais crentes incircuncisos entravam na igreja, os temores dos cristãos judaizantes aumentaram, pois o Reino, rejeitado pela maioria dos judeus, estava sendo povoado rapidamente pelos convertidos entre os gentios. Isso parecia contrário às promessas e alianças especiais do Antigo Testamento, e os judaizantes começaram a fazer campanha a favor da circuncisão de todos os gentios convertidos para que pudessem pertencer à assembleia de Israel. Por outro lado, Paulo e Barnabé tinham sido favorecidos por revelações de Deus na sua convicção em uma nova época em que a igreja era universal e espiritual e </w:t>
      </w:r>
      <w:proofErr w:type="gramStart"/>
      <w:r w:rsidRPr="00F6667A">
        <w:rPr>
          <w:rFonts w:ascii="Times New Roman" w:eastAsia="Times New Roman" w:hAnsi="Times New Roman" w:cs="Times New Roman"/>
          <w:color w:val="303030"/>
          <w:sz w:val="24"/>
          <w:szCs w:val="24"/>
          <w:lang w:eastAsia="pt-BR"/>
        </w:rPr>
        <w:t>de, forma</w:t>
      </w:r>
      <w:proofErr w:type="gramEnd"/>
      <w:r w:rsidRPr="00F6667A">
        <w:rPr>
          <w:rFonts w:ascii="Times New Roman" w:eastAsia="Times New Roman" w:hAnsi="Times New Roman" w:cs="Times New Roman"/>
          <w:color w:val="303030"/>
          <w:sz w:val="24"/>
          <w:szCs w:val="24"/>
          <w:lang w:eastAsia="pt-BR"/>
        </w:rPr>
        <w:t xml:space="preserve"> nenhuma, poderiam sujeitar-se às exigências legalistas do judaísmo.</w:t>
      </w:r>
    </w:p>
    <w:p w14:paraId="0FD3A7E4"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 xml:space="preserve">Homens da Judeia estavam ensinando em </w:t>
      </w:r>
      <w:proofErr w:type="spellStart"/>
      <w:r w:rsidRPr="00F6667A">
        <w:rPr>
          <w:rFonts w:ascii="Times New Roman" w:eastAsia="Times New Roman" w:hAnsi="Times New Roman" w:cs="Times New Roman"/>
          <w:color w:val="303030"/>
          <w:sz w:val="24"/>
          <w:szCs w:val="24"/>
          <w:lang w:eastAsia="pt-BR"/>
        </w:rPr>
        <w:t>Antioquia</w:t>
      </w:r>
      <w:proofErr w:type="spellEnd"/>
      <w:r w:rsidRPr="00F6667A">
        <w:rPr>
          <w:rFonts w:ascii="Times New Roman" w:eastAsia="Times New Roman" w:hAnsi="Times New Roman" w:cs="Times New Roman"/>
          <w:color w:val="303030"/>
          <w:sz w:val="24"/>
          <w:szCs w:val="24"/>
          <w:lang w:eastAsia="pt-BR"/>
        </w:rPr>
        <w:t xml:space="preserve"> da Síria que a circuncisão era necessária para a salvação, e a tensão resultante foi aguda. Os líderes concluíram que era necessário agir rapidamente a fim de evitar uma divisão que separaria a igreja em dois ramos: um judaico e outro gentílico. A comunidade de </w:t>
      </w:r>
      <w:proofErr w:type="spellStart"/>
      <w:r w:rsidRPr="00F6667A">
        <w:rPr>
          <w:rFonts w:ascii="Times New Roman" w:eastAsia="Times New Roman" w:hAnsi="Times New Roman" w:cs="Times New Roman"/>
          <w:color w:val="303030"/>
          <w:sz w:val="24"/>
          <w:szCs w:val="24"/>
          <w:lang w:eastAsia="pt-BR"/>
        </w:rPr>
        <w:t>Antioquia</w:t>
      </w:r>
      <w:proofErr w:type="spellEnd"/>
      <w:r w:rsidRPr="00F6667A">
        <w:rPr>
          <w:rFonts w:ascii="Times New Roman" w:eastAsia="Times New Roman" w:hAnsi="Times New Roman" w:cs="Times New Roman"/>
          <w:color w:val="303030"/>
          <w:sz w:val="24"/>
          <w:szCs w:val="24"/>
          <w:lang w:eastAsia="pt-BR"/>
        </w:rPr>
        <w:t xml:space="preserve"> decidiu enviar Paulo, Barnabé e outros, como Tito (um grego não circuncidado) para consultar os apóstolos e anciãos em Jerusalém. Na sua viagem a Jerusalém (uma viagem de aproximadamente 480 quilômetros), Paulo e Barnabé visitaram diversas congregações.</w:t>
      </w:r>
    </w:p>
    <w:p w14:paraId="45DC80E9"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“Tendo tido Paulo e Barnabé não pequena discussão e contenda contra eles” (At 15.2)</w:t>
      </w:r>
      <w:r w:rsidRPr="00F6667A">
        <w:rPr>
          <w:rFonts w:ascii="Times New Roman" w:eastAsia="Times New Roman" w:hAnsi="Times New Roman" w:cs="Times New Roman"/>
          <w:color w:val="303030"/>
          <w:sz w:val="24"/>
          <w:szCs w:val="24"/>
          <w:lang w:eastAsia="pt-BR"/>
        </w:rPr>
        <w:t xml:space="preserve"> De modo nenhum, os apóstolos concordaram com tal ensinamento; apresentaram-se e publicamente a rebateram. Eles defenderam que a salvação é pela graça, mediante a fé, sem as obras da Lei: “Sabendo que o homem não é justificado pelas obras da lei, mas pela fé em Jesus Cristo” (G1 2.16).</w:t>
      </w:r>
    </w:p>
    <w:p w14:paraId="374A557E"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A igreja da Fenícia tinha sido fundada por crentes que tinham fugido de Jerusalém (At 11.19); Samaria tinha sido evangelizada por Filipe (At 8.5). Em vez de ficarem alarmados com as notícias da conversão dos gentios, esses crentes expressaram grande alegria. Os crentes espirituais, que não são desencaminhados por sentimentos sectários, sempre se alegram ao saber de conversões (</w:t>
      </w:r>
      <w:proofErr w:type="spellStart"/>
      <w:r w:rsidRPr="00F6667A">
        <w:rPr>
          <w:rFonts w:ascii="Times New Roman" w:eastAsia="Times New Roman" w:hAnsi="Times New Roman" w:cs="Times New Roman"/>
          <w:color w:val="303030"/>
          <w:sz w:val="24"/>
          <w:szCs w:val="24"/>
          <w:lang w:eastAsia="pt-BR"/>
        </w:rPr>
        <w:t>Fp</w:t>
      </w:r>
      <w:proofErr w:type="spellEnd"/>
      <w:r w:rsidRPr="00F6667A">
        <w:rPr>
          <w:rFonts w:ascii="Times New Roman" w:eastAsia="Times New Roman" w:hAnsi="Times New Roman" w:cs="Times New Roman"/>
          <w:color w:val="303030"/>
          <w:sz w:val="24"/>
          <w:szCs w:val="24"/>
          <w:lang w:eastAsia="pt-BR"/>
        </w:rPr>
        <w:t xml:space="preserve"> 1.15-18).</w:t>
      </w:r>
    </w:p>
    <w:p w14:paraId="39BE9D5D" w14:textId="77777777" w:rsidR="00F6667A" w:rsidRPr="00F6667A" w:rsidRDefault="00F6667A" w:rsidP="00F6667A">
      <w:pPr>
        <w:spacing w:after="0" w:line="240" w:lineRule="auto"/>
        <w:jc w:val="both"/>
        <w:rPr>
          <w:rFonts w:ascii="Times New Roman" w:eastAsia="Times New Roman" w:hAnsi="Times New Roman" w:cs="Times New Roman"/>
          <w:sz w:val="24"/>
          <w:szCs w:val="24"/>
          <w:lang w:eastAsia="pt-BR"/>
        </w:rPr>
      </w:pPr>
      <w:r w:rsidRPr="00F6667A">
        <w:rPr>
          <w:rFonts w:ascii="Times New Roman" w:eastAsia="Times New Roman" w:hAnsi="Times New Roman" w:cs="Times New Roman"/>
          <w:sz w:val="24"/>
          <w:szCs w:val="24"/>
          <w:lang w:eastAsia="pt-BR"/>
        </w:rPr>
        <w:pict w14:anchorId="30B1BE15">
          <v:rect id="_x0000_i1025" style="width:0;height:1.5pt" o:hralign="center" o:hrstd="t" o:hr="t" fillcolor="#a0a0a0" stroked="f"/>
        </w:pict>
      </w:r>
    </w:p>
    <w:p w14:paraId="60A7C369"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I - QUANDO A GRAÇA PRESERVA A UNIDADE DA IGREJA</w:t>
      </w:r>
    </w:p>
    <w:p w14:paraId="1F00900D"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1. O Concílio de Jerusalém</w:t>
      </w:r>
      <w:r w:rsidRPr="00F6667A">
        <w:rPr>
          <w:rFonts w:ascii="Times New Roman" w:eastAsia="Times New Roman" w:hAnsi="Times New Roman" w:cs="Times New Roman"/>
          <w:color w:val="303030"/>
          <w:sz w:val="24"/>
          <w:szCs w:val="24"/>
          <w:lang w:eastAsia="pt-BR"/>
        </w:rPr>
        <w:t xml:space="preserve"> O Concilio de Jerusalém, registrado em Atos 15, representa um dos momentos mais importantes da Igreja Primitiva. Foi o primeiro grande encontro da liderança da Igreja Primitiva entre 48 e 50 d.C., que reuniu apóstolos (Pedro, Paulo, Tiago), presbíteros e membros da igreja para ser resolvida uma grande questão doutrinária suscitada pelos judaizantes (judeus que sentiam que os gentios não poderiam ser salvos sem, antes, tornarem-se judeus). Nele discutiu-se que os gentios convertidos precisavam guardar a Lei de Moisés.</w:t>
      </w:r>
    </w:p>
    <w:p w14:paraId="73A314B1"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 xml:space="preserve">A composição exata desse Concilio não é conhecida. Outros apóstolos além de Pedro, Paulo e Tiago devem ter sido convocados e devem ter estado presentes em Jerusalém. As pessoas mais interessadas nessa questão são os apóstolos presentes em Jerusalém, os anciãos da igreja e a delegação de </w:t>
      </w:r>
      <w:proofErr w:type="spellStart"/>
      <w:r w:rsidRPr="00F6667A">
        <w:rPr>
          <w:rFonts w:ascii="Times New Roman" w:eastAsia="Times New Roman" w:hAnsi="Times New Roman" w:cs="Times New Roman"/>
          <w:color w:val="303030"/>
          <w:sz w:val="24"/>
          <w:szCs w:val="24"/>
          <w:lang w:eastAsia="pt-BR"/>
        </w:rPr>
        <w:t>Antioquia</w:t>
      </w:r>
      <w:proofErr w:type="spellEnd"/>
      <w:r w:rsidRPr="00F6667A">
        <w:rPr>
          <w:rFonts w:ascii="Times New Roman" w:eastAsia="Times New Roman" w:hAnsi="Times New Roman" w:cs="Times New Roman"/>
          <w:color w:val="303030"/>
          <w:sz w:val="24"/>
          <w:szCs w:val="24"/>
          <w:lang w:eastAsia="pt-BR"/>
        </w:rPr>
        <w:t xml:space="preserve">, mas os versículos 12 e 22 indicam que esse debate ocorreu na presença de toda a igreja. O debate completo era permitido, e então Pedro, Paulo e Barnabé levaram a discussão à conclusão para que Tiago, que teria presidido a reunião, pudesse propor uma solução. O argumento do partido legalista deve ter tido forte efeito de persuasão, e as indicações que são dadas no Novo Testamento mostram que eles conseguiram persuadir grande número de pessoas, o que explica a </w:t>
      </w:r>
      <w:r w:rsidRPr="00F6667A">
        <w:rPr>
          <w:rFonts w:ascii="Times New Roman" w:eastAsia="Times New Roman" w:hAnsi="Times New Roman" w:cs="Times New Roman"/>
          <w:color w:val="303030"/>
          <w:sz w:val="24"/>
          <w:szCs w:val="24"/>
          <w:lang w:eastAsia="pt-BR"/>
        </w:rPr>
        <w:lastRenderedPageBreak/>
        <w:t>grande controvérsia daí resultante, que também já tinha levado o apóstolo Paulo escrever a Epístola aos Gálatas.</w:t>
      </w:r>
    </w:p>
    <w:p w14:paraId="525DBF90"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2. O relatório de Pedro (vv. 7-11)</w:t>
      </w:r>
      <w:r w:rsidRPr="00F6667A">
        <w:rPr>
          <w:rFonts w:ascii="Times New Roman" w:eastAsia="Times New Roman" w:hAnsi="Times New Roman" w:cs="Times New Roman"/>
          <w:color w:val="303030"/>
          <w:sz w:val="24"/>
          <w:szCs w:val="24"/>
          <w:lang w:eastAsia="pt-BR"/>
        </w:rPr>
        <w:t xml:space="preserve"> Pedro toma a palavra após “grande discussão” como defesa da graça, recordando o que Deus já havia feito entre os gentios através do seu ministério, especialmente no caso de Cornélio (At 10). Ele testemunhou que o Espírito Santo desceu sobre eles antes mesmo do batismo em água, provando que a aceitação divina não depende de observância ritual. O seu discurso é dividido em quatro partes principais:</w:t>
      </w:r>
    </w:p>
    <w:p w14:paraId="718ADB7D"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1. A escolha divina e o testemunho do Espírito Santo (vv. 7,8)</w:t>
      </w:r>
      <w:r w:rsidRPr="00F6667A">
        <w:rPr>
          <w:rFonts w:ascii="Times New Roman" w:eastAsia="Times New Roman" w:hAnsi="Times New Roman" w:cs="Times New Roman"/>
          <w:color w:val="303030"/>
          <w:sz w:val="24"/>
          <w:szCs w:val="24"/>
          <w:lang w:eastAsia="pt-BR"/>
        </w:rPr>
        <w:t xml:space="preserve"> Ele lembra que Deus foi quem o escolheu para pregar aos gentios, e o próprio Espírito Santo confirmou a aceitação divina deles, sem distinção entre judeus e gentios: “Deus me elegeu dentre vós, para que os gentios ouvissem da minha boca a palavra do evangelho e cressem”. Nessa primeira parte, aprendemos que é Deus quem chama e salva, não as tradições humanas. A salvação é uma ação soberana do Espírito Santo.</w:t>
      </w:r>
    </w:p>
    <w:p w14:paraId="771344FD"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2. A purificação dos corações pela fé (v. 9)</w:t>
      </w:r>
      <w:r w:rsidRPr="00F6667A">
        <w:rPr>
          <w:rFonts w:ascii="Times New Roman" w:eastAsia="Times New Roman" w:hAnsi="Times New Roman" w:cs="Times New Roman"/>
          <w:color w:val="303030"/>
          <w:sz w:val="24"/>
          <w:szCs w:val="24"/>
          <w:lang w:eastAsia="pt-BR"/>
        </w:rPr>
        <w:t xml:space="preserve"> “E não fez diferença alguma entre eles e nós, purificando o seu coração pela fé”. Pedro eleva o debate ao nível espiritual, deixando claro que o problema não é externo, mas interno. Pedro destaca que a fé, e não a Lei, é o meio pelo qual Deus purifica o coração. A circuncisão da carne nada vale; o que importa é a circuncisão do coração, operada pelo Espírito (</w:t>
      </w:r>
      <w:proofErr w:type="spellStart"/>
      <w:r w:rsidRPr="00F6667A">
        <w:rPr>
          <w:rFonts w:ascii="Times New Roman" w:eastAsia="Times New Roman" w:hAnsi="Times New Roman" w:cs="Times New Roman"/>
          <w:color w:val="303030"/>
          <w:sz w:val="24"/>
          <w:szCs w:val="24"/>
          <w:lang w:eastAsia="pt-BR"/>
        </w:rPr>
        <w:t>Rm</w:t>
      </w:r>
      <w:proofErr w:type="spellEnd"/>
      <w:r w:rsidRPr="00F6667A">
        <w:rPr>
          <w:rFonts w:ascii="Times New Roman" w:eastAsia="Times New Roman" w:hAnsi="Times New Roman" w:cs="Times New Roman"/>
          <w:color w:val="303030"/>
          <w:sz w:val="24"/>
          <w:szCs w:val="24"/>
          <w:lang w:eastAsia="pt-BR"/>
        </w:rPr>
        <w:t xml:space="preserve"> 2.29). Dessa forma, Pedro reafirma a obra regeneradora da graça: Deus purifica o interior, transformando o pecador em nova criatura. Ele testemunhou como Deus concedeu o Espírito Santo aos gentios, assim como aos judeus. Na segunda parte, vemos que a verdadeira santidade nasce da fé em Cristo, e não de ritos ou práticas externas.</w:t>
      </w:r>
    </w:p>
    <w:p w14:paraId="394AA468"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3. A advertência contra o jugo da Lei (v. 10)</w:t>
      </w:r>
      <w:r w:rsidRPr="00F6667A">
        <w:rPr>
          <w:rFonts w:ascii="Times New Roman" w:eastAsia="Times New Roman" w:hAnsi="Times New Roman" w:cs="Times New Roman"/>
          <w:color w:val="303030"/>
          <w:sz w:val="24"/>
          <w:szCs w:val="24"/>
          <w:lang w:eastAsia="pt-BR"/>
        </w:rPr>
        <w:t xml:space="preserve"> Pedro denuncia a tentativa de impor aos gentios o fardo da Lei Mosaica, algo que nem os próprios judeus conseguiram carregar plenamente: “Agora, pois, por que tentais a Deus, pondo sobre a cerviz dos discípulos um jugo que nem nossos pais puderam suportar?”. O discurso de Pedro demonstra que a fé em Cristo é suficiente para a purificação do coração, rejeitando o jugo da Lei para os gentios. Ao chamar a Lei de “jugo”, Pedro denuncia o perigo do legalismo e exalta a liberdade cristã. A liberdade que Cristo concede não é libertinagem, mas libertação do poder da culpa e do medo para servir a Deus em amor e obediência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5.1). Nesta terceira parte, observamos que a religião legalista é um peso que o homem não pode suportar; Cristo veio para libertar-nos desse jugo (</w:t>
      </w:r>
      <w:proofErr w:type="spellStart"/>
      <w:r w:rsidRPr="00F6667A">
        <w:rPr>
          <w:rFonts w:ascii="Times New Roman" w:eastAsia="Times New Roman" w:hAnsi="Times New Roman" w:cs="Times New Roman"/>
          <w:color w:val="303030"/>
          <w:sz w:val="24"/>
          <w:szCs w:val="24"/>
          <w:lang w:eastAsia="pt-BR"/>
        </w:rPr>
        <w:t>Mt</w:t>
      </w:r>
      <w:proofErr w:type="spellEnd"/>
      <w:r w:rsidRPr="00F6667A">
        <w:rPr>
          <w:rFonts w:ascii="Times New Roman" w:eastAsia="Times New Roman" w:hAnsi="Times New Roman" w:cs="Times New Roman"/>
          <w:color w:val="303030"/>
          <w:sz w:val="24"/>
          <w:szCs w:val="24"/>
          <w:lang w:eastAsia="pt-BR"/>
        </w:rPr>
        <w:t xml:space="preserve"> 11.28-30).</w:t>
      </w:r>
    </w:p>
    <w:p w14:paraId="7F92056A"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4. A conclusão: salvação pela graça (v. 11)</w:t>
      </w:r>
      <w:r w:rsidRPr="00F6667A">
        <w:rPr>
          <w:rFonts w:ascii="Times New Roman" w:eastAsia="Times New Roman" w:hAnsi="Times New Roman" w:cs="Times New Roman"/>
          <w:color w:val="303030"/>
          <w:sz w:val="24"/>
          <w:szCs w:val="24"/>
          <w:lang w:eastAsia="pt-BR"/>
        </w:rPr>
        <w:t xml:space="preserve"> “Mas cremos que seremos salvos pela graça do Senhor Jesus Cristo, como eles também”. Essa frase final de Pedro resume toda a teologia paulina e o coração do Evangelho. A graça é a iniciativa de Deus, o meio de salvação e a base da comunhão entre crentes de todas as origens. Fica claro para nós, nessa quarta e última parte do seu discurso, que a graça é o fundamento da comunhão cristã e da missão da Igreja.</w:t>
      </w:r>
    </w:p>
    <w:p w14:paraId="1FE6B955"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3. O relatório de Paulo e Barnabé (v. 12)</w:t>
      </w:r>
      <w:r w:rsidRPr="00F6667A">
        <w:rPr>
          <w:rFonts w:ascii="Times New Roman" w:eastAsia="Times New Roman" w:hAnsi="Times New Roman" w:cs="Times New Roman"/>
          <w:color w:val="303030"/>
          <w:sz w:val="24"/>
          <w:szCs w:val="24"/>
          <w:lang w:eastAsia="pt-BR"/>
        </w:rPr>
        <w:t xml:space="preserve"> O discurso de Barnabé, em conjunto com Paulo, no Concílio de Jerusalém é um dos momentos mais importantes de Atos 15. Embora o texto de Atos 15.12 não traga as palavras exatas de Barnabé, ele registra que: “Então, toda a multidão se calou e escutava a Barnabé e a Paulo, que contavam quão grandes sinais e prodígios Deus havia feito por meio deles entre os gentios”, confirmando o evangelho da graça. O silêncio foi o reconhecimento coletivo de que ninguém pode argumentar contra o que Deus faz.</w:t>
      </w:r>
    </w:p>
    <w:p w14:paraId="7160B53D"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 xml:space="preserve">O testemunho de Barnabé não foi teórico, mas experimental. Eles narraram sinais e prodígios que acompanharam a pregação entre os gentios (At 14.3; 8-10). Barnabé demonstra que o ministério missionário é evidenciado pelos frutos do Espírito. O próprio </w:t>
      </w:r>
      <w:r w:rsidRPr="00F6667A">
        <w:rPr>
          <w:rFonts w:ascii="Times New Roman" w:eastAsia="Times New Roman" w:hAnsi="Times New Roman" w:cs="Times New Roman"/>
          <w:color w:val="303030"/>
          <w:sz w:val="24"/>
          <w:szCs w:val="24"/>
          <w:lang w:eastAsia="pt-BR"/>
        </w:rPr>
        <w:lastRenderedPageBreak/>
        <w:t>Deus encarregou-se de validar o ministério dos apóstolos com sinais, demostrando que a Nova Aliança rompe as fronteiras do judaísmo, aprovando a inclusão dos gentios.</w:t>
      </w:r>
    </w:p>
    <w:p w14:paraId="2615CA51"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 xml:space="preserve">O caráter conciliador e espiritual de Barnabé tornou uma voz equilibrada no Concilio — um elo equilibrado entre judeus e gentios. Esse testemunho teve um peso enorme na decisão final do Concilio. Barnabé representa o missionário que testemunha com simplicidade o que Deus faz, e o seu discurso silencioso, porém poderoso, selou a vitória da graça sobre o legalismo. Barnabé sempre se destacou pela capacidade de unir pessoas e promover reconciliação. Ele intercedeu por Paulo quando ninguém confiava nele (9.27) e trabalhou em harmonia com a igreja de Jerusalém e </w:t>
      </w:r>
      <w:proofErr w:type="spellStart"/>
      <w:r w:rsidRPr="00F6667A">
        <w:rPr>
          <w:rFonts w:ascii="Times New Roman" w:eastAsia="Times New Roman" w:hAnsi="Times New Roman" w:cs="Times New Roman"/>
          <w:color w:val="303030"/>
          <w:sz w:val="24"/>
          <w:szCs w:val="24"/>
          <w:lang w:eastAsia="pt-BR"/>
        </w:rPr>
        <w:t>Antioquia</w:t>
      </w:r>
      <w:proofErr w:type="spellEnd"/>
      <w:r w:rsidRPr="00F6667A">
        <w:rPr>
          <w:rFonts w:ascii="Times New Roman" w:eastAsia="Times New Roman" w:hAnsi="Times New Roman" w:cs="Times New Roman"/>
          <w:color w:val="303030"/>
          <w:sz w:val="24"/>
          <w:szCs w:val="24"/>
          <w:lang w:eastAsia="pt-BR"/>
        </w:rPr>
        <w:t xml:space="preserve"> (11.22-26). No Concilio, foi ponte de entendimento entre judeus e gentios. Ele representa o cristão cheio de graça, fé e equilíbrio, capaz de unir a Igreja pela verdade e pelo amor. A igreja de hoje deve, assim como Barnabé, testemunhar com humildade, dar glória a Deus e anunciar o evangelho sem barreiras.</w:t>
      </w:r>
    </w:p>
    <w:p w14:paraId="2CFF414C"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Embora Lucas apresente Paulo e Barnabé falando juntos (v. 12), o testemunho paulino — confirmado nas suas próprias epístolas — foi central para afirmar a liberdade cristã e a salvação pela graça, não pela Lei.</w:t>
      </w:r>
    </w:p>
    <w:p w14:paraId="5778B91B"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Apresentação do evangelho da Graça</w:t>
      </w:r>
      <w:r w:rsidRPr="00F6667A">
        <w:rPr>
          <w:rFonts w:ascii="Times New Roman" w:eastAsia="Times New Roman" w:hAnsi="Times New Roman" w:cs="Times New Roman"/>
          <w:color w:val="303030"/>
          <w:sz w:val="24"/>
          <w:szCs w:val="24"/>
          <w:lang w:eastAsia="pt-BR"/>
        </w:rPr>
        <w:t xml:space="preserve"> </w:t>
      </w:r>
      <w:proofErr w:type="gramStart"/>
      <w:r w:rsidRPr="00F6667A">
        <w:rPr>
          <w:rFonts w:ascii="Times New Roman" w:eastAsia="Times New Roman" w:hAnsi="Times New Roman" w:cs="Times New Roman"/>
          <w:color w:val="303030"/>
          <w:sz w:val="24"/>
          <w:szCs w:val="24"/>
          <w:lang w:eastAsia="pt-BR"/>
        </w:rPr>
        <w:t>“ [...]</w:t>
      </w:r>
      <w:proofErr w:type="gramEnd"/>
      <w:r w:rsidRPr="00F6667A">
        <w:rPr>
          <w:rFonts w:ascii="Times New Roman" w:eastAsia="Times New Roman" w:hAnsi="Times New Roman" w:cs="Times New Roman"/>
          <w:color w:val="303030"/>
          <w:sz w:val="24"/>
          <w:szCs w:val="24"/>
          <w:lang w:eastAsia="pt-BR"/>
        </w:rPr>
        <w:t xml:space="preserve"> expus o evangelho que prego entre os gentios”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2.2). Paulo apresenta o mesmo evangelho que pregava fora de Jerusalém: Cristo crucificado e ressurreto como único meio de salvação. Ele mostra que os gentios estavam sendo transformados sem as práticas judaicas, provando que a graça é suficiente.</w:t>
      </w:r>
    </w:p>
    <w:p w14:paraId="4D621900"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Rejeição do Legalismo</w:t>
      </w:r>
      <w:r w:rsidRPr="00F6667A">
        <w:rPr>
          <w:rFonts w:ascii="Times New Roman" w:eastAsia="Times New Roman" w:hAnsi="Times New Roman" w:cs="Times New Roman"/>
          <w:color w:val="303030"/>
          <w:sz w:val="24"/>
          <w:szCs w:val="24"/>
          <w:lang w:eastAsia="pt-BR"/>
        </w:rPr>
        <w:t xml:space="preserve"> “Mas nem ainda Tito, que estava comigo, sendo grego, foi obrigado a circuncidar-se”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2.3). Paulo mostra que o legalismo é um retrocesso espiritual: voltar à Lei é negar a suficiência da cruz, seria negar o sacrifício de Cristo. O apóstolo apresenta a experiência missionária e reafirma que os gentios não precisam cumprir a Lei para serem salvos (At 15.12;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2.1-10). O discurso de Paulo confirma a suficiência da cruz e da graça, reforçando que a verdadeira autoridade vem do chamado divino. Por essa razão, ele defendeu a liberdade do evangelho com firmeza e coragem mesmo diante de líderes influentes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2.4,5). A liberdade cristã, porém, não é rebeldia, mas vida guiada pelo Espírito e sustentada pela graça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5.1,13). A graça liberta o crente da escravidão religiosa e chama-o à liberdade do Espírito.</w:t>
      </w:r>
    </w:p>
    <w:p w14:paraId="4765E6D2"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Reconhecimento Apostólico</w:t>
      </w:r>
      <w:r w:rsidRPr="00F6667A">
        <w:rPr>
          <w:rFonts w:ascii="Times New Roman" w:eastAsia="Times New Roman" w:hAnsi="Times New Roman" w:cs="Times New Roman"/>
          <w:color w:val="303030"/>
          <w:sz w:val="24"/>
          <w:szCs w:val="24"/>
          <w:lang w:eastAsia="pt-BR"/>
        </w:rPr>
        <w:t xml:space="preserve"> “[...] reconheceram a graça que me foi dada”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2.9, NVT). Paulo declara que o evangelho que ele prega não é humano, mas recebido por revelação direta de Cristo (</w:t>
      </w:r>
      <w:proofErr w:type="spellStart"/>
      <w:r w:rsidRPr="00F6667A">
        <w:rPr>
          <w:rFonts w:ascii="Times New Roman" w:eastAsia="Times New Roman" w:hAnsi="Times New Roman" w:cs="Times New Roman"/>
          <w:color w:val="303030"/>
          <w:sz w:val="24"/>
          <w:szCs w:val="24"/>
          <w:lang w:eastAsia="pt-BR"/>
        </w:rPr>
        <w:t>Gl</w:t>
      </w:r>
      <w:proofErr w:type="spellEnd"/>
      <w:r w:rsidRPr="00F6667A">
        <w:rPr>
          <w:rFonts w:ascii="Times New Roman" w:eastAsia="Times New Roman" w:hAnsi="Times New Roman" w:cs="Times New Roman"/>
          <w:color w:val="303030"/>
          <w:sz w:val="24"/>
          <w:szCs w:val="24"/>
          <w:lang w:eastAsia="pt-BR"/>
        </w:rPr>
        <w:t xml:space="preserve"> 1.11,12). Assim, ele fala no Concilio com autoridade divina e apresenta as provas do agir de Deus entre os gentios.</w:t>
      </w:r>
    </w:p>
    <w:p w14:paraId="2B54ED9E"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Após o discurso e o testemunho de Paulo, o Concílio reconheceu a legitimidade da sua missão, a autenticidade do evangelho que ele pregava, bem como o que o próprio Deus já havia feito. Pedro, Tiago e João reconheceram que Paulo havia recebido de Deus o ministério entre os gentios. O versículo começa com os líderes da igreja, Tiago, Pedro e João, reconhecendo a autoridade e a graça que Deus concedeu a Paulo para o ministério entre os não judeus. Eles estenderam a mão direita a Paulo e Barnabé, um sinal de comunhão e de que todos trabalhavam juntos no plano de Deus, selando a unidade do evangelho. Foi acordado que Paulo e Barnabé diligentemente se dedicariam ao trabalho com os gentios (não judeus), enquanto os outros apóstolos ficariam mais concentrados em evangelizar os judeus. Como uma condição para a comunhão, os apóstolos pediram que Paulo e Barnabé lembrassem-se de ajudar os pobres, algo que Paulo comprometeu-se a fazer. O versículo demonstra a unidade na diversidade entre os apóstolos, que reconheceram a missão específica de cada um para propagar o evangelho, reforçando o objetivo de levar a salvação a todos os povos.</w:t>
      </w:r>
    </w:p>
    <w:p w14:paraId="742C8C61"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lastRenderedPageBreak/>
        <w:t xml:space="preserve">Assim, o Concílio uniu doutrina, experiência e comunhão, mostrando que a Igreja pode ser diversa, porém fiel à mesma </w:t>
      </w:r>
      <w:proofErr w:type="gramStart"/>
      <w:r w:rsidRPr="00F6667A">
        <w:rPr>
          <w:rFonts w:ascii="Times New Roman" w:eastAsia="Times New Roman" w:hAnsi="Times New Roman" w:cs="Times New Roman"/>
          <w:color w:val="303030"/>
          <w:sz w:val="24"/>
          <w:szCs w:val="24"/>
          <w:lang w:eastAsia="pt-BR"/>
        </w:rPr>
        <w:t>graça!.</w:t>
      </w:r>
      <w:proofErr w:type="gramEnd"/>
      <w:r w:rsidRPr="00F6667A">
        <w:rPr>
          <w:rFonts w:ascii="Times New Roman" w:eastAsia="Times New Roman" w:hAnsi="Times New Roman" w:cs="Times New Roman"/>
          <w:color w:val="303030"/>
          <w:sz w:val="24"/>
          <w:szCs w:val="24"/>
          <w:lang w:eastAsia="pt-BR"/>
        </w:rPr>
        <w:t xml:space="preserve"> A partir </w:t>
      </w:r>
      <w:proofErr w:type="gramStart"/>
      <w:r w:rsidRPr="00F6667A">
        <w:rPr>
          <w:rFonts w:ascii="Times New Roman" w:eastAsia="Times New Roman" w:hAnsi="Times New Roman" w:cs="Times New Roman"/>
          <w:color w:val="303030"/>
          <w:sz w:val="24"/>
          <w:szCs w:val="24"/>
          <w:lang w:eastAsia="pt-BR"/>
        </w:rPr>
        <w:t>dali, a</w:t>
      </w:r>
      <w:proofErr w:type="gramEnd"/>
      <w:r w:rsidRPr="00F6667A">
        <w:rPr>
          <w:rFonts w:ascii="Times New Roman" w:eastAsia="Times New Roman" w:hAnsi="Times New Roman" w:cs="Times New Roman"/>
          <w:color w:val="303030"/>
          <w:sz w:val="24"/>
          <w:szCs w:val="24"/>
          <w:lang w:eastAsia="pt-BR"/>
        </w:rPr>
        <w:t xml:space="preserve"> Igreja compreendeu que a salvação não é uma mistura de Lei e Graça, mas unicamente pela graça de Deus em Cristo Jesus.</w:t>
      </w:r>
    </w:p>
    <w:p w14:paraId="6C12581A"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4. O discurso de Tiago (vv. 13-21)</w:t>
      </w:r>
      <w:r w:rsidRPr="00F6667A">
        <w:rPr>
          <w:rFonts w:ascii="Times New Roman" w:eastAsia="Times New Roman" w:hAnsi="Times New Roman" w:cs="Times New Roman"/>
          <w:color w:val="303030"/>
          <w:sz w:val="24"/>
          <w:szCs w:val="24"/>
          <w:lang w:eastAsia="pt-BR"/>
        </w:rPr>
        <w:t xml:space="preserve"> O discurso de Tiago é o ponto culminante no Concílio de Jerusalém (At 15.13-21), pois é o momento de conclusão e síntese das falas de Pedro, Barnabé e Paulo. Ele não contradiz os apóstolos; antes, harmoniza fé, graça e comunhão. A fala de Tiago não divide, une. Ele respeita as raízes judaicas da fé cristã, porém afirma a liberdade dos gentios. Tiago, líder da igreja em Jerusalém, pronuncia um parecer equilibrado, bíblico e conciliador, demonstrando a maturidade da liderança cristã guiada pelo Espírito Santo que unifica Escritura, doutrina e experiência, encerrando a controvérsia sobre a salvação dos gentios, propondo equilíbrio entre liberdade dos gentios e responsabilidade moral (15.13-21).</w:t>
      </w:r>
    </w:p>
    <w:p w14:paraId="16CAC8D2"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“E, havendo-se calado, respondeu Tiago, dizendo: Irmãos, ouvi-me. Simão relatou como primeiramente Deus visitou os gentios, para tomar deles um povo para o seu nome.” (At 15.13,14).</w:t>
      </w:r>
    </w:p>
    <w:p w14:paraId="7C86DF00"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Tiago (não o apóstolo que já havia sido martirizado em Atos 12.2) era irmão do Senhor Jesus (</w:t>
      </w:r>
      <w:proofErr w:type="spellStart"/>
      <w:r w:rsidRPr="00F6667A">
        <w:rPr>
          <w:rFonts w:ascii="Times New Roman" w:eastAsia="Times New Roman" w:hAnsi="Times New Roman" w:cs="Times New Roman"/>
          <w:color w:val="303030"/>
          <w:sz w:val="24"/>
          <w:szCs w:val="24"/>
          <w:lang w:eastAsia="pt-BR"/>
        </w:rPr>
        <w:t>Mt</w:t>
      </w:r>
      <w:proofErr w:type="spellEnd"/>
      <w:r w:rsidRPr="00F6667A">
        <w:rPr>
          <w:rFonts w:ascii="Times New Roman" w:eastAsia="Times New Roman" w:hAnsi="Times New Roman" w:cs="Times New Roman"/>
          <w:color w:val="303030"/>
          <w:sz w:val="24"/>
          <w:szCs w:val="24"/>
          <w:lang w:eastAsia="pt-BR"/>
        </w:rPr>
        <w:t xml:space="preserve"> 13.55) e líder da Igreja em Jerusalém (At 12.17; 21.18). Era conhecido pela devoção e fidelidade à Lei, porém compreendeu que a Lei foi cumprida em Cristo. A sua sabedoria, equilíbrio e piedade, sendo chamado “Tiago, o Justo”, mostra que o conhecimento bíblico verdadeiro conduz à graça, e não ao legalismo. Deus usa líderes equilibrados e cheios do Espírito Santo para manter a Igreja </w:t>
      </w:r>
      <w:proofErr w:type="gramStart"/>
      <w:r w:rsidRPr="00F6667A">
        <w:rPr>
          <w:rFonts w:ascii="Times New Roman" w:eastAsia="Times New Roman" w:hAnsi="Times New Roman" w:cs="Times New Roman"/>
          <w:color w:val="303030"/>
          <w:sz w:val="24"/>
          <w:szCs w:val="24"/>
          <w:lang w:eastAsia="pt-BR"/>
        </w:rPr>
        <w:t>unida!.</w:t>
      </w:r>
      <w:proofErr w:type="gramEnd"/>
    </w:p>
    <w:p w14:paraId="5D26047A"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 Chamada à atenção (At 15.13)</w:t>
      </w:r>
      <w:r w:rsidRPr="00F6667A">
        <w:rPr>
          <w:rFonts w:ascii="Times New Roman" w:eastAsia="Times New Roman" w:hAnsi="Times New Roman" w:cs="Times New Roman"/>
          <w:color w:val="303030"/>
          <w:sz w:val="24"/>
          <w:szCs w:val="24"/>
          <w:lang w:eastAsia="pt-BR"/>
        </w:rPr>
        <w:t xml:space="preserve"> </w:t>
      </w:r>
      <w:proofErr w:type="gramStart"/>
      <w:r w:rsidRPr="00F6667A">
        <w:rPr>
          <w:rFonts w:ascii="Times New Roman" w:eastAsia="Times New Roman" w:hAnsi="Times New Roman" w:cs="Times New Roman"/>
          <w:color w:val="303030"/>
          <w:sz w:val="24"/>
          <w:szCs w:val="24"/>
          <w:lang w:eastAsia="pt-BR"/>
        </w:rPr>
        <w:t>“ [...]</w:t>
      </w:r>
      <w:proofErr w:type="gramEnd"/>
      <w:r w:rsidRPr="00F6667A">
        <w:rPr>
          <w:rFonts w:ascii="Times New Roman" w:eastAsia="Times New Roman" w:hAnsi="Times New Roman" w:cs="Times New Roman"/>
          <w:color w:val="303030"/>
          <w:sz w:val="24"/>
          <w:szCs w:val="24"/>
          <w:lang w:eastAsia="pt-BR"/>
        </w:rPr>
        <w:t xml:space="preserve"> Varões irmãos, ouvi-me”. Tiago fala com autoridade pastoral e serenidade. A sua introdução mostra ordem e respeito, pedindo a atenção ao parecer que será guiado pela Palavra de Deus. A sabedoria espiritual fala com serenidade e base na Palavra de Deus, não com emoção ou imposição.</w:t>
      </w:r>
    </w:p>
    <w:p w14:paraId="1686915E"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 confirmação do testemunho de Pedro (v. 14)</w:t>
      </w:r>
      <w:r w:rsidRPr="00F6667A">
        <w:rPr>
          <w:rFonts w:ascii="Times New Roman" w:eastAsia="Times New Roman" w:hAnsi="Times New Roman" w:cs="Times New Roman"/>
          <w:color w:val="303030"/>
          <w:sz w:val="24"/>
          <w:szCs w:val="24"/>
          <w:lang w:eastAsia="pt-BR"/>
        </w:rPr>
        <w:t xml:space="preserve"> “Simão relatou como, primeiramente, Deus visitou os gentios”. Tiago confirma o que Pedro dissera sobre a conversão de Cornélio (At 10). Ele reconhece que Deus mesmo tomou a iniciativa de alcançar os gentios, formando deles “um povo para o seu nome”. A Igreja não define quem será salvo; Deus chama quem quer, pela </w:t>
      </w:r>
      <w:proofErr w:type="gramStart"/>
      <w:r w:rsidRPr="00F6667A">
        <w:rPr>
          <w:rFonts w:ascii="Times New Roman" w:eastAsia="Times New Roman" w:hAnsi="Times New Roman" w:cs="Times New Roman"/>
          <w:color w:val="303030"/>
          <w:sz w:val="24"/>
          <w:szCs w:val="24"/>
          <w:lang w:eastAsia="pt-BR"/>
        </w:rPr>
        <w:t>graça!.</w:t>
      </w:r>
      <w:proofErr w:type="gramEnd"/>
    </w:p>
    <w:p w14:paraId="43837CD8"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 prova bíblica (vv. 15-18)</w:t>
      </w:r>
      <w:r w:rsidRPr="00F6667A">
        <w:rPr>
          <w:rFonts w:ascii="Times New Roman" w:eastAsia="Times New Roman" w:hAnsi="Times New Roman" w:cs="Times New Roman"/>
          <w:color w:val="303030"/>
          <w:sz w:val="24"/>
          <w:szCs w:val="24"/>
          <w:lang w:eastAsia="pt-BR"/>
        </w:rPr>
        <w:t xml:space="preserve"> “E com isto concordam as palavras dos profetas [...]”. Ao citar Amós 9.11,12, Tiago demonstra que a inclusão dos gentios não era um acidente, mas parte do plano eterno de Deus: “Para que o resto dos homens busque ao Senhor, e também todos os gentios sobre os quais o meu nome é invocado” (v. 17). Toda decisão espiritual deve estar fundamentada na Palavra de Deus. A experiência confirma a Escritura; a Escritura interpreta a experiência.</w:t>
      </w:r>
    </w:p>
    <w:p w14:paraId="26593F11"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 conclusão prática (vv. 19,20)</w:t>
      </w:r>
      <w:r w:rsidRPr="00F6667A">
        <w:rPr>
          <w:rFonts w:ascii="Times New Roman" w:eastAsia="Times New Roman" w:hAnsi="Times New Roman" w:cs="Times New Roman"/>
          <w:color w:val="303030"/>
          <w:sz w:val="24"/>
          <w:szCs w:val="24"/>
          <w:lang w:eastAsia="pt-BR"/>
        </w:rPr>
        <w:t xml:space="preserve"> “Pelo que julgo que não se deve perturbar aqueles, dentre os gentios, que se convertem a Deus”. Após um grande debate, Tiago propõe uma solução equilibrada e bíblica: não impor aos gentios o peso da Lei; ou seja, a circuncisão e a obediência </w:t>
      </w:r>
      <w:proofErr w:type="gramStart"/>
      <w:r w:rsidRPr="00F6667A">
        <w:rPr>
          <w:rFonts w:ascii="Times New Roman" w:eastAsia="Times New Roman" w:hAnsi="Times New Roman" w:cs="Times New Roman"/>
          <w:color w:val="303030"/>
          <w:sz w:val="24"/>
          <w:szCs w:val="24"/>
          <w:lang w:eastAsia="pt-BR"/>
        </w:rPr>
        <w:t>completa</w:t>
      </w:r>
      <w:proofErr w:type="gramEnd"/>
      <w:r w:rsidRPr="00F6667A">
        <w:rPr>
          <w:rFonts w:ascii="Times New Roman" w:eastAsia="Times New Roman" w:hAnsi="Times New Roman" w:cs="Times New Roman"/>
          <w:color w:val="303030"/>
          <w:sz w:val="24"/>
          <w:szCs w:val="24"/>
          <w:lang w:eastAsia="pt-BR"/>
        </w:rPr>
        <w:t xml:space="preserve"> à Lei Mosaica não eram requisitos para a salvação, pois esta é alcançada pela graça de Deus, por meio da fé em Jesus Cristo, e não pela observância de ritos judaicos. Os gentios convertidos deveriam, no entanto, abster-se de certas práticas pagãs para facilitar a comunhão com os cristãos judeus, tais como a idolatria, a imoralidade, a carne sufocada e o sangue.</w:t>
      </w:r>
    </w:p>
    <w:p w14:paraId="48D5256C"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A Justificativa Pastoral (v. 21)</w:t>
      </w:r>
      <w:r w:rsidRPr="00F6667A">
        <w:rPr>
          <w:rFonts w:ascii="Times New Roman" w:eastAsia="Times New Roman" w:hAnsi="Times New Roman" w:cs="Times New Roman"/>
          <w:color w:val="303030"/>
          <w:sz w:val="24"/>
          <w:szCs w:val="24"/>
          <w:lang w:eastAsia="pt-BR"/>
        </w:rPr>
        <w:t xml:space="preserve"> “Porque Moisés, desde os tempos antigos, tem em cada cidade quem o pregue”. Tiago mostra sensibilidade para com os judeus: havia judeus convertidos por toda a parte, e seria necessário evitar escândalo. Ele propõe, portanto, um caminho de paz e testemunho sem comprometer a verdade do evangelho.</w:t>
      </w:r>
    </w:p>
    <w:p w14:paraId="34098D8E"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i/>
          <w:iCs/>
          <w:color w:val="303030"/>
          <w:sz w:val="24"/>
          <w:szCs w:val="24"/>
          <w:lang w:eastAsia="pt-BR"/>
        </w:rPr>
        <w:t>Resultados do Discurso</w:t>
      </w:r>
      <w:r w:rsidRPr="00F6667A">
        <w:rPr>
          <w:rFonts w:ascii="Times New Roman" w:eastAsia="Times New Roman" w:hAnsi="Times New Roman" w:cs="Times New Roman"/>
          <w:color w:val="303030"/>
          <w:sz w:val="24"/>
          <w:szCs w:val="24"/>
          <w:lang w:eastAsia="pt-BR"/>
        </w:rPr>
        <w:t xml:space="preserve"> O parecer de Tiago foi aceito por toda a assembleia (At 15.22). Uma carta foi enviada às igrejas gentílicas, afirmando que a salvação é pela graça, sem a </w:t>
      </w:r>
      <w:r w:rsidRPr="00F6667A">
        <w:rPr>
          <w:rFonts w:ascii="Times New Roman" w:eastAsia="Times New Roman" w:hAnsi="Times New Roman" w:cs="Times New Roman"/>
          <w:color w:val="303030"/>
          <w:sz w:val="24"/>
          <w:szCs w:val="24"/>
          <w:lang w:eastAsia="pt-BR"/>
        </w:rPr>
        <w:lastRenderedPageBreak/>
        <w:t>imposição da Lei (At 15.23-29). O seu discurso resulta em comunhão, alegria e expansão missionária (At 15.30,31). A unidade da Igreja foi preservada, e o evangelho continuou a expandir-se livremente entre as nações.</w:t>
      </w:r>
    </w:p>
    <w:p w14:paraId="6D885AF2"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b/>
          <w:bCs/>
          <w:color w:val="303030"/>
          <w:sz w:val="24"/>
          <w:szCs w:val="24"/>
          <w:lang w:eastAsia="pt-BR"/>
        </w:rPr>
        <w:t>CONCLUSÃO</w:t>
      </w:r>
      <w:r w:rsidRPr="00F6667A">
        <w:rPr>
          <w:rFonts w:ascii="Times New Roman" w:eastAsia="Times New Roman" w:hAnsi="Times New Roman" w:cs="Times New Roman"/>
          <w:color w:val="303030"/>
          <w:sz w:val="24"/>
          <w:szCs w:val="24"/>
          <w:lang w:eastAsia="pt-BR"/>
        </w:rPr>
        <w:t xml:space="preserve"> A realização do Concilio solidificou a doutrina central de que a salvação é pela fé e graça, e não por obras da Lei, e demonstrou um modelo de organização e resolução de conflitos doutrinários através do diálogo e da orientação do Espírito Santo e das Escrituras. A decisão trouxe grande consolo e alegria às comunidades gentias convertidas e permitiu que o evangelho avançasse livremente.</w:t>
      </w:r>
    </w:p>
    <w:p w14:paraId="2315F85E"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 xml:space="preserve">Esse Concilio marcou a transição da igreja de uma identidade judaica para uma igreja universal, aberta a todas as raças e nações sem barreiras culturais e rituais judaicos, aceitando gentios como filhos de Deus. Essa reunião entre as duas igrejas, de Jerusalém e de </w:t>
      </w:r>
      <w:proofErr w:type="spellStart"/>
      <w:r w:rsidRPr="00F6667A">
        <w:rPr>
          <w:rFonts w:ascii="Times New Roman" w:eastAsia="Times New Roman" w:hAnsi="Times New Roman" w:cs="Times New Roman"/>
          <w:color w:val="303030"/>
          <w:sz w:val="24"/>
          <w:szCs w:val="24"/>
          <w:lang w:eastAsia="pt-BR"/>
        </w:rPr>
        <w:t>Antioquia</w:t>
      </w:r>
      <w:proofErr w:type="spellEnd"/>
      <w:r w:rsidRPr="00F6667A">
        <w:rPr>
          <w:rFonts w:ascii="Times New Roman" w:eastAsia="Times New Roman" w:hAnsi="Times New Roman" w:cs="Times New Roman"/>
          <w:color w:val="303030"/>
          <w:sz w:val="24"/>
          <w:szCs w:val="24"/>
          <w:lang w:eastAsia="pt-BR"/>
        </w:rPr>
        <w:t>, foi o acontecimento mais importante do primeiro século do cristianismo.</w:t>
      </w:r>
    </w:p>
    <w:p w14:paraId="1CE5EAC5" w14:textId="77777777" w:rsidR="00F6667A" w:rsidRPr="00F6667A" w:rsidRDefault="00F6667A" w:rsidP="00F6667A">
      <w:pPr>
        <w:spacing w:after="0" w:line="240" w:lineRule="auto"/>
        <w:jc w:val="both"/>
        <w:rPr>
          <w:rFonts w:ascii="Times New Roman" w:eastAsia="Times New Roman" w:hAnsi="Times New Roman" w:cs="Times New Roman"/>
          <w:color w:val="303030"/>
          <w:sz w:val="24"/>
          <w:szCs w:val="24"/>
          <w:lang w:eastAsia="pt-BR"/>
        </w:rPr>
      </w:pPr>
      <w:r w:rsidRPr="00F6667A">
        <w:rPr>
          <w:rFonts w:ascii="Times New Roman" w:eastAsia="Times New Roman" w:hAnsi="Times New Roman" w:cs="Times New Roman"/>
          <w:color w:val="303030"/>
          <w:sz w:val="24"/>
          <w:szCs w:val="24"/>
          <w:lang w:eastAsia="pt-BR"/>
        </w:rPr>
        <w:t>O Concilio de Jerusalém demonstra que a salvação é pela graça, a liberdade cristã deve ser preservada, e a unidade da Igreja é mantida quando se combina Escritura, experiência e sabedoria pastoral. As lições espirituais incluem a importância do testemunho missionário, a autoridade do Espírito e a necessidade de equilíbrio entre liberdade e responsabilidade.</w:t>
      </w:r>
    </w:p>
    <w:p w14:paraId="75061786" w14:textId="77777777" w:rsidR="00F6667A" w:rsidRDefault="00F6667A" w:rsidP="00F6667A">
      <w:pPr>
        <w:jc w:val="both"/>
      </w:pPr>
    </w:p>
    <w:sectPr w:rsidR="00F666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2575</Words>
  <Characters>13911</Characters>
  <Application>Microsoft Office Word</Application>
  <DocSecurity>0</DocSecurity>
  <Lines>115</Lines>
  <Paragraphs>32</Paragraphs>
  <ScaleCrop>false</ScaleCrop>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1</cp:revision>
  <dcterms:created xsi:type="dcterms:W3CDTF">2026-07-06T02:23:00Z</dcterms:created>
  <dcterms:modified xsi:type="dcterms:W3CDTF">2026-07-06T02:26:00Z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