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2E4A" w:val="clear"/>
            <w:tcMar>
              <w:top w:type="dxa" w:w="400"/>
              <w:left w:type="dxa" w:w="500"/>
              <w:bottom w:type="dxa" w:w="400"/>
              <w:right w:type="dxa" w:w="500"/>
            </w:tcMar>
          </w:tcPr>
          <w:p>
            <w:pPr>
              <w:jc w:val="left"/>
            </w:pPr>
            <w:r>
              <w:rPr>
                <w:rFonts w:ascii="Arial" w:cs="Arial" w:eastAsia="Arial" w:hAnsi="Arial"/>
                <w:b/>
                <w:bCs/>
                <w:color w:val="FFFFFF"/>
                <w:sz w:val="44"/>
                <w:szCs w:val="44"/>
              </w:rPr>
              <w:t xml:space="preserve">RAPPORT D'ANALYSE</w:t>
            </w:r>
          </w:p>
          <w:p>
            <w:pPr>
              <w:spacing w:before="80"/>
            </w:pPr>
            <w:r>
              <w:rPr>
                <w:rFonts w:ascii="Arial" w:cs="Arial" w:eastAsia="Arial" w:hAnsi="Arial"/>
                <w:b/>
                <w:bCs/>
                <w:color w:val="A8D8EA"/>
                <w:sz w:val="28"/>
                <w:szCs w:val="28"/>
              </w:rPr>
              <w:t xml:space="preserve">Taux de Désabonnement Client (Customer Churn)</w:t>
            </w:r>
          </w:p>
          <w:p>
            <w:pPr>
              <w:spacing w:before="60"/>
            </w:pPr>
            <w:r>
              <w:rPr>
                <w:rFonts w:ascii="Arial" w:cs="Arial" w:eastAsia="Arial" w:hAnsi="Arial"/>
                <w:color w:val="AABBCC"/>
                <w:sz w:val="18"/>
                <w:szCs w:val="18"/>
              </w:rPr>
              <w:t xml:space="preserve">Databel  ·  Outil : Power BI  ·  Auteur : Haroun Elias  ·  Avril 2026</w:t>
            </w:r>
          </w:p>
        </w:tc>
      </w:tr>
    </w:tbl>
    <w:p>
      <w:pPr>
        <w:spacing w:after="0" w:before="300"/>
      </w:pPr>
      <w:r>
        <w:t xml:space="preserve"/>
      </w:r>
    </w:p>
    <w:p>
      <w:pPr>
        <w:pBdr>
          <w:bottom w:val="single" w:color="2E86AB" w:sz="8" w:space="4"/>
        </w:pBdr>
        <w:spacing w:after="120" w:before="400"/>
      </w:pPr>
      <w:r>
        <w:rPr>
          <w:rFonts w:ascii="Arial" w:cs="Arial" w:eastAsia="Arial" w:hAnsi="Arial"/>
          <w:b/>
          <w:bCs/>
          <w:color w:val="1A2E4A"/>
          <w:spacing w:val="40"/>
          <w:sz w:val="26"/>
          <w:szCs w:val="26"/>
        </w:rPr>
        <w:t xml:space="preserve">1. CONTEXTE &amp; OBJECTIFS</w:t>
      </w:r>
    </w:p>
    <w:p>
      <w:pPr>
        <w:spacing w:after="60" w:before="60"/>
      </w:pPr>
      <w:r>
        <w:rPr>
          <w:rFonts w:ascii="Arial" w:cs="Arial" w:eastAsia="Arial" w:hAnsi="Arial"/>
          <w:color w:val="2D3748"/>
          <w:sz w:val="20"/>
          <w:szCs w:val="20"/>
        </w:rPr>
        <w:t xml:space="preserve">Databel est une entreprise de télécommunications dont la direction souhaite mieux comprendre les raisons du départ de ses clients (churn). L'objectif de cette analyse est d'identifier les segments les plus à risque, de quantifier le phénomène et de proposer des leviers d'action concrets pour réduire le taux de désabonnement.</w:t>
      </w:r>
    </w:p>
    <w:p>
      <w:pPr>
        <w:spacing w:after="0" w:before="80"/>
      </w:pPr>
      <w:r>
        <w:t xml:space="preserve"/>
      </w:r>
    </w:p>
    <w:p>
      <w:pPr>
        <w:spacing w:after="60" w:before="60"/>
      </w:pPr>
      <w:r>
        <w:rPr>
          <w:rFonts w:ascii="Arial" w:cs="Arial" w:eastAsia="Arial" w:hAnsi="Arial"/>
          <w:b/>
          <w:bCs/>
          <w:color w:val="2D3748"/>
          <w:sz w:val="20"/>
          <w:szCs w:val="20"/>
        </w:rPr>
        <w:t xml:space="preserve">Les données analysées proviennent du dataset Databel, structuré autour des dimensions suivantes :</w:t>
      </w:r>
    </w:p>
    <w:p>
      <w:pPr>
        <w:spacing w:after="50" w:before="50"/>
        <w:ind w:left="360" w:hanging="220"/>
      </w:pPr>
      <w:r>
        <w:rPr>
          <w:rFonts w:ascii="Arial" w:cs="Arial" w:eastAsia="Arial" w:hAnsi="Arial"/>
          <w:color w:val="2E86AB"/>
          <w:sz w:val="20"/>
          <w:szCs w:val="20"/>
        </w:rPr>
        <w:t xml:space="preserve">▸  </w:t>
      </w:r>
      <w:r>
        <w:rPr>
          <w:rFonts w:ascii="Arial" w:cs="Arial" w:eastAsia="Arial" w:hAnsi="Arial"/>
          <w:b w:val="false"/>
          <w:bCs w:val="false"/>
          <w:color w:val="2D3748"/>
          <w:sz w:val="20"/>
          <w:szCs w:val="20"/>
        </w:rPr>
        <w:t xml:space="preserve">Données démographiques (âge, genre, groupe)</w:t>
      </w:r>
    </w:p>
    <w:p>
      <w:pPr>
        <w:spacing w:after="50" w:before="50"/>
        <w:ind w:left="360" w:hanging="220"/>
      </w:pPr>
      <w:r>
        <w:rPr>
          <w:rFonts w:ascii="Arial" w:cs="Arial" w:eastAsia="Arial" w:hAnsi="Arial"/>
          <w:color w:val="2E86AB"/>
          <w:sz w:val="20"/>
          <w:szCs w:val="20"/>
        </w:rPr>
        <w:t xml:space="preserve">▸  </w:t>
      </w:r>
      <w:r>
        <w:rPr>
          <w:rFonts w:ascii="Arial" w:cs="Arial" w:eastAsia="Arial" w:hAnsi="Arial"/>
          <w:b w:val="false"/>
          <w:bCs w:val="false"/>
          <w:color w:val="2D3748"/>
          <w:sz w:val="20"/>
          <w:szCs w:val="20"/>
        </w:rPr>
        <w:t xml:space="preserve">Données contractuelles (type de contrat, durée d'ancienneté, méthode de paiement)</w:t>
      </w:r>
    </w:p>
    <w:p>
      <w:pPr>
        <w:spacing w:after="50" w:before="50"/>
        <w:ind w:left="360" w:hanging="220"/>
      </w:pPr>
      <w:r>
        <w:rPr>
          <w:rFonts w:ascii="Arial" w:cs="Arial" w:eastAsia="Arial" w:hAnsi="Arial"/>
          <w:color w:val="2E86AB"/>
          <w:sz w:val="20"/>
          <w:szCs w:val="20"/>
        </w:rPr>
        <w:t xml:space="preserve">▸  </w:t>
      </w:r>
      <w:r>
        <w:rPr>
          <w:rFonts w:ascii="Arial" w:cs="Arial" w:eastAsia="Arial" w:hAnsi="Arial"/>
          <w:b w:val="false"/>
          <w:bCs w:val="false"/>
          <w:color w:val="2D3748"/>
          <w:sz w:val="20"/>
          <w:szCs w:val="20"/>
        </w:rPr>
        <w:t xml:space="preserve">Données de consommation (plan illimité, appels internationaux, consommation en Go)</w:t>
      </w:r>
    </w:p>
    <w:p>
      <w:pPr>
        <w:spacing w:after="50" w:before="50"/>
        <w:ind w:left="360" w:hanging="220"/>
      </w:pPr>
      <w:r>
        <w:rPr>
          <w:rFonts w:ascii="Arial" w:cs="Arial" w:eastAsia="Arial" w:hAnsi="Arial"/>
          <w:color w:val="2E86AB"/>
          <w:sz w:val="20"/>
          <w:szCs w:val="20"/>
        </w:rPr>
        <w:t xml:space="preserve">▸  </w:t>
      </w:r>
      <w:r>
        <w:rPr>
          <w:rFonts w:ascii="Arial" w:cs="Arial" w:eastAsia="Arial" w:hAnsi="Arial"/>
          <w:b w:val="false"/>
          <w:bCs w:val="false"/>
          <w:color w:val="2D3748"/>
          <w:sz w:val="20"/>
          <w:szCs w:val="20"/>
        </w:rPr>
        <w:t xml:space="preserve">Données de churn (catégorie et raison de départ)</w:t>
      </w:r>
    </w:p>
    <w:p>
      <w:pPr>
        <w:spacing w:after="50" w:before="50"/>
        <w:ind w:left="360" w:hanging="220"/>
      </w:pPr>
      <w:r>
        <w:rPr>
          <w:rFonts w:ascii="Arial" w:cs="Arial" w:eastAsia="Arial" w:hAnsi="Arial"/>
          <w:color w:val="2E86AB"/>
          <w:sz w:val="20"/>
          <w:szCs w:val="20"/>
        </w:rPr>
        <w:t xml:space="preserve">▸  </w:t>
      </w:r>
      <w:r>
        <w:rPr>
          <w:rFonts w:ascii="Arial" w:cs="Arial" w:eastAsia="Arial" w:hAnsi="Arial"/>
          <w:b w:val="false"/>
          <w:bCs w:val="false"/>
          <w:color w:val="2D3748"/>
          <w:sz w:val="20"/>
          <w:szCs w:val="20"/>
        </w:rPr>
        <w:t xml:space="preserve">Données géographiques (État)</w:t>
      </w:r>
    </w:p>
    <w:p>
      <w:pPr>
        <w:spacing w:after="0" w:before="200"/>
      </w:pPr>
      <w:r>
        <w:t xml:space="preserve"/>
      </w:r>
    </w:p>
    <w:p>
      <w:pPr>
        <w:pBdr>
          <w:bottom w:val="single" w:color="2E86AB" w:sz="8" w:space="4"/>
        </w:pBdr>
        <w:spacing w:after="120" w:before="400"/>
      </w:pPr>
      <w:r>
        <w:rPr>
          <w:rFonts w:ascii="Arial" w:cs="Arial" w:eastAsia="Arial" w:hAnsi="Arial"/>
          <w:b/>
          <w:bCs/>
          <w:color w:val="1A2E4A"/>
          <w:spacing w:val="40"/>
          <w:sz w:val="26"/>
          <w:szCs w:val="26"/>
        </w:rPr>
        <w:t xml:space="preserve">2. INDICATEURS CLÉS DE PERFORMANCE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none" w:color="FFFFFF" w:sz="0"/>
              <w:left w:val="none" w:color="FFFFFF" w:sz="0"/>
              <w:bottom w:val="none" w:color="FFFFFF" w:sz="0"/>
              <w:right w:val="none" w:color="FFFFFF" w:sz="0"/>
            </w:tcBorders>
            <w:shd w:fill="D6EAF8" w:val="clear"/>
            <w:tcMar>
              <w:top w:type="dxa" w:w="160"/>
              <w:left w:type="dxa" w:w="200"/>
              <w:bottom w:type="dxa" w:w="160"/>
              <w:right w:type="dxa" w:w="200"/>
            </w:tcMar>
            <w:vAlign w:val="center"/>
          </w:tcPr>
          <w:p>
            <w:pPr>
              <w:jc w:val="center"/>
            </w:pPr>
            <w:r>
              <w:rPr>
                <w:rFonts w:ascii="Arial" w:cs="Arial" w:eastAsia="Arial" w:hAnsi="Arial"/>
                <w:b/>
                <w:bCs/>
                <w:color w:val="1A2E4A"/>
                <w:sz w:val="48"/>
                <w:szCs w:val="48"/>
              </w:rPr>
              <w:t xml:space="preserve">6 687</w:t>
            </w:r>
          </w:p>
          <w:p>
            <w:pPr>
              <w:spacing w:before="40"/>
              <w:jc w:val="center"/>
            </w:pPr>
            <w:r>
              <w:rPr>
                <w:rFonts w:ascii="Arial" w:cs="Arial" w:eastAsia="Arial" w:hAnsi="Arial"/>
                <w:color w:val="7F8C8D"/>
                <w:sz w:val="17"/>
                <w:szCs w:val="17"/>
              </w:rPr>
              <w:t xml:space="preserve">Nombre total de clients</w:t>
            </w:r>
          </w:p>
        </w:tc>
        <w:tc>
          <w:tcPr>
            <w:tcW w:type="dxa" w:w="2256"/>
            <w:tcBorders>
              <w:top w:val="none" w:color="FFFFFF" w:sz="0"/>
              <w:left w:val="none" w:color="FFFFFF" w:sz="0"/>
              <w:bottom w:val="none" w:color="FFFFFF" w:sz="0"/>
              <w:right w:val="none" w:color="FFFFFF" w:sz="0"/>
            </w:tcBorders>
            <w:shd w:fill="FADBD8" w:val="clear"/>
            <w:tcMar>
              <w:top w:type="dxa" w:w="160"/>
              <w:left w:type="dxa" w:w="200"/>
              <w:bottom w:type="dxa" w:w="160"/>
              <w:right w:type="dxa" w:w="200"/>
            </w:tcMar>
            <w:vAlign w:val="center"/>
          </w:tcPr>
          <w:p>
            <w:pPr>
              <w:jc w:val="center"/>
            </w:pPr>
            <w:r>
              <w:rPr>
                <w:rFonts w:ascii="Arial" w:cs="Arial" w:eastAsia="Arial" w:hAnsi="Arial"/>
                <w:b/>
                <w:bCs/>
                <w:color w:val="C0392B"/>
                <w:sz w:val="48"/>
                <w:szCs w:val="48"/>
              </w:rPr>
              <w:t xml:space="preserve">1 796</w:t>
            </w:r>
          </w:p>
          <w:p>
            <w:pPr>
              <w:spacing w:before="40"/>
              <w:jc w:val="center"/>
            </w:pPr>
            <w:r>
              <w:rPr>
                <w:rFonts w:ascii="Arial" w:cs="Arial" w:eastAsia="Arial" w:hAnsi="Arial"/>
                <w:color w:val="7F8C8D"/>
                <w:sz w:val="17"/>
                <w:szCs w:val="17"/>
              </w:rPr>
              <w:t xml:space="preserve">Clients ayant churné</w:t>
            </w:r>
          </w:p>
        </w:tc>
        <w:tc>
          <w:tcPr>
            <w:tcW w:type="dxa" w:w="2256"/>
            <w:tcBorders>
              <w:top w:val="none" w:color="FFFFFF" w:sz="0"/>
              <w:left w:val="none" w:color="FFFFFF" w:sz="0"/>
              <w:bottom w:val="none" w:color="FFFFFF" w:sz="0"/>
              <w:right w:val="none" w:color="FFFFFF" w:sz="0"/>
            </w:tcBorders>
            <w:shd w:fill="FADBD8" w:val="clear"/>
            <w:tcMar>
              <w:top w:type="dxa" w:w="160"/>
              <w:left w:type="dxa" w:w="200"/>
              <w:bottom w:type="dxa" w:w="160"/>
              <w:right w:type="dxa" w:w="200"/>
            </w:tcMar>
            <w:vAlign w:val="center"/>
          </w:tcPr>
          <w:p>
            <w:pPr>
              <w:jc w:val="center"/>
            </w:pPr>
            <w:r>
              <w:rPr>
                <w:rFonts w:ascii="Arial" w:cs="Arial" w:eastAsia="Arial" w:hAnsi="Arial"/>
                <w:b/>
                <w:bCs/>
                <w:color w:val="C0392B"/>
                <w:sz w:val="48"/>
                <w:szCs w:val="48"/>
              </w:rPr>
              <w:t xml:space="preserve">26,9 %</w:t>
            </w:r>
          </w:p>
          <w:p>
            <w:pPr>
              <w:spacing w:before="40"/>
              <w:jc w:val="center"/>
            </w:pPr>
            <w:r>
              <w:rPr>
                <w:rFonts w:ascii="Arial" w:cs="Arial" w:eastAsia="Arial" w:hAnsi="Arial"/>
                <w:color w:val="7F8C8D"/>
                <w:sz w:val="17"/>
                <w:szCs w:val="17"/>
              </w:rPr>
              <w:t xml:space="preserve">Taux de churn global</w:t>
            </w:r>
          </w:p>
        </w:tc>
        <w:tc>
          <w:tcPr>
            <w:tcW w:type="dxa" w:w="2256"/>
            <w:tcBorders>
              <w:top w:val="none" w:color="FFFFFF" w:sz="0"/>
              <w:left w:val="none" w:color="FFFFFF" w:sz="0"/>
              <w:bottom w:val="none" w:color="FFFFFF" w:sz="0"/>
              <w:right w:val="none" w:color="FFFFFF" w:sz="0"/>
            </w:tcBorders>
            <w:shd w:fill="FEF9E7" w:val="clear"/>
            <w:tcMar>
              <w:top w:type="dxa" w:w="160"/>
              <w:left w:type="dxa" w:w="200"/>
              <w:bottom w:type="dxa" w:w="160"/>
              <w:right w:type="dxa" w:w="200"/>
            </w:tcMar>
            <w:vAlign w:val="center"/>
          </w:tcPr>
          <w:p>
            <w:pPr>
              <w:jc w:val="center"/>
            </w:pPr>
            <w:r>
              <w:rPr>
                <w:rFonts w:ascii="Arial" w:cs="Arial" w:eastAsia="Arial" w:hAnsi="Arial"/>
                <w:b/>
                <w:bCs/>
                <w:color w:val="D68910"/>
                <w:sz w:val="48"/>
                <w:szCs w:val="48"/>
              </w:rPr>
              <w:t xml:space="preserve">∼65 $</w:t>
            </w:r>
          </w:p>
          <w:p>
            <w:pPr>
              <w:spacing w:before="40"/>
              <w:jc w:val="center"/>
            </w:pPr>
            <w:r>
              <w:rPr>
                <w:rFonts w:ascii="Arial" w:cs="Arial" w:eastAsia="Arial" w:hAnsi="Arial"/>
                <w:color w:val="7F8C8D"/>
                <w:sz w:val="17"/>
                <w:szCs w:val="17"/>
              </w:rPr>
              <w:t xml:space="preserve">Charge mensuelle moy.</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68910" w:sz="20"/>
              <w:bottom w:val="none" w:color="FFFFFF" w:sz="0"/>
              <w:right w:val="none" w:color="FFFFFF" w:sz="0"/>
            </w:tcBorders>
            <w:shd w:fill="FEF9E7" w:val="clear"/>
            <w:tcMar>
              <w:top w:type="dxa" w:w="100"/>
              <w:left w:type="dxa" w:w="200"/>
              <w:bottom w:type="dxa" w:w="100"/>
              <w:right w:type="dxa" w:w="200"/>
            </w:tcMar>
          </w:tcPr>
          <w:p>
            <w:r>
              <w:rPr>
                <w:rFonts w:ascii="Arial" w:cs="Arial" w:eastAsia="Arial" w:hAnsi="Arial"/>
                <w:color w:val="2D3748"/>
                <w:sz w:val="19"/>
                <w:szCs w:val="19"/>
              </w:rPr>
              <w:t xml:space="preserve">⚠  Un taux de churn de 26,9 % est significatif dans le secteur télécom (la norme sectorielle se situe entre 15 % et 25 %). Ce niveau indique un enjeu fort de rétention client à adresser prioritairement.</w:t>
            </w:r>
          </w:p>
        </w:tc>
      </w:tr>
    </w:tbl>
    <w:p>
      <w:pPr>
        <w:spacing w:after="0" w:before="200"/>
      </w:pPr>
      <w:r>
        <w:t xml:space="preserve"/>
      </w:r>
    </w:p>
    <w:p>
      <w:pPr>
        <w:pBdr>
          <w:bottom w:val="single" w:color="2E86AB" w:sz="8" w:space="4"/>
        </w:pBdr>
        <w:spacing w:after="120" w:before="400"/>
      </w:pPr>
      <w:r>
        <w:rPr>
          <w:rFonts w:ascii="Arial" w:cs="Arial" w:eastAsia="Arial" w:hAnsi="Arial"/>
          <w:b/>
          <w:bCs/>
          <w:color w:val="1A2E4A"/>
          <w:spacing w:val="40"/>
          <w:sz w:val="26"/>
          <w:szCs w:val="26"/>
        </w:rPr>
        <w:t xml:space="preserve">3. CATÉGORIES &amp; RAISONS DE DÉSABONNEMENT</w:t>
      </w:r>
    </w:p>
    <w:p>
      <w:pPr>
        <w:spacing w:after="80" w:before="280"/>
      </w:pPr>
      <w:r>
        <w:rPr>
          <w:rFonts w:ascii="Arial" w:cs="Arial" w:eastAsia="Arial" w:hAnsi="Arial"/>
          <w:b/>
          <w:bCs/>
          <w:color w:val="2E86AB"/>
          <w:sz w:val="22"/>
          <w:szCs w:val="22"/>
        </w:rPr>
        <w:t xml:space="preserve">3.1 Catégories principales</w:t>
      </w:r>
    </w:p>
    <w:p>
      <w:pPr>
        <w:spacing w:after="60" w:before="60"/>
      </w:pPr>
      <w:r>
        <w:rPr>
          <w:rFonts w:ascii="Arial" w:cs="Arial" w:eastAsia="Arial" w:hAnsi="Arial"/>
          <w:color w:val="2D3748"/>
          <w:sz w:val="20"/>
          <w:szCs w:val="20"/>
        </w:rPr>
        <w:t xml:space="preserve">L'analyse de la page « Churn Categorie » révèle que le churn se concentre autour de quelques grandes catégories. Le tableau ci-dessous présente les principales causes observées dans le dataset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2"/>
              <w:left w:val="single" w:color="CCCCCC" w:sz="2"/>
              <w:bottom w:val="single" w:color="CCCCCC" w:sz="2"/>
              <w:right w:val="single" w:color="CCCCCC" w:sz="2"/>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Catégorie de Churn</w:t>
            </w:r>
          </w:p>
        </w:tc>
        <w:tc>
          <w:tcPr>
            <w:tcW w:type="dxa" w:w="3008"/>
            <w:tcBorders>
              <w:top w:val="single" w:color="CCCCCC" w:sz="2"/>
              <w:left w:val="single" w:color="CCCCCC" w:sz="2"/>
              <w:bottom w:val="single" w:color="CCCCCC" w:sz="2"/>
              <w:right w:val="single" w:color="CCCCCC" w:sz="2"/>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Volume estimé</w:t>
            </w:r>
          </w:p>
        </w:tc>
        <w:tc>
          <w:tcPr>
            <w:tcW w:type="dxa" w:w="3008"/>
            <w:tcBorders>
              <w:top w:val="single" w:color="CCCCCC" w:sz="2"/>
              <w:left w:val="single" w:color="CCCCCC" w:sz="2"/>
              <w:bottom w:val="single" w:color="CCCCCC" w:sz="2"/>
              <w:right w:val="single" w:color="CCCCCC" w:sz="2"/>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Part relative</w:t>
            </w:r>
          </w:p>
        </w:tc>
      </w:tr>
      <w:tr>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left"/>
            </w:pPr>
            <w:r>
              <w:rPr>
                <w:rFonts w:ascii="Arial" w:cs="Arial" w:eastAsia="Arial" w:hAnsi="Arial"/>
                <w:color w:val="2D3748"/>
                <w:sz w:val="18"/>
                <w:szCs w:val="18"/>
              </w:rPr>
              <w:t xml:space="preserve">Concurrent (Competitor)</w:t>
            </w:r>
          </w:p>
        </w:tc>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Élevé</w:t>
            </w:r>
          </w:p>
        </w:tc>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~45 %</w:t>
            </w:r>
          </w:p>
        </w:tc>
      </w:tr>
      <w:tr>
        <w:tc>
          <w:tcPr>
            <w:tcW w:type="dxa" w:w="3008"/>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left"/>
            </w:pPr>
            <w:r>
              <w:rPr>
                <w:rFonts w:ascii="Arial" w:cs="Arial" w:eastAsia="Arial" w:hAnsi="Arial"/>
                <w:color w:val="2D3748"/>
                <w:sz w:val="18"/>
                <w:szCs w:val="18"/>
              </w:rPr>
              <w:t xml:space="preserve">Attitude / Service client</w:t>
            </w:r>
          </w:p>
        </w:tc>
        <w:tc>
          <w:tcPr>
            <w:tcW w:type="dxa" w:w="3008"/>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center"/>
            </w:pPr>
            <w:r>
              <w:rPr>
                <w:rFonts w:ascii="Arial" w:cs="Arial" w:eastAsia="Arial" w:hAnsi="Arial"/>
                <w:color w:val="2D3748"/>
                <w:sz w:val="18"/>
                <w:szCs w:val="18"/>
              </w:rPr>
              <w:t xml:space="preserve">Modéré</w:t>
            </w:r>
          </w:p>
        </w:tc>
        <w:tc>
          <w:tcPr>
            <w:tcW w:type="dxa" w:w="3008"/>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center"/>
            </w:pPr>
            <w:r>
              <w:rPr>
                <w:rFonts w:ascii="Arial" w:cs="Arial" w:eastAsia="Arial" w:hAnsi="Arial"/>
                <w:color w:val="2D3748"/>
                <w:sz w:val="18"/>
                <w:szCs w:val="18"/>
              </w:rPr>
              <w:t xml:space="preserve">~20 %</w:t>
            </w:r>
          </w:p>
        </w:tc>
      </w:tr>
      <w:tr>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left"/>
            </w:pPr>
            <w:r>
              <w:rPr>
                <w:rFonts w:ascii="Arial" w:cs="Arial" w:eastAsia="Arial" w:hAnsi="Arial"/>
                <w:color w:val="2D3748"/>
                <w:sz w:val="18"/>
                <w:szCs w:val="18"/>
              </w:rPr>
              <w:t xml:space="preserve">Insatisfaction produit</w:t>
            </w:r>
          </w:p>
        </w:tc>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Modéré</w:t>
            </w:r>
          </w:p>
        </w:tc>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~16 %</w:t>
            </w:r>
          </w:p>
        </w:tc>
      </w:tr>
      <w:tr>
        <w:tc>
          <w:tcPr>
            <w:tcW w:type="dxa" w:w="3008"/>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left"/>
            </w:pPr>
            <w:r>
              <w:rPr>
                <w:rFonts w:ascii="Arial" w:cs="Arial" w:eastAsia="Arial" w:hAnsi="Arial"/>
                <w:color w:val="2D3748"/>
                <w:sz w:val="18"/>
                <w:szCs w:val="18"/>
              </w:rPr>
              <w:t xml:space="preserve">Prix / Offre tarifaire</w:t>
            </w:r>
          </w:p>
        </w:tc>
        <w:tc>
          <w:tcPr>
            <w:tcW w:type="dxa" w:w="3008"/>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center"/>
            </w:pPr>
            <w:r>
              <w:rPr>
                <w:rFonts w:ascii="Arial" w:cs="Arial" w:eastAsia="Arial" w:hAnsi="Arial"/>
                <w:color w:val="2D3748"/>
                <w:sz w:val="18"/>
                <w:szCs w:val="18"/>
              </w:rPr>
              <w:t xml:space="preserve">Modéré</w:t>
            </w:r>
          </w:p>
        </w:tc>
        <w:tc>
          <w:tcPr>
            <w:tcW w:type="dxa" w:w="3008"/>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center"/>
            </w:pPr>
            <w:r>
              <w:rPr>
                <w:rFonts w:ascii="Arial" w:cs="Arial" w:eastAsia="Arial" w:hAnsi="Arial"/>
                <w:color w:val="2D3748"/>
                <w:sz w:val="18"/>
                <w:szCs w:val="18"/>
              </w:rPr>
              <w:t xml:space="preserve">~11 %</w:t>
            </w:r>
          </w:p>
        </w:tc>
      </w:tr>
      <w:tr>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left"/>
            </w:pPr>
            <w:r>
              <w:rPr>
                <w:rFonts w:ascii="Arial" w:cs="Arial" w:eastAsia="Arial" w:hAnsi="Arial"/>
                <w:color w:val="2D3748"/>
                <w:sz w:val="18"/>
                <w:szCs w:val="18"/>
              </w:rPr>
              <w:t xml:space="preserve">Autre / Inconnu</w:t>
            </w:r>
          </w:p>
        </w:tc>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Faible</w:t>
            </w:r>
          </w:p>
        </w:tc>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~8 %</w:t>
            </w:r>
          </w:p>
        </w:tc>
      </w:tr>
    </w:tbl>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392B" w:sz="20"/>
              <w:bottom w:val="none" w:color="FFFFFF" w:sz="0"/>
              <w:right w:val="none" w:color="FFFFFF" w:sz="0"/>
            </w:tcBorders>
            <w:shd w:fill="FADBD8" w:val="clear"/>
            <w:tcMar>
              <w:top w:type="dxa" w:w="100"/>
              <w:left w:type="dxa" w:w="200"/>
              <w:bottom w:type="dxa" w:w="100"/>
              <w:right w:type="dxa" w:w="200"/>
            </w:tcMar>
          </w:tcPr>
          <w:p>
            <w:r>
              <w:rPr>
                <w:rFonts w:ascii="Arial" w:cs="Arial" w:eastAsia="Arial" w:hAnsi="Arial"/>
                <w:color w:val="2D3748"/>
                <w:sz w:val="19"/>
                <w:szCs w:val="19"/>
              </w:rPr>
              <w:t xml:space="preserve">🔴  La concurrence est de loin la première cause de départ. Cela indique que l'offre tarifaire ou les fonctionnalités proposées par Databel sont perçues comme moins compétitives par près d'un client churné sur deux.</w:t>
            </w:r>
          </w:p>
        </w:tc>
      </w:tr>
    </w:tbl>
    <w:p>
      <w:pPr>
        <w:spacing w:after="0" w:before="140"/>
      </w:pPr>
      <w:r>
        <w:t xml:space="preserve"/>
      </w:r>
    </w:p>
    <w:p>
      <w:pPr>
        <w:spacing w:after="80" w:before="280"/>
      </w:pPr>
      <w:r>
        <w:rPr>
          <w:rFonts w:ascii="Arial" w:cs="Arial" w:eastAsia="Arial" w:hAnsi="Arial"/>
          <w:b/>
          <w:bCs/>
          <w:color w:val="2E86AB"/>
          <w:sz w:val="22"/>
          <w:szCs w:val="22"/>
        </w:rPr>
        <w:t xml:space="preserve">3.2 Raisons détaillées</w:t>
      </w:r>
    </w:p>
    <w:p>
      <w:pPr>
        <w:spacing w:after="60" w:before="60"/>
      </w:pPr>
      <w:r>
        <w:rPr>
          <w:rFonts w:ascii="Arial" w:cs="Arial" w:eastAsia="Arial" w:hAnsi="Arial"/>
          <w:color w:val="2D3748"/>
          <w:sz w:val="20"/>
          <w:szCs w:val="20"/>
        </w:rPr>
        <w:t xml:space="preserve">En affinant l'analyse au niveau des raisons (page « Churn Reason »), les motifs les plus fréquents sont liés à des offres concurrentes plus attractives (meilleur appareil, meilleure offre data, prix plus bas) et à une insatisfaction vis-à-vis du service client ou du réseau.</w:t>
      </w:r>
    </w:p>
    <w:p>
      <w:pPr>
        <w:spacing w:after="50" w:before="50"/>
        <w:ind w:left="360" w:hanging="220"/>
      </w:pPr>
      <w:r>
        <w:rPr>
          <w:rFonts w:ascii="Arial" w:cs="Arial" w:eastAsia="Arial" w:hAnsi="Arial"/>
          <w:color w:val="2E86AB"/>
          <w:sz w:val="20"/>
          <w:szCs w:val="20"/>
        </w:rPr>
        <w:t xml:space="preserve">▸  </w:t>
      </w:r>
      <w:r>
        <w:rPr>
          <w:rFonts w:ascii="Arial" w:cs="Arial" w:eastAsia="Arial" w:hAnsi="Arial"/>
          <w:b w:val="false"/>
          <w:bCs w:val="false"/>
          <w:color w:val="2D3748"/>
          <w:sz w:val="20"/>
          <w:szCs w:val="20"/>
        </w:rPr>
        <w:t xml:space="preserve">Offre concurrente plus attractive (appareil ou forfait)</w:t>
      </w:r>
    </w:p>
    <w:p>
      <w:pPr>
        <w:spacing w:after="50" w:before="50"/>
        <w:ind w:left="360" w:hanging="220"/>
      </w:pPr>
      <w:r>
        <w:rPr>
          <w:rFonts w:ascii="Arial" w:cs="Arial" w:eastAsia="Arial" w:hAnsi="Arial"/>
          <w:color w:val="2E86AB"/>
          <w:sz w:val="20"/>
          <w:szCs w:val="20"/>
        </w:rPr>
        <w:t xml:space="preserve">▸  </w:t>
      </w:r>
      <w:r>
        <w:rPr>
          <w:rFonts w:ascii="Arial" w:cs="Arial" w:eastAsia="Arial" w:hAnsi="Arial"/>
          <w:b w:val="false"/>
          <w:bCs w:val="false"/>
          <w:color w:val="2D3748"/>
          <w:sz w:val="20"/>
          <w:szCs w:val="20"/>
        </w:rPr>
        <w:t xml:space="preserve">Prix jugé trop élevé par rapport à la valeur perçue</w:t>
      </w:r>
    </w:p>
    <w:p>
      <w:pPr>
        <w:spacing w:after="50" w:before="50"/>
        <w:ind w:left="360" w:hanging="220"/>
      </w:pPr>
      <w:r>
        <w:rPr>
          <w:rFonts w:ascii="Arial" w:cs="Arial" w:eastAsia="Arial" w:hAnsi="Arial"/>
          <w:color w:val="2E86AB"/>
          <w:sz w:val="20"/>
          <w:szCs w:val="20"/>
        </w:rPr>
        <w:t xml:space="preserve">▸  </w:t>
      </w:r>
      <w:r>
        <w:rPr>
          <w:rFonts w:ascii="Arial" w:cs="Arial" w:eastAsia="Arial" w:hAnsi="Arial"/>
          <w:b w:val="false"/>
          <w:bCs w:val="false"/>
          <w:color w:val="2D3748"/>
          <w:sz w:val="20"/>
          <w:szCs w:val="20"/>
        </w:rPr>
        <w:t xml:space="preserve">Mauvaise expérience avec le service client</w:t>
      </w:r>
    </w:p>
    <w:p>
      <w:pPr>
        <w:spacing w:after="50" w:before="50"/>
        <w:ind w:left="360" w:hanging="220"/>
      </w:pPr>
      <w:r>
        <w:rPr>
          <w:rFonts w:ascii="Arial" w:cs="Arial" w:eastAsia="Arial" w:hAnsi="Arial"/>
          <w:color w:val="2E86AB"/>
          <w:sz w:val="20"/>
          <w:szCs w:val="20"/>
        </w:rPr>
        <w:t xml:space="preserve">▸  </w:t>
      </w:r>
      <w:r>
        <w:rPr>
          <w:rFonts w:ascii="Arial" w:cs="Arial" w:eastAsia="Arial" w:hAnsi="Arial"/>
          <w:b w:val="false"/>
          <w:bCs w:val="false"/>
          <w:color w:val="2D3748"/>
          <w:sz w:val="20"/>
          <w:szCs w:val="20"/>
        </w:rPr>
        <w:t xml:space="preserve">Problèmes de couverture réseau ou de qualité de service</w:t>
      </w:r>
    </w:p>
    <w:p>
      <w:pPr>
        <w:spacing w:after="50" w:before="50"/>
        <w:ind w:left="360" w:hanging="220"/>
      </w:pPr>
      <w:r>
        <w:rPr>
          <w:rFonts w:ascii="Arial" w:cs="Arial" w:eastAsia="Arial" w:hAnsi="Arial"/>
          <w:color w:val="2E86AB"/>
          <w:sz w:val="20"/>
          <w:szCs w:val="20"/>
        </w:rPr>
        <w:t xml:space="preserve">▸  </w:t>
      </w:r>
      <w:r>
        <w:rPr>
          <w:rFonts w:ascii="Arial" w:cs="Arial" w:eastAsia="Arial" w:hAnsi="Arial"/>
          <w:b w:val="false"/>
          <w:bCs w:val="false"/>
          <w:color w:val="2D3748"/>
          <w:sz w:val="20"/>
          <w:szCs w:val="20"/>
        </w:rPr>
        <w:t xml:space="preserve">Déménagement ou changement de situation personnelle</w:t>
      </w:r>
    </w:p>
    <w:p>
      <w:pPr>
        <w:spacing w:after="0" w:before="200"/>
      </w:pPr>
      <w:r>
        <w:t xml:space="preserve"/>
      </w:r>
    </w:p>
    <w:p>
      <w:pPr>
        <w:pBdr>
          <w:bottom w:val="single" w:color="2E86AB" w:sz="8" w:space="4"/>
        </w:pBdr>
        <w:spacing w:after="120" w:before="400"/>
      </w:pPr>
      <w:r>
        <w:rPr>
          <w:rFonts w:ascii="Arial" w:cs="Arial" w:eastAsia="Arial" w:hAnsi="Arial"/>
          <w:b/>
          <w:bCs/>
          <w:color w:val="1A2E4A"/>
          <w:spacing w:val="40"/>
          <w:sz w:val="26"/>
          <w:szCs w:val="26"/>
        </w:rPr>
        <w:t xml:space="preserve">4. ANALYSE DÉMOGRAPHIQUE</w:t>
      </w:r>
    </w:p>
    <w:p>
      <w:pPr>
        <w:spacing w:after="80" w:before="280"/>
      </w:pPr>
      <w:r>
        <w:rPr>
          <w:rFonts w:ascii="Arial" w:cs="Arial" w:eastAsia="Arial" w:hAnsi="Arial"/>
          <w:b/>
          <w:bCs/>
          <w:color w:val="2E86AB"/>
          <w:sz w:val="22"/>
          <w:szCs w:val="22"/>
        </w:rPr>
        <w:t xml:space="preserve">4.1 Churn par groupe démographique</w:t>
      </w:r>
    </w:p>
    <w:p>
      <w:pPr>
        <w:spacing w:after="60" w:before="60"/>
      </w:pPr>
      <w:r>
        <w:rPr>
          <w:rFonts w:ascii="Arial" w:cs="Arial" w:eastAsia="Arial" w:hAnsi="Arial"/>
          <w:color w:val="2D3748"/>
          <w:sz w:val="20"/>
          <w:szCs w:val="20"/>
        </w:rPr>
        <w:t xml:space="preserve">La page « Demographic » analyse le taux de churn selon trois groupes : Senior, Under 30, et Other. Les seniors présentent un taux de churn significativement plus élevé que la moyenne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2"/>
              <w:left w:val="single" w:color="CCCCCC" w:sz="2"/>
              <w:bottom w:val="single" w:color="CCCCCC" w:sz="2"/>
              <w:right w:val="single" w:color="CCCCCC" w:sz="2"/>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Segment Démographique</w:t>
            </w:r>
          </w:p>
        </w:tc>
        <w:tc>
          <w:tcPr>
            <w:tcW w:type="dxa" w:w="3008"/>
            <w:tcBorders>
              <w:top w:val="single" w:color="CCCCCC" w:sz="2"/>
              <w:left w:val="single" w:color="CCCCCC" w:sz="2"/>
              <w:bottom w:val="single" w:color="CCCCCC" w:sz="2"/>
              <w:right w:val="single" w:color="CCCCCC" w:sz="2"/>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Taux de Churn estimé</w:t>
            </w:r>
          </w:p>
        </w:tc>
        <w:tc>
          <w:tcPr>
            <w:tcW w:type="dxa" w:w="3008"/>
            <w:tcBorders>
              <w:top w:val="single" w:color="CCCCCC" w:sz="2"/>
              <w:left w:val="single" w:color="CCCCCC" w:sz="2"/>
              <w:bottom w:val="single" w:color="CCCCCC" w:sz="2"/>
              <w:right w:val="single" w:color="CCCCCC" w:sz="2"/>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Observation</w:t>
            </w:r>
          </w:p>
        </w:tc>
      </w:tr>
      <w:tr>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left"/>
            </w:pPr>
            <w:r>
              <w:rPr>
                <w:rFonts w:ascii="Arial" w:cs="Arial" w:eastAsia="Arial" w:hAnsi="Arial"/>
                <w:color w:val="2D3748"/>
                <w:sz w:val="18"/>
                <w:szCs w:val="18"/>
              </w:rPr>
              <w:t xml:space="preserve">Seniors (65+)</w:t>
            </w:r>
          </w:p>
        </w:tc>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∼38 %</w:t>
            </w:r>
          </w:p>
        </w:tc>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Segment le plus à risque</w:t>
            </w:r>
          </w:p>
        </w:tc>
      </w:tr>
      <w:tr>
        <w:tc>
          <w:tcPr>
            <w:tcW w:type="dxa" w:w="3008"/>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left"/>
            </w:pPr>
            <w:r>
              <w:rPr>
                <w:rFonts w:ascii="Arial" w:cs="Arial" w:eastAsia="Arial" w:hAnsi="Arial"/>
                <w:color w:val="2D3748"/>
                <w:sz w:val="18"/>
                <w:szCs w:val="18"/>
              </w:rPr>
              <w:t xml:space="preserve">Moins de 30 ans</w:t>
            </w:r>
          </w:p>
        </w:tc>
        <w:tc>
          <w:tcPr>
            <w:tcW w:type="dxa" w:w="3008"/>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center"/>
            </w:pPr>
            <w:r>
              <w:rPr>
                <w:rFonts w:ascii="Arial" w:cs="Arial" w:eastAsia="Arial" w:hAnsi="Arial"/>
                <w:color w:val="2D3748"/>
                <w:sz w:val="18"/>
                <w:szCs w:val="18"/>
              </w:rPr>
              <w:t xml:space="preserve">∼23 %</w:t>
            </w:r>
          </w:p>
        </w:tc>
        <w:tc>
          <w:tcPr>
            <w:tcW w:type="dxa" w:w="3008"/>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center"/>
            </w:pPr>
            <w:r>
              <w:rPr>
                <w:rFonts w:ascii="Arial" w:cs="Arial" w:eastAsia="Arial" w:hAnsi="Arial"/>
                <w:color w:val="2D3748"/>
                <w:sz w:val="18"/>
                <w:szCs w:val="18"/>
              </w:rPr>
              <w:t xml:space="preserve">Proche de la moyenne</w:t>
            </w:r>
          </w:p>
        </w:tc>
      </w:tr>
      <w:tr>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left"/>
            </w:pPr>
            <w:r>
              <w:rPr>
                <w:rFonts w:ascii="Arial" w:cs="Arial" w:eastAsia="Arial" w:hAnsi="Arial"/>
                <w:color w:val="2D3748"/>
                <w:sz w:val="18"/>
                <w:szCs w:val="18"/>
              </w:rPr>
              <w:t xml:space="preserve">Autres (30-64)</w:t>
            </w:r>
          </w:p>
        </w:tc>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∼25 %</w:t>
            </w:r>
          </w:p>
        </w:tc>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Profil standard</w:t>
            </w:r>
          </w:p>
        </w:tc>
      </w:tr>
    </w:tbl>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68910" w:sz="20"/>
              <w:bottom w:val="none" w:color="FFFFFF" w:sz="0"/>
              <w:right w:val="none" w:color="FFFFFF" w:sz="0"/>
            </w:tcBorders>
            <w:shd w:fill="FEF9E7" w:val="clear"/>
            <w:tcMar>
              <w:top w:type="dxa" w:w="100"/>
              <w:left w:type="dxa" w:w="200"/>
              <w:bottom w:type="dxa" w:w="100"/>
              <w:right w:type="dxa" w:w="200"/>
            </w:tcMar>
          </w:tcPr>
          <w:p>
            <w:r>
              <w:rPr>
                <w:rFonts w:ascii="Arial" w:cs="Arial" w:eastAsia="Arial" w:hAnsi="Arial"/>
                <w:color w:val="2D3748"/>
                <w:sz w:val="19"/>
                <w:szCs w:val="19"/>
              </w:rPr>
              <w:t xml:space="preserve">💡  Les seniors churent à un rythme 40 % supérieur à la moyenne. Ce segment mérite une attention particulière : accompagnement dédié, offres adaptées, ou programme de fidélisation spécifique.</w:t>
            </w:r>
          </w:p>
        </w:tc>
      </w:tr>
    </w:tbl>
    <w:p>
      <w:pPr>
        <w:spacing w:after="0" w:before="140"/>
      </w:pPr>
      <w:r>
        <w:t xml:space="preserve"/>
      </w:r>
    </w:p>
    <w:p>
      <w:pPr>
        <w:spacing w:after="80" w:before="280"/>
      </w:pPr>
      <w:r>
        <w:rPr>
          <w:rFonts w:ascii="Arial" w:cs="Arial" w:eastAsia="Arial" w:hAnsi="Arial"/>
          <w:b/>
          <w:bCs/>
          <w:color w:val="2E86AB"/>
          <w:sz w:val="22"/>
          <w:szCs w:val="22"/>
        </w:rPr>
        <w:t xml:space="preserve">4.2 Churn par tranche d'âge</w:t>
      </w:r>
    </w:p>
    <w:p>
      <w:pPr>
        <w:spacing w:after="60" w:before="60"/>
      </w:pPr>
      <w:r>
        <w:rPr>
          <w:rFonts w:ascii="Arial" w:cs="Arial" w:eastAsia="Arial" w:hAnsi="Arial"/>
          <w:color w:val="2D3748"/>
          <w:sz w:val="20"/>
          <w:szCs w:val="20"/>
        </w:rPr>
        <w:t xml:space="preserve">L'analyse par « Age Bins » (tranches d'âge) confirme que le churn augmente progressivement avec l'âge, avec un pic notable au-delà de 65 ans. À l'inverse, les clients de 30-40 ans constituent le segment le plus stable.</w:t>
      </w:r>
    </w:p>
    <w:p>
      <w:pPr>
        <w:spacing w:after="0" w:before="200"/>
      </w:pPr>
      <w:r>
        <w:t xml:space="preserve"/>
      </w:r>
    </w:p>
    <w:p>
      <w:pPr>
        <w:pBdr>
          <w:bottom w:val="single" w:color="2E86AB" w:sz="8" w:space="4"/>
        </w:pBdr>
        <w:spacing w:after="120" w:before="400"/>
      </w:pPr>
      <w:r>
        <w:rPr>
          <w:rFonts w:ascii="Arial" w:cs="Arial" w:eastAsia="Arial" w:hAnsi="Arial"/>
          <w:b/>
          <w:bCs/>
          <w:color w:val="1A2E4A"/>
          <w:spacing w:val="40"/>
          <w:sz w:val="26"/>
          <w:szCs w:val="26"/>
        </w:rPr>
        <w:t xml:space="preserve">5. ANALYSE CONTRACTUELLE</w:t>
      </w:r>
    </w:p>
    <w:p>
      <w:pPr>
        <w:spacing w:after="80" w:before="280"/>
      </w:pPr>
      <w:r>
        <w:rPr>
          <w:rFonts w:ascii="Arial" w:cs="Arial" w:eastAsia="Arial" w:hAnsi="Arial"/>
          <w:b/>
          <w:bCs/>
          <w:color w:val="2E86AB"/>
          <w:sz w:val="22"/>
          <w:szCs w:val="22"/>
        </w:rPr>
        <w:t xml:space="preserve">5.1 Type de contrat et churn</w:t>
      </w:r>
    </w:p>
    <w:p>
      <w:pPr>
        <w:spacing w:after="60" w:before="60"/>
      </w:pPr>
      <w:r>
        <w:rPr>
          <w:rFonts w:ascii="Arial" w:cs="Arial" w:eastAsia="Arial" w:hAnsi="Arial"/>
          <w:color w:val="2D3748"/>
          <w:sz w:val="20"/>
          <w:szCs w:val="20"/>
        </w:rPr>
        <w:t xml:space="preserve">La page « Multiple Field » révèle une corrélation très forte entre le type de contrat et le taux de churn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2"/>
              <w:left w:val="single" w:color="CCCCCC" w:sz="2"/>
              <w:bottom w:val="single" w:color="CCCCCC" w:sz="2"/>
              <w:right w:val="single" w:color="CCCCCC" w:sz="2"/>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 de Contrat</w:t>
            </w:r>
          </w:p>
        </w:tc>
        <w:tc>
          <w:tcPr>
            <w:tcW w:type="dxa" w:w="3008"/>
            <w:tcBorders>
              <w:top w:val="single" w:color="CCCCCC" w:sz="2"/>
              <w:left w:val="single" w:color="CCCCCC" w:sz="2"/>
              <w:bottom w:val="single" w:color="CCCCCC" w:sz="2"/>
              <w:right w:val="single" w:color="CCCCCC" w:sz="2"/>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Taux de Churn estimé</w:t>
            </w:r>
          </w:p>
        </w:tc>
        <w:tc>
          <w:tcPr>
            <w:tcW w:type="dxa" w:w="3008"/>
            <w:tcBorders>
              <w:top w:val="single" w:color="CCCCCC" w:sz="2"/>
              <w:left w:val="single" w:color="CCCCCC" w:sz="2"/>
              <w:bottom w:val="single" w:color="CCCCCC" w:sz="2"/>
              <w:right w:val="single" w:color="CCCCCC" w:sz="2"/>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Niveau de risque</w:t>
            </w:r>
          </w:p>
        </w:tc>
      </w:tr>
      <w:tr>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left"/>
            </w:pPr>
            <w:r>
              <w:rPr>
                <w:rFonts w:ascii="Arial" w:cs="Arial" w:eastAsia="Arial" w:hAnsi="Arial"/>
                <w:color w:val="2D3748"/>
                <w:sz w:val="18"/>
                <w:szCs w:val="18"/>
              </w:rPr>
              <w:t xml:space="preserve">Month-to-Month (mensuel)</w:t>
            </w:r>
          </w:p>
        </w:tc>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∼46 %</w:t>
            </w:r>
          </w:p>
        </w:tc>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 Critique</w:t>
            </w:r>
          </w:p>
        </w:tc>
      </w:tr>
      <w:tr>
        <w:tc>
          <w:tcPr>
            <w:tcW w:type="dxa" w:w="3008"/>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left"/>
            </w:pPr>
            <w:r>
              <w:rPr>
                <w:rFonts w:ascii="Arial" w:cs="Arial" w:eastAsia="Arial" w:hAnsi="Arial"/>
                <w:color w:val="2D3748"/>
                <w:sz w:val="18"/>
                <w:szCs w:val="18"/>
              </w:rPr>
              <w:t xml:space="preserve">One Year (1 an)</w:t>
            </w:r>
          </w:p>
        </w:tc>
        <w:tc>
          <w:tcPr>
            <w:tcW w:type="dxa" w:w="3008"/>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center"/>
            </w:pPr>
            <w:r>
              <w:rPr>
                <w:rFonts w:ascii="Arial" w:cs="Arial" w:eastAsia="Arial" w:hAnsi="Arial"/>
                <w:color w:val="2D3748"/>
                <w:sz w:val="18"/>
                <w:szCs w:val="18"/>
              </w:rPr>
              <w:t xml:space="preserve">∼11 %</w:t>
            </w:r>
          </w:p>
        </w:tc>
        <w:tc>
          <w:tcPr>
            <w:tcW w:type="dxa" w:w="3008"/>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center"/>
            </w:pPr>
            <w:r>
              <w:rPr>
                <w:rFonts w:ascii="Arial" w:cs="Arial" w:eastAsia="Arial" w:hAnsi="Arial"/>
                <w:color w:val="2D3748"/>
                <w:sz w:val="18"/>
                <w:szCs w:val="18"/>
              </w:rPr>
              <w:t xml:space="preserve">🟡 Modéré</w:t>
            </w:r>
          </w:p>
        </w:tc>
      </w:tr>
      <w:tr>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left"/>
            </w:pPr>
            <w:r>
              <w:rPr>
                <w:rFonts w:ascii="Arial" w:cs="Arial" w:eastAsia="Arial" w:hAnsi="Arial"/>
                <w:color w:val="2D3748"/>
                <w:sz w:val="18"/>
                <w:szCs w:val="18"/>
              </w:rPr>
              <w:t xml:space="preserve">Two Year (2 ans)</w:t>
            </w:r>
          </w:p>
        </w:tc>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∼3 %</w:t>
            </w:r>
          </w:p>
        </w:tc>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 Faible</w:t>
            </w:r>
          </w:p>
        </w:tc>
      </w:tr>
    </w:tbl>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392B" w:sz="20"/>
              <w:bottom w:val="none" w:color="FFFFFF" w:sz="0"/>
              <w:right w:val="none" w:color="FFFFFF" w:sz="0"/>
            </w:tcBorders>
            <w:shd w:fill="FADBD8" w:val="clear"/>
            <w:tcMar>
              <w:top w:type="dxa" w:w="100"/>
              <w:left w:type="dxa" w:w="200"/>
              <w:bottom w:type="dxa" w:w="100"/>
              <w:right w:type="dxa" w:w="200"/>
            </w:tcMar>
          </w:tcPr>
          <w:p>
            <w:r>
              <w:rPr>
                <w:rFonts w:ascii="Arial" w:cs="Arial" w:eastAsia="Arial" w:hAnsi="Arial"/>
                <w:color w:val="2D3748"/>
                <w:sz w:val="19"/>
                <w:szCs w:val="19"/>
              </w:rPr>
              <w:t xml:space="preserve">🔴  Les clients sans engagement mensuel churent à un taux 15 fois supérieur aux clients avec un contrat 2 ans. Encourager la souscription à des contrats longue durée via des incentives tarifaires est un levier majeur de rétention.</w:t>
            </w:r>
          </w:p>
        </w:tc>
      </w:tr>
    </w:tbl>
    <w:p>
      <w:pPr>
        <w:spacing w:after="0" w:before="140"/>
      </w:pPr>
      <w:r>
        <w:t xml:space="preserve"/>
      </w:r>
    </w:p>
    <w:p>
      <w:pPr>
        <w:spacing w:after="80" w:before="280"/>
      </w:pPr>
      <w:r>
        <w:rPr>
          <w:rFonts w:ascii="Arial" w:cs="Arial" w:eastAsia="Arial" w:hAnsi="Arial"/>
          <w:b/>
          <w:bCs/>
          <w:color w:val="2E86AB"/>
          <w:sz w:val="22"/>
          <w:szCs w:val="22"/>
        </w:rPr>
        <w:t xml:space="preserve">5.2 Ancienneté et churn</w:t>
      </w:r>
    </w:p>
    <w:p>
      <w:pPr>
        <w:spacing w:after="60" w:before="60"/>
      </w:pPr>
      <w:r>
        <w:rPr>
          <w:rFonts w:ascii="Arial" w:cs="Arial" w:eastAsia="Arial" w:hAnsi="Arial"/>
          <w:color w:val="2D3748"/>
          <w:sz w:val="20"/>
          <w:szCs w:val="20"/>
        </w:rPr>
        <w:t xml:space="preserve">L'analyse de la page « Contract Type » par ancienneté (Account Length) révèle que le churn est particulièrement élevé dans les premiers mois de la relation client. Au-delà de 12 mois, le taux de churn se stabilise significativement. Ce phénomène est classique dans le secteur télécom : les clients non-engagés partent rapidement s'ils ne sont pas satisfaits dès l'onboarding.</w:t>
      </w:r>
    </w:p>
    <w:p>
      <w:pPr>
        <w:spacing w:after="50" w:before="50"/>
        <w:ind w:left="360" w:hanging="220"/>
      </w:pPr>
      <w:r>
        <w:rPr>
          <w:rFonts w:ascii="Arial" w:cs="Arial" w:eastAsia="Arial" w:hAnsi="Arial"/>
          <w:color w:val="2E86AB"/>
          <w:sz w:val="20"/>
          <w:szCs w:val="20"/>
        </w:rPr>
        <w:t xml:space="preserve">▸  </w:t>
      </w:r>
      <w:r>
        <w:rPr>
          <w:rFonts w:ascii="Arial" w:cs="Arial" w:eastAsia="Arial" w:hAnsi="Arial"/>
          <w:b w:val="false"/>
          <w:bCs w:val="false"/>
          <w:color w:val="2D3748"/>
          <w:sz w:val="20"/>
          <w:szCs w:val="20"/>
        </w:rPr>
        <w:t xml:space="preserve">Churn élevé : 0 à 6 mois d'ancienneté</w:t>
      </w:r>
    </w:p>
    <w:p>
      <w:pPr>
        <w:spacing w:after="50" w:before="50"/>
        <w:ind w:left="360" w:hanging="220"/>
      </w:pPr>
      <w:r>
        <w:rPr>
          <w:rFonts w:ascii="Arial" w:cs="Arial" w:eastAsia="Arial" w:hAnsi="Arial"/>
          <w:color w:val="2E86AB"/>
          <w:sz w:val="20"/>
          <w:szCs w:val="20"/>
        </w:rPr>
        <w:t xml:space="preserve">▸  </w:t>
      </w:r>
      <w:r>
        <w:rPr>
          <w:rFonts w:ascii="Arial" w:cs="Arial" w:eastAsia="Arial" w:hAnsi="Arial"/>
          <w:b w:val="false"/>
          <w:bCs w:val="false"/>
          <w:color w:val="2D3748"/>
          <w:sz w:val="20"/>
          <w:szCs w:val="20"/>
        </w:rPr>
        <w:t xml:space="preserve">Churn en baisse : 6 à 18 mois</w:t>
      </w:r>
    </w:p>
    <w:p>
      <w:pPr>
        <w:spacing w:after="50" w:before="50"/>
        <w:ind w:left="360" w:hanging="220"/>
      </w:pPr>
      <w:r>
        <w:rPr>
          <w:rFonts w:ascii="Arial" w:cs="Arial" w:eastAsia="Arial" w:hAnsi="Arial"/>
          <w:color w:val="2E86AB"/>
          <w:sz w:val="20"/>
          <w:szCs w:val="20"/>
        </w:rPr>
        <w:t xml:space="preserve">▸  </w:t>
      </w:r>
      <w:r>
        <w:rPr>
          <w:rFonts w:ascii="Arial" w:cs="Arial" w:eastAsia="Arial" w:hAnsi="Arial"/>
          <w:b w:val="false"/>
          <w:bCs w:val="false"/>
          <w:color w:val="2D3748"/>
          <w:sz w:val="20"/>
          <w:szCs w:val="20"/>
        </w:rPr>
        <w:t xml:space="preserve">Churn stabilisé : au-delà de 18 mois</w:t>
      </w:r>
    </w:p>
    <w:p>
      <w:pPr>
        <w:spacing w:after="0" w:before="140"/>
      </w:pPr>
      <w:r>
        <w:t xml:space="preserve"/>
      </w:r>
    </w:p>
    <w:p>
      <w:pPr>
        <w:spacing w:after="80" w:before="280"/>
      </w:pPr>
      <w:r>
        <w:rPr>
          <w:rFonts w:ascii="Arial" w:cs="Arial" w:eastAsia="Arial" w:hAnsi="Arial"/>
          <w:b/>
          <w:bCs/>
          <w:color w:val="2E86AB"/>
          <w:sz w:val="22"/>
          <w:szCs w:val="22"/>
        </w:rPr>
        <w:t xml:space="preserve">5.3 Méthode de paiement</w:t>
      </w:r>
    </w:p>
    <w:p>
      <w:pPr>
        <w:spacing w:after="60" w:before="60"/>
      </w:pPr>
      <w:r>
        <w:rPr>
          <w:rFonts w:ascii="Arial" w:cs="Arial" w:eastAsia="Arial" w:hAnsi="Arial"/>
          <w:color w:val="2D3748"/>
          <w:sz w:val="20"/>
          <w:szCs w:val="20"/>
        </w:rPr>
        <w:t xml:space="preserve">La page « Churn Payment Method » indique que les clients payant par Direct Debit ou Paper Check présentent un taux de churn plus élevé que ceux payant par carte bancaire automatique. Le paiement par carte bancaire automatique est associé à un engagement plus fort et une meilleure rétention.</w:t>
      </w:r>
    </w:p>
    <w:p>
      <w:pPr>
        <w:spacing w:after="0" w:before="200"/>
      </w:pPr>
      <w:r>
        <w:t xml:space="preserve"/>
      </w:r>
    </w:p>
    <w:p>
      <w:pPr>
        <w:pBdr>
          <w:bottom w:val="single" w:color="2E86AB" w:sz="8" w:space="4"/>
        </w:pBdr>
        <w:spacing w:after="120" w:before="400"/>
      </w:pPr>
      <w:r>
        <w:rPr>
          <w:rFonts w:ascii="Arial" w:cs="Arial" w:eastAsia="Arial" w:hAnsi="Arial"/>
          <w:b/>
          <w:bCs/>
          <w:color w:val="1A2E4A"/>
          <w:spacing w:val="40"/>
          <w:sz w:val="26"/>
          <w:szCs w:val="26"/>
        </w:rPr>
        <w:t xml:space="preserve">6. PLAN DATA &amp; APPELS INTERNATIONAUX</w:t>
      </w:r>
    </w:p>
    <w:p>
      <w:pPr>
        <w:spacing w:after="80" w:before="280"/>
      </w:pPr>
      <w:r>
        <w:rPr>
          <w:rFonts w:ascii="Arial" w:cs="Arial" w:eastAsia="Arial" w:hAnsi="Arial"/>
          <w:b/>
          <w:bCs/>
          <w:color w:val="2E86AB"/>
          <w:sz w:val="22"/>
          <w:szCs w:val="22"/>
        </w:rPr>
        <w:t xml:space="preserve">6.1 Plan illimité</w:t>
      </w:r>
    </w:p>
    <w:p>
      <w:pPr>
        <w:spacing w:after="60" w:before="60"/>
      </w:pPr>
      <w:r>
        <w:rPr>
          <w:rFonts w:ascii="Arial" w:cs="Arial" w:eastAsia="Arial" w:hAnsi="Arial"/>
          <w:color w:val="2D3748"/>
          <w:sz w:val="20"/>
          <w:szCs w:val="20"/>
        </w:rPr>
        <w:t xml:space="preserve">L'analyse de la page « Unlimited Plan » croise le taux de churn avec la consommation en Go et la souscription au plan illimité. Un résultat contre-intuitif émerge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2"/>
              <w:left w:val="single" w:color="CCCCCC" w:sz="2"/>
              <w:bottom w:val="single" w:color="CCCCCC" w:sz="2"/>
              <w:right w:val="single" w:color="CCCCCC" w:sz="2"/>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Profil</w:t>
            </w:r>
          </w:p>
        </w:tc>
        <w:tc>
          <w:tcPr>
            <w:tcW w:type="dxa" w:w="2256"/>
            <w:tcBorders>
              <w:top w:val="single" w:color="CCCCCC" w:sz="2"/>
              <w:left w:val="single" w:color="CCCCCC" w:sz="2"/>
              <w:bottom w:val="single" w:color="CCCCCC" w:sz="2"/>
              <w:right w:val="single" w:color="CCCCCC" w:sz="2"/>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Plan Illimité</w:t>
            </w:r>
          </w:p>
        </w:tc>
        <w:tc>
          <w:tcPr>
            <w:tcW w:type="dxa" w:w="2256"/>
            <w:tcBorders>
              <w:top w:val="single" w:color="CCCCCC" w:sz="2"/>
              <w:left w:val="single" w:color="CCCCCC" w:sz="2"/>
              <w:bottom w:val="single" w:color="CCCCCC" w:sz="2"/>
              <w:right w:val="single" w:color="CCCCCC" w:sz="2"/>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Consommation</w:t>
            </w:r>
          </w:p>
        </w:tc>
        <w:tc>
          <w:tcPr>
            <w:tcW w:type="dxa" w:w="2256"/>
            <w:tcBorders>
              <w:top w:val="single" w:color="CCCCCC" w:sz="2"/>
              <w:left w:val="single" w:color="CCCCCC" w:sz="2"/>
              <w:bottom w:val="single" w:color="CCCCCC" w:sz="2"/>
              <w:right w:val="single" w:color="CCCCCC" w:sz="2"/>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Taux de Churn</w:t>
            </w:r>
          </w:p>
        </w:tc>
      </w:tr>
      <w:tr>
        <w:tc>
          <w:tcPr>
            <w:tcW w:type="dxa" w:w="225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left"/>
            </w:pPr>
            <w:r>
              <w:rPr>
                <w:rFonts w:ascii="Arial" w:cs="Arial" w:eastAsia="Arial" w:hAnsi="Arial"/>
                <w:color w:val="2D3748"/>
                <w:sz w:val="18"/>
                <w:szCs w:val="18"/>
              </w:rPr>
              <w:t xml:space="preserve">Gros consommateurs</w:t>
            </w:r>
          </w:p>
        </w:tc>
        <w:tc>
          <w:tcPr>
            <w:tcW w:type="dxa" w:w="225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Non souscrit</w:t>
            </w:r>
          </w:p>
        </w:tc>
        <w:tc>
          <w:tcPr>
            <w:tcW w:type="dxa" w:w="225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&gt; 10 Go</w:t>
            </w:r>
          </w:p>
        </w:tc>
        <w:tc>
          <w:tcPr>
            <w:tcW w:type="dxa" w:w="225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∼35 %</w:t>
            </w:r>
          </w:p>
        </w:tc>
      </w:tr>
      <w:tr>
        <w:tc>
          <w:tcPr>
            <w:tcW w:type="dxa" w:w="2256"/>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left"/>
            </w:pPr>
            <w:r>
              <w:rPr>
                <w:rFonts w:ascii="Arial" w:cs="Arial" w:eastAsia="Arial" w:hAnsi="Arial"/>
                <w:color w:val="2D3748"/>
                <w:sz w:val="18"/>
                <w:szCs w:val="18"/>
              </w:rPr>
              <w:t xml:space="preserve">Petits consommateurs</w:t>
            </w:r>
          </w:p>
        </w:tc>
        <w:tc>
          <w:tcPr>
            <w:tcW w:type="dxa" w:w="2256"/>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center"/>
            </w:pPr>
            <w:r>
              <w:rPr>
                <w:rFonts w:ascii="Arial" w:cs="Arial" w:eastAsia="Arial" w:hAnsi="Arial"/>
                <w:color w:val="2D3748"/>
                <w:sz w:val="18"/>
                <w:szCs w:val="18"/>
              </w:rPr>
              <w:t xml:space="preserve">Souscrit</w:t>
            </w:r>
          </w:p>
        </w:tc>
        <w:tc>
          <w:tcPr>
            <w:tcW w:type="dxa" w:w="2256"/>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center"/>
            </w:pPr>
            <w:r>
              <w:rPr>
                <w:rFonts w:ascii="Arial" w:cs="Arial" w:eastAsia="Arial" w:hAnsi="Arial"/>
                <w:color w:val="2D3748"/>
                <w:sz w:val="18"/>
                <w:szCs w:val="18"/>
              </w:rPr>
              <w:t xml:space="preserve">&lt; 5 Go</w:t>
            </w:r>
          </w:p>
        </w:tc>
        <w:tc>
          <w:tcPr>
            <w:tcW w:type="dxa" w:w="2256"/>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center"/>
            </w:pPr>
            <w:r>
              <w:rPr>
                <w:rFonts w:ascii="Arial" w:cs="Arial" w:eastAsia="Arial" w:hAnsi="Arial"/>
                <w:color w:val="2D3748"/>
                <w:sz w:val="18"/>
                <w:szCs w:val="18"/>
              </w:rPr>
              <w:t xml:space="preserve">∼32 %</w:t>
            </w:r>
          </w:p>
        </w:tc>
      </w:tr>
      <w:tr>
        <w:tc>
          <w:tcPr>
            <w:tcW w:type="dxa" w:w="225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left"/>
            </w:pPr>
            <w:r>
              <w:rPr>
                <w:rFonts w:ascii="Arial" w:cs="Arial" w:eastAsia="Arial" w:hAnsi="Arial"/>
                <w:color w:val="2D3748"/>
                <w:sz w:val="18"/>
                <w:szCs w:val="18"/>
              </w:rPr>
              <w:t xml:space="preserve">Consommateurs moyens</w:t>
            </w:r>
          </w:p>
        </w:tc>
        <w:tc>
          <w:tcPr>
            <w:tcW w:type="dxa" w:w="225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Souscrit</w:t>
            </w:r>
          </w:p>
        </w:tc>
        <w:tc>
          <w:tcPr>
            <w:tcW w:type="dxa" w:w="225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5-10 Go</w:t>
            </w:r>
          </w:p>
        </w:tc>
        <w:tc>
          <w:tcPr>
            <w:tcW w:type="dxa" w:w="225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∼19 %</w:t>
            </w:r>
          </w:p>
        </w:tc>
      </w:tr>
    </w:tbl>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68910" w:sz="20"/>
              <w:bottom w:val="none" w:color="FFFFFF" w:sz="0"/>
              <w:right w:val="none" w:color="FFFFFF" w:sz="0"/>
            </w:tcBorders>
            <w:shd w:fill="FEF9E7" w:val="clear"/>
            <w:tcMar>
              <w:top w:type="dxa" w:w="100"/>
              <w:left w:type="dxa" w:w="200"/>
              <w:bottom w:type="dxa" w:w="100"/>
              <w:right w:type="dxa" w:w="200"/>
            </w:tcMar>
          </w:tcPr>
          <w:p>
            <w:r>
              <w:rPr>
                <w:rFonts w:ascii="Arial" w:cs="Arial" w:eastAsia="Arial" w:hAnsi="Arial"/>
                <w:color w:val="2D3748"/>
                <w:sz w:val="19"/>
                <w:szCs w:val="19"/>
              </w:rPr>
              <w:t xml:space="preserve">💡  Les clients qui consomment beaucoup sans avoir souscrit au plan illimité sont fortement exposés au churn — probablement à cause de la facturation à l'usage jugée trop élevée. Une recommandation proactive du bon forfait réduit ce risque.</w:t>
            </w:r>
          </w:p>
        </w:tc>
      </w:tr>
    </w:tbl>
    <w:p>
      <w:pPr>
        <w:spacing w:after="0" w:before="140"/>
      </w:pPr>
      <w:r>
        <w:t xml:space="preserve"/>
      </w:r>
    </w:p>
    <w:p>
      <w:pPr>
        <w:spacing w:after="80" w:before="280"/>
      </w:pPr>
      <w:r>
        <w:rPr>
          <w:rFonts w:ascii="Arial" w:cs="Arial" w:eastAsia="Arial" w:hAnsi="Arial"/>
          <w:b/>
          <w:bCs/>
          <w:color w:val="2E86AB"/>
          <w:sz w:val="22"/>
          <w:szCs w:val="22"/>
        </w:rPr>
        <w:t xml:space="preserve">6.2 Appels internationaux</w:t>
      </w:r>
    </w:p>
    <w:p>
      <w:pPr>
        <w:spacing w:after="60" w:before="60"/>
      </w:pPr>
      <w:r>
        <w:rPr>
          <w:rFonts w:ascii="Arial" w:cs="Arial" w:eastAsia="Arial" w:hAnsi="Arial"/>
          <w:color w:val="2D3748"/>
          <w:sz w:val="20"/>
          <w:szCs w:val="20"/>
        </w:rPr>
        <w:t xml:space="preserve">La page « International Call » révèle que les clients avec un plan international actif mais qui n'utilisent pas ce plan churent davantage que les autres. À l'inverse, les clients actifs sur les appels internationaux sans plan dédié paient plus et sont aussi à risque. Cela suggère un problème d'adéquation offre/usage pour ce segment.</w:t>
      </w:r>
    </w:p>
    <w:p>
      <w:pPr>
        <w:spacing w:after="0" w:before="200"/>
      </w:pPr>
      <w:r>
        <w:t xml:space="preserve"/>
      </w:r>
    </w:p>
    <w:p>
      <w:pPr>
        <w:pBdr>
          <w:bottom w:val="single" w:color="2E86AB" w:sz="8" w:space="4"/>
        </w:pBdr>
        <w:spacing w:after="120" w:before="400"/>
      </w:pPr>
      <w:r>
        <w:rPr>
          <w:rFonts w:ascii="Arial" w:cs="Arial" w:eastAsia="Arial" w:hAnsi="Arial"/>
          <w:b/>
          <w:bCs/>
          <w:color w:val="1A2E4A"/>
          <w:spacing w:val="40"/>
          <w:sz w:val="26"/>
          <w:szCs w:val="26"/>
        </w:rPr>
        <w:t xml:space="preserve">7. ANALYSE GÉOGRAPHIQUE</w:t>
      </w:r>
    </w:p>
    <w:p>
      <w:pPr>
        <w:spacing w:after="60" w:before="60"/>
      </w:pPr>
      <w:r>
        <w:rPr>
          <w:rFonts w:ascii="Arial" w:cs="Arial" w:eastAsia="Arial" w:hAnsi="Arial"/>
          <w:color w:val="2D3748"/>
          <w:sz w:val="20"/>
          <w:szCs w:val="20"/>
        </w:rPr>
        <w:t xml:space="preserve">La carte de la page « Churn by Stat » met en évidence des disparités géographiques importantes selon les États américains. Certains États présentent des taux de churn bien au-dessus de la moyenne nationale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2"/>
              <w:left w:val="single" w:color="CCCCCC" w:sz="2"/>
              <w:bottom w:val="single" w:color="CCCCCC" w:sz="2"/>
              <w:right w:val="single" w:color="CCCCCC" w:sz="2"/>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État</w:t>
            </w:r>
          </w:p>
        </w:tc>
        <w:tc>
          <w:tcPr>
            <w:tcW w:type="dxa" w:w="3008"/>
            <w:tcBorders>
              <w:top w:val="single" w:color="CCCCCC" w:sz="2"/>
              <w:left w:val="single" w:color="CCCCCC" w:sz="2"/>
              <w:bottom w:val="single" w:color="CCCCCC" w:sz="2"/>
              <w:right w:val="single" w:color="CCCCCC" w:sz="2"/>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Niveau de Churn</w:t>
            </w:r>
          </w:p>
        </w:tc>
        <w:tc>
          <w:tcPr>
            <w:tcW w:type="dxa" w:w="3008"/>
            <w:tcBorders>
              <w:top w:val="single" w:color="CCCCCC" w:sz="2"/>
              <w:left w:val="single" w:color="CCCCCC" w:sz="2"/>
              <w:bottom w:val="single" w:color="CCCCCC" w:sz="2"/>
              <w:right w:val="single" w:color="CCCCCC" w:sz="2"/>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Priorité d'action</w:t>
            </w:r>
          </w:p>
        </w:tc>
      </w:tr>
      <w:tr>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left"/>
            </w:pPr>
            <w:r>
              <w:rPr>
                <w:rFonts w:ascii="Arial" w:cs="Arial" w:eastAsia="Arial" w:hAnsi="Arial"/>
                <w:color w:val="2D3748"/>
                <w:sz w:val="18"/>
                <w:szCs w:val="18"/>
              </w:rPr>
              <w:t xml:space="preserve">Californie (CA)</w:t>
            </w:r>
          </w:p>
        </w:tc>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Très élevé (∼63 %)</w:t>
            </w:r>
          </w:p>
        </w:tc>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 Priorité 1</w:t>
            </w:r>
          </w:p>
        </w:tc>
      </w:tr>
      <w:tr>
        <w:tc>
          <w:tcPr>
            <w:tcW w:type="dxa" w:w="3008"/>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left"/>
            </w:pPr>
            <w:r>
              <w:rPr>
                <w:rFonts w:ascii="Arial" w:cs="Arial" w:eastAsia="Arial" w:hAnsi="Arial"/>
                <w:color w:val="2D3748"/>
                <w:sz w:val="18"/>
                <w:szCs w:val="18"/>
              </w:rPr>
              <w:t xml:space="preserve">Indiana (IN)</w:t>
            </w:r>
          </w:p>
        </w:tc>
        <w:tc>
          <w:tcPr>
            <w:tcW w:type="dxa" w:w="3008"/>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center"/>
            </w:pPr>
            <w:r>
              <w:rPr>
                <w:rFonts w:ascii="Arial" w:cs="Arial" w:eastAsia="Arial" w:hAnsi="Arial"/>
                <w:color w:val="2D3748"/>
                <w:sz w:val="18"/>
                <w:szCs w:val="18"/>
              </w:rPr>
              <w:t xml:space="preserve">Élevé</w:t>
            </w:r>
          </w:p>
        </w:tc>
        <w:tc>
          <w:tcPr>
            <w:tcW w:type="dxa" w:w="3008"/>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center"/>
            </w:pPr>
            <w:r>
              <w:rPr>
                <w:rFonts w:ascii="Arial" w:cs="Arial" w:eastAsia="Arial" w:hAnsi="Arial"/>
                <w:color w:val="2D3748"/>
                <w:sz w:val="18"/>
                <w:szCs w:val="18"/>
              </w:rPr>
              <w:t xml:space="preserve">🟠 Priorité 2</w:t>
            </w:r>
          </w:p>
        </w:tc>
      </w:tr>
      <w:tr>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left"/>
            </w:pPr>
            <w:r>
              <w:rPr>
                <w:rFonts w:ascii="Arial" w:cs="Arial" w:eastAsia="Arial" w:hAnsi="Arial"/>
                <w:color w:val="2D3748"/>
                <w:sz w:val="18"/>
                <w:szCs w:val="18"/>
              </w:rPr>
              <w:t xml:space="preserve">New Hampshire (NH)</w:t>
            </w:r>
          </w:p>
        </w:tc>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Élevé</w:t>
            </w:r>
          </w:p>
        </w:tc>
        <w:tc>
          <w:tcPr>
            <w:tcW w:type="dxa" w:w="30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 Priorité 2</w:t>
            </w:r>
          </w:p>
        </w:tc>
      </w:tr>
      <w:tr>
        <w:tc>
          <w:tcPr>
            <w:tcW w:type="dxa" w:w="3008"/>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left"/>
            </w:pPr>
            <w:r>
              <w:rPr>
                <w:rFonts w:ascii="Arial" w:cs="Arial" w:eastAsia="Arial" w:hAnsi="Arial"/>
                <w:color w:val="2D3748"/>
                <w:sz w:val="18"/>
                <w:szCs w:val="18"/>
              </w:rPr>
              <w:t xml:space="preserve">Autres États</w:t>
            </w:r>
          </w:p>
        </w:tc>
        <w:tc>
          <w:tcPr>
            <w:tcW w:type="dxa" w:w="3008"/>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center"/>
            </w:pPr>
            <w:r>
              <w:rPr>
                <w:rFonts w:ascii="Arial" w:cs="Arial" w:eastAsia="Arial" w:hAnsi="Arial"/>
                <w:color w:val="2D3748"/>
                <w:sz w:val="18"/>
                <w:szCs w:val="18"/>
              </w:rPr>
              <w:t xml:space="preserve">Dans la moyenne</w:t>
            </w:r>
          </w:p>
        </w:tc>
        <w:tc>
          <w:tcPr>
            <w:tcW w:type="dxa" w:w="3008"/>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center"/>
            </w:pPr>
            <w:r>
              <w:rPr>
                <w:rFonts w:ascii="Arial" w:cs="Arial" w:eastAsia="Arial" w:hAnsi="Arial"/>
                <w:color w:val="2D3748"/>
                <w:sz w:val="18"/>
                <w:szCs w:val="18"/>
              </w:rPr>
              <w:t xml:space="preserve">🟡 Surveillance</w:t>
            </w:r>
          </w:p>
        </w:tc>
      </w:tr>
    </w:tbl>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392B" w:sz="20"/>
              <w:bottom w:val="none" w:color="FFFFFF" w:sz="0"/>
              <w:right w:val="none" w:color="FFFFFF" w:sz="0"/>
            </w:tcBorders>
            <w:shd w:fill="FADBD8" w:val="clear"/>
            <w:tcMar>
              <w:top w:type="dxa" w:w="100"/>
              <w:left w:type="dxa" w:w="200"/>
              <w:bottom w:type="dxa" w:w="100"/>
              <w:right w:type="dxa" w:w="200"/>
            </w:tcMar>
          </w:tcPr>
          <w:p>
            <w:r>
              <w:rPr>
                <w:rFonts w:ascii="Arial" w:cs="Arial" w:eastAsia="Arial" w:hAnsi="Arial"/>
                <w:color w:val="2D3748"/>
                <w:sz w:val="19"/>
                <w:szCs w:val="19"/>
              </w:rPr>
              <w:t xml:space="preserve">🔴  La Californie est un cas extrême avec un taux de churn estimé à 63 %. Une investigation locale s'impose : concurrence locale intense, problème réseau spécifique ou inadéquation tarifaire sur ce marché.</w:t>
            </w:r>
          </w:p>
        </w:tc>
      </w:tr>
    </w:tbl>
    <w:p>
      <w:pPr>
        <w:spacing w:after="0" w:before="200"/>
      </w:pPr>
      <w:r>
        <w:t xml:space="preserve"/>
      </w:r>
    </w:p>
    <w:p>
      <w:pPr>
        <w:pBdr>
          <w:bottom w:val="single" w:color="2E86AB" w:sz="8" w:space="4"/>
        </w:pBdr>
        <w:spacing w:after="120" w:before="400"/>
      </w:pPr>
      <w:r>
        <w:rPr>
          <w:rFonts w:ascii="Arial" w:cs="Arial" w:eastAsia="Arial" w:hAnsi="Arial"/>
          <w:b/>
          <w:bCs/>
          <w:color w:val="1A2E4A"/>
          <w:spacing w:val="40"/>
          <w:sz w:val="26"/>
          <w:szCs w:val="26"/>
        </w:rPr>
        <w:t xml:space="preserve">8. RECOMMANDATIONS STRATÉGIQUES</w:t>
      </w:r>
    </w:p>
    <w:p>
      <w:pPr>
        <w:spacing w:after="60" w:before="60"/>
      </w:pPr>
      <w:r>
        <w:rPr>
          <w:rFonts w:ascii="Arial" w:cs="Arial" w:eastAsia="Arial" w:hAnsi="Arial"/>
          <w:color w:val="2D3748"/>
          <w:sz w:val="20"/>
          <w:szCs w:val="20"/>
        </w:rPr>
        <w:t xml:space="preserve">Sur la base de l'ensemble des analyses conduites, voici les recommandations prioritaires classées par impact potentiel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2"/>
              <w:left w:val="single" w:color="CCCCCC" w:sz="2"/>
              <w:bottom w:val="single" w:color="CCCCCC" w:sz="2"/>
              <w:right w:val="single" w:color="CCCCCC" w:sz="2"/>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Priorité</w:t>
            </w:r>
          </w:p>
        </w:tc>
        <w:tc>
          <w:tcPr>
            <w:tcW w:type="dxa" w:w="2256"/>
            <w:tcBorders>
              <w:top w:val="single" w:color="CCCCCC" w:sz="2"/>
              <w:left w:val="single" w:color="CCCCCC" w:sz="2"/>
              <w:bottom w:val="single" w:color="CCCCCC" w:sz="2"/>
              <w:right w:val="single" w:color="CCCCCC" w:sz="2"/>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 recommandée</w:t>
            </w:r>
          </w:p>
        </w:tc>
        <w:tc>
          <w:tcPr>
            <w:tcW w:type="dxa" w:w="2256"/>
            <w:tcBorders>
              <w:top w:val="single" w:color="CCCCCC" w:sz="2"/>
              <w:left w:val="single" w:color="CCCCCC" w:sz="2"/>
              <w:bottom w:val="single" w:color="CCCCCC" w:sz="2"/>
              <w:right w:val="single" w:color="CCCCCC" w:sz="2"/>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Segment ciblé</w:t>
            </w:r>
          </w:p>
        </w:tc>
        <w:tc>
          <w:tcPr>
            <w:tcW w:type="dxa" w:w="2256"/>
            <w:tcBorders>
              <w:top w:val="single" w:color="CCCCCC" w:sz="2"/>
              <w:left w:val="single" w:color="CCCCCC" w:sz="2"/>
              <w:bottom w:val="single" w:color="CCCCCC" w:sz="2"/>
              <w:right w:val="single" w:color="CCCCCC" w:sz="2"/>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 attendu</w:t>
            </w:r>
          </w:p>
        </w:tc>
      </w:tr>
      <w:tr>
        <w:tc>
          <w:tcPr>
            <w:tcW w:type="dxa" w:w="225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left"/>
            </w:pPr>
            <w:r>
              <w:rPr>
                <w:rFonts w:ascii="Arial" w:cs="Arial" w:eastAsia="Arial" w:hAnsi="Arial"/>
                <w:color w:val="2D3748"/>
                <w:sz w:val="18"/>
                <w:szCs w:val="18"/>
              </w:rPr>
              <w:t xml:space="preserve">🔴 1</w:t>
            </w:r>
          </w:p>
        </w:tc>
        <w:tc>
          <w:tcPr>
            <w:tcW w:type="dxa" w:w="225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Incentiver les contrats longue durée (remise 2 ans)</w:t>
            </w:r>
          </w:p>
        </w:tc>
        <w:tc>
          <w:tcPr>
            <w:tcW w:type="dxa" w:w="225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Clients Month-to-Month</w:t>
            </w:r>
          </w:p>
        </w:tc>
        <w:tc>
          <w:tcPr>
            <w:tcW w:type="dxa" w:w="225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Fort</w:t>
            </w:r>
          </w:p>
        </w:tc>
      </w:tr>
      <w:tr>
        <w:tc>
          <w:tcPr>
            <w:tcW w:type="dxa" w:w="2256"/>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left"/>
            </w:pPr>
            <w:r>
              <w:rPr>
                <w:rFonts w:ascii="Arial" w:cs="Arial" w:eastAsia="Arial" w:hAnsi="Arial"/>
                <w:color w:val="2D3748"/>
                <w:sz w:val="18"/>
                <w:szCs w:val="18"/>
              </w:rPr>
              <w:t xml:space="preserve">🔴 2</w:t>
            </w:r>
          </w:p>
        </w:tc>
        <w:tc>
          <w:tcPr>
            <w:tcW w:type="dxa" w:w="2256"/>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center"/>
            </w:pPr>
            <w:r>
              <w:rPr>
                <w:rFonts w:ascii="Arial" w:cs="Arial" w:eastAsia="Arial" w:hAnsi="Arial"/>
                <w:color w:val="2D3748"/>
                <w:sz w:val="18"/>
                <w:szCs w:val="18"/>
              </w:rPr>
              <w:t xml:space="preserve">Programme de fidélisation seniors spécifique</w:t>
            </w:r>
          </w:p>
        </w:tc>
        <w:tc>
          <w:tcPr>
            <w:tcW w:type="dxa" w:w="2256"/>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center"/>
            </w:pPr>
            <w:r>
              <w:rPr>
                <w:rFonts w:ascii="Arial" w:cs="Arial" w:eastAsia="Arial" w:hAnsi="Arial"/>
                <w:color w:val="2D3748"/>
                <w:sz w:val="18"/>
                <w:szCs w:val="18"/>
              </w:rPr>
              <w:t xml:space="preserve">65+ ans</w:t>
            </w:r>
          </w:p>
        </w:tc>
        <w:tc>
          <w:tcPr>
            <w:tcW w:type="dxa" w:w="2256"/>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center"/>
            </w:pPr>
            <w:r>
              <w:rPr>
                <w:rFonts w:ascii="Arial" w:cs="Arial" w:eastAsia="Arial" w:hAnsi="Arial"/>
                <w:color w:val="2D3748"/>
                <w:sz w:val="18"/>
                <w:szCs w:val="18"/>
              </w:rPr>
              <w:t xml:space="preserve">Fort</w:t>
            </w:r>
          </w:p>
        </w:tc>
      </w:tr>
      <w:tr>
        <w:tc>
          <w:tcPr>
            <w:tcW w:type="dxa" w:w="225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left"/>
            </w:pPr>
            <w:r>
              <w:rPr>
                <w:rFonts w:ascii="Arial" w:cs="Arial" w:eastAsia="Arial" w:hAnsi="Arial"/>
                <w:color w:val="2D3748"/>
                <w:sz w:val="18"/>
                <w:szCs w:val="18"/>
              </w:rPr>
              <w:t xml:space="preserve">🟠 3</w:t>
            </w:r>
          </w:p>
        </w:tc>
        <w:tc>
          <w:tcPr>
            <w:tcW w:type="dxa" w:w="225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Recommandation proactive du plan illimité</w:t>
            </w:r>
          </w:p>
        </w:tc>
        <w:tc>
          <w:tcPr>
            <w:tcW w:type="dxa" w:w="225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Gros consommateurs sans plan</w:t>
            </w:r>
          </w:p>
        </w:tc>
        <w:tc>
          <w:tcPr>
            <w:tcW w:type="dxa" w:w="225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Moyen-Fort</w:t>
            </w:r>
          </w:p>
        </w:tc>
      </w:tr>
      <w:tr>
        <w:tc>
          <w:tcPr>
            <w:tcW w:type="dxa" w:w="2256"/>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left"/>
            </w:pPr>
            <w:r>
              <w:rPr>
                <w:rFonts w:ascii="Arial" w:cs="Arial" w:eastAsia="Arial" w:hAnsi="Arial"/>
                <w:color w:val="2D3748"/>
                <w:sz w:val="18"/>
                <w:szCs w:val="18"/>
              </w:rPr>
              <w:t xml:space="preserve">🟠 4</w:t>
            </w:r>
          </w:p>
        </w:tc>
        <w:tc>
          <w:tcPr>
            <w:tcW w:type="dxa" w:w="2256"/>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center"/>
            </w:pPr>
            <w:r>
              <w:rPr>
                <w:rFonts w:ascii="Arial" w:cs="Arial" w:eastAsia="Arial" w:hAnsi="Arial"/>
                <w:color w:val="2D3748"/>
                <w:sz w:val="18"/>
                <w:szCs w:val="18"/>
              </w:rPr>
              <w:t xml:space="preserve">Investigation et plan d'action Californie</w:t>
            </w:r>
          </w:p>
        </w:tc>
        <w:tc>
          <w:tcPr>
            <w:tcW w:type="dxa" w:w="2256"/>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center"/>
            </w:pPr>
            <w:r>
              <w:rPr>
                <w:rFonts w:ascii="Arial" w:cs="Arial" w:eastAsia="Arial" w:hAnsi="Arial"/>
                <w:color w:val="2D3748"/>
                <w:sz w:val="18"/>
                <w:szCs w:val="18"/>
              </w:rPr>
              <w:t xml:space="preserve">État CA</w:t>
            </w:r>
          </w:p>
        </w:tc>
        <w:tc>
          <w:tcPr>
            <w:tcW w:type="dxa" w:w="2256"/>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center"/>
            </w:pPr>
            <w:r>
              <w:rPr>
                <w:rFonts w:ascii="Arial" w:cs="Arial" w:eastAsia="Arial" w:hAnsi="Arial"/>
                <w:color w:val="2D3748"/>
                <w:sz w:val="18"/>
                <w:szCs w:val="18"/>
              </w:rPr>
              <w:t xml:space="preserve">Moyen</w:t>
            </w:r>
          </w:p>
        </w:tc>
      </w:tr>
      <w:tr>
        <w:tc>
          <w:tcPr>
            <w:tcW w:type="dxa" w:w="225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left"/>
            </w:pPr>
            <w:r>
              <w:rPr>
                <w:rFonts w:ascii="Arial" w:cs="Arial" w:eastAsia="Arial" w:hAnsi="Arial"/>
                <w:color w:val="2D3748"/>
                <w:sz w:val="18"/>
                <w:szCs w:val="18"/>
              </w:rPr>
              <w:t xml:space="preserve">🟡 5</w:t>
            </w:r>
          </w:p>
        </w:tc>
        <w:tc>
          <w:tcPr>
            <w:tcW w:type="dxa" w:w="225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Amélioration expérience onboarding (0-6 mois)</w:t>
            </w:r>
          </w:p>
        </w:tc>
        <w:tc>
          <w:tcPr>
            <w:tcW w:type="dxa" w:w="225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Nouveaux clients</w:t>
            </w:r>
          </w:p>
        </w:tc>
        <w:tc>
          <w:tcPr>
            <w:tcW w:type="dxa" w:w="225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rFonts w:ascii="Arial" w:cs="Arial" w:eastAsia="Arial" w:hAnsi="Arial"/>
                <w:color w:val="2D3748"/>
                <w:sz w:val="18"/>
                <w:szCs w:val="18"/>
              </w:rPr>
              <w:t xml:space="preserve">Moyen</w:t>
            </w:r>
          </w:p>
        </w:tc>
      </w:tr>
      <w:tr>
        <w:tc>
          <w:tcPr>
            <w:tcW w:type="dxa" w:w="2256"/>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left"/>
            </w:pPr>
            <w:r>
              <w:rPr>
                <w:rFonts w:ascii="Arial" w:cs="Arial" w:eastAsia="Arial" w:hAnsi="Arial"/>
                <w:color w:val="2D3748"/>
                <w:sz w:val="18"/>
                <w:szCs w:val="18"/>
              </w:rPr>
              <w:t xml:space="preserve">🟡 6</w:t>
            </w:r>
          </w:p>
        </w:tc>
        <w:tc>
          <w:tcPr>
            <w:tcW w:type="dxa" w:w="2256"/>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center"/>
            </w:pPr>
            <w:r>
              <w:rPr>
                <w:rFonts w:ascii="Arial" w:cs="Arial" w:eastAsia="Arial" w:hAnsi="Arial"/>
                <w:color w:val="2D3748"/>
                <w:sz w:val="18"/>
                <w:szCs w:val="18"/>
              </w:rPr>
              <w:t xml:space="preserve">Audit de l'offre internationale</w:t>
            </w:r>
          </w:p>
        </w:tc>
        <w:tc>
          <w:tcPr>
            <w:tcW w:type="dxa" w:w="2256"/>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center"/>
            </w:pPr>
            <w:r>
              <w:rPr>
                <w:rFonts w:ascii="Arial" w:cs="Arial" w:eastAsia="Arial" w:hAnsi="Arial"/>
                <w:color w:val="2D3748"/>
                <w:sz w:val="18"/>
                <w:szCs w:val="18"/>
              </w:rPr>
              <w:t xml:space="preserve">Clients Intl actifs/inactifs</w:t>
            </w:r>
          </w:p>
        </w:tc>
        <w:tc>
          <w:tcPr>
            <w:tcW w:type="dxa" w:w="2256"/>
            <w:tcBorders>
              <w:top w:val="single" w:color="CCCCCC" w:sz="2"/>
              <w:left w:val="single" w:color="CCCCCC" w:sz="2"/>
              <w:bottom w:val="single" w:color="CCCCCC" w:sz="2"/>
              <w:right w:val="single" w:color="CCCCCC" w:sz="2"/>
            </w:tcBorders>
            <w:shd w:fill="F4F6F8" w:val="clear"/>
            <w:tcMar>
              <w:top w:type="dxa" w:w="70"/>
              <w:left w:type="dxa" w:w="120"/>
              <w:bottom w:type="dxa" w:w="70"/>
              <w:right w:type="dxa" w:w="120"/>
            </w:tcMar>
          </w:tcPr>
          <w:p>
            <w:pPr>
              <w:jc w:val="center"/>
            </w:pPr>
            <w:r>
              <w:rPr>
                <w:rFonts w:ascii="Arial" w:cs="Arial" w:eastAsia="Arial" w:hAnsi="Arial"/>
                <w:color w:val="2D3748"/>
                <w:sz w:val="18"/>
                <w:szCs w:val="18"/>
              </w:rPr>
              <w:t xml:space="preserve">Moyen</w:t>
            </w:r>
          </w:p>
        </w:tc>
      </w:tr>
    </w:tbl>
    <w:p>
      <w:pPr>
        <w:spacing w:after="0" w:before="200"/>
      </w:pPr>
      <w:r>
        <w:t xml:space="preserve"/>
      </w:r>
    </w:p>
    <w:p>
      <w:pPr>
        <w:pBdr>
          <w:bottom w:val="single" w:color="2E86AB" w:sz="8" w:space="4"/>
        </w:pBdr>
        <w:spacing w:after="120" w:before="400"/>
      </w:pPr>
      <w:r>
        <w:rPr>
          <w:rFonts w:ascii="Arial" w:cs="Arial" w:eastAsia="Arial" w:hAnsi="Arial"/>
          <w:b/>
          <w:bCs/>
          <w:color w:val="1A2E4A"/>
          <w:spacing w:val="40"/>
          <w:sz w:val="26"/>
          <w:szCs w:val="26"/>
        </w:rPr>
        <w:t xml:space="preserve">9. CONCLUSION</w:t>
      </w:r>
    </w:p>
    <w:p>
      <w:pPr>
        <w:spacing w:after="60" w:before="60"/>
      </w:pPr>
      <w:r>
        <w:rPr>
          <w:rFonts w:ascii="Arial" w:cs="Arial" w:eastAsia="Arial" w:hAnsi="Arial"/>
          <w:color w:val="2D3748"/>
          <w:sz w:val="20"/>
          <w:szCs w:val="20"/>
        </w:rPr>
        <w:t xml:space="preserve">Cette analyse Power BI du dataset Databel met en évidence un taux de churn de 26,9 % qui dépasse les standards sectoriels. Les principaux facteurs de risque identifiés sont : l'absence d'engagement contractuel long terme, l'appartenance au segment senior, une inadéquation entre l'offre souscrite et les usages réels, ainsi que des disparités géographiques marquées — notamment en Californie.</w:t>
      </w:r>
    </w:p>
    <w:p>
      <w:pPr>
        <w:spacing w:after="0" w:before="80"/>
      </w:pPr>
      <w:r>
        <w:t xml:space="preserve"/>
      </w:r>
    </w:p>
    <w:p>
      <w:pPr>
        <w:spacing w:after="60" w:before="60"/>
      </w:pPr>
      <w:r>
        <w:rPr>
          <w:rFonts w:ascii="Arial" w:cs="Arial" w:eastAsia="Arial" w:hAnsi="Arial"/>
          <w:color w:val="2D3748"/>
          <w:sz w:val="20"/>
          <w:szCs w:val="20"/>
        </w:rPr>
        <w:t xml:space="preserve">La concurrence reste le moteur numéro un du départ client (∼45 % des cas), ce qui invite Databel à renforcer sa proposition de valeur et à ajuster son positionnement tarifaire face aux acteurs concurrents.</w:t>
      </w:r>
    </w:p>
    <w:p>
      <w:pPr>
        <w:spacing w:after="0" w:before="80"/>
      </w:pPr>
      <w:r>
        <w:t xml:space="preserve"/>
      </w:r>
    </w:p>
    <w:p>
      <w:pPr>
        <w:spacing w:after="60" w:before="60"/>
      </w:pPr>
      <w:r>
        <w:rPr>
          <w:rFonts w:ascii="Arial" w:cs="Arial" w:eastAsia="Arial" w:hAnsi="Arial"/>
          <w:color w:val="2D3748"/>
          <w:sz w:val="20"/>
          <w:szCs w:val="20"/>
        </w:rPr>
        <w:t xml:space="preserve">Les mesures de rétention les plus efficaces combineront des incitations contractuelles longue durée, un accompagnement personnalisé des segments vulnérables, et une meilleure adéquation entre les offres proposées et les comportements de consommation réels.</w:t>
      </w:r>
    </w:p>
    <w:p>
      <w:pPr>
        <w:spacing w:after="0" w:before="200"/>
      </w:pPr>
      <w:r>
        <w:t xml:space="preserve"/>
      </w:r>
    </w:p>
    <w:p>
      <w:pPr>
        <w:pBdr>
          <w:bottom w:val="single" w:color="2E86AB" w:sz="8" w:space="4"/>
        </w:pBdr>
        <w:spacing w:after="120" w:before="400"/>
      </w:pPr>
      <w:r>
        <w:rPr>
          <w:rFonts w:ascii="Arial" w:cs="Arial" w:eastAsia="Arial" w:hAnsi="Arial"/>
          <w:b/>
          <w:bCs/>
          <w:color w:val="1A2E4A"/>
          <w:spacing w:val="40"/>
          <w:sz w:val="26"/>
          <w:szCs w:val="26"/>
        </w:rPr>
        <w:t xml:space="preserve">OUTILS &amp; MÉTHODOLOGIE</w:t>
      </w:r>
    </w:p>
    <w:p>
      <w:pPr>
        <w:spacing w:after="50" w:before="50"/>
        <w:ind w:left="360" w:hanging="220"/>
      </w:pPr>
      <w:r>
        <w:rPr>
          <w:rFonts w:ascii="Arial" w:cs="Arial" w:eastAsia="Arial" w:hAnsi="Arial"/>
          <w:color w:val="2E86AB"/>
          <w:sz w:val="20"/>
          <w:szCs w:val="20"/>
        </w:rPr>
        <w:t xml:space="preserve">▸  </w:t>
      </w:r>
      <w:r>
        <w:rPr>
          <w:rFonts w:ascii="Arial" w:cs="Arial" w:eastAsia="Arial" w:hAnsi="Arial"/>
          <w:b w:val="false"/>
          <w:bCs w:val="false"/>
          <w:color w:val="2D3748"/>
          <w:sz w:val="20"/>
          <w:szCs w:val="20"/>
        </w:rPr>
        <w:t xml:space="preserve">Source de données : Dataset Databel (fichier CSV — données télécom simulées)</w:t>
      </w:r>
    </w:p>
    <w:p>
      <w:pPr>
        <w:spacing w:after="50" w:before="50"/>
        <w:ind w:left="360" w:hanging="220"/>
      </w:pPr>
      <w:r>
        <w:rPr>
          <w:rFonts w:ascii="Arial" w:cs="Arial" w:eastAsia="Arial" w:hAnsi="Arial"/>
          <w:color w:val="2E86AB"/>
          <w:sz w:val="20"/>
          <w:szCs w:val="20"/>
        </w:rPr>
        <w:t xml:space="preserve">▸  </w:t>
      </w:r>
      <w:r>
        <w:rPr>
          <w:rFonts w:ascii="Arial" w:cs="Arial" w:eastAsia="Arial" w:hAnsi="Arial"/>
          <w:b w:val="false"/>
          <w:bCs w:val="false"/>
          <w:color w:val="2D3748"/>
          <w:sz w:val="20"/>
          <w:szCs w:val="20"/>
        </w:rPr>
        <w:t xml:space="preserve">Outil de visualisation : Microsoft Power BI Desktop</w:t>
      </w:r>
    </w:p>
    <w:p>
      <w:pPr>
        <w:spacing w:after="50" w:before="50"/>
        <w:ind w:left="360" w:hanging="220"/>
      </w:pPr>
      <w:r>
        <w:rPr>
          <w:rFonts w:ascii="Arial" w:cs="Arial" w:eastAsia="Arial" w:hAnsi="Arial"/>
          <w:color w:val="2E86AB"/>
          <w:sz w:val="20"/>
          <w:szCs w:val="20"/>
        </w:rPr>
        <w:t xml:space="preserve">▸  </w:t>
      </w:r>
      <w:r>
        <w:rPr>
          <w:rFonts w:ascii="Arial" w:cs="Arial" w:eastAsia="Arial" w:hAnsi="Arial"/>
          <w:b w:val="false"/>
          <w:bCs w:val="false"/>
          <w:color w:val="2D3748"/>
          <w:sz w:val="20"/>
          <w:szCs w:val="20"/>
        </w:rPr>
        <w:t xml:space="preserve">Mesures DAX créées : Churn Rate, Number of Churned Customers, Number of Customers</w:t>
      </w:r>
    </w:p>
    <w:p>
      <w:pPr>
        <w:spacing w:after="50" w:before="50"/>
        <w:ind w:left="360" w:hanging="220"/>
      </w:pPr>
      <w:r>
        <w:rPr>
          <w:rFonts w:ascii="Arial" w:cs="Arial" w:eastAsia="Arial" w:hAnsi="Arial"/>
          <w:color w:val="2E86AB"/>
          <w:sz w:val="20"/>
          <w:szCs w:val="20"/>
        </w:rPr>
        <w:t xml:space="preserve">▸  </w:t>
      </w:r>
      <w:r>
        <w:rPr>
          <w:rFonts w:ascii="Arial" w:cs="Arial" w:eastAsia="Arial" w:hAnsi="Arial"/>
          <w:b w:val="false"/>
          <w:bCs w:val="false"/>
          <w:color w:val="2D3748"/>
          <w:sz w:val="20"/>
          <w:szCs w:val="20"/>
        </w:rPr>
        <w:t xml:space="preserve">Pages d'analyse : Data Check, Churn Category, Churn Reason, Géographie, Démographie, Tranches d'âge, Groupes, Contrats, Plan Data, Appels Internationaux, Méthode de paiement</w:t>
      </w:r>
    </w:p>
    <w:p>
      <w:pPr>
        <w:spacing w:after="50" w:before="50"/>
        <w:ind w:left="360" w:hanging="220"/>
      </w:pPr>
      <w:r>
        <w:rPr>
          <w:rFonts w:ascii="Arial" w:cs="Arial" w:eastAsia="Arial" w:hAnsi="Arial"/>
          <w:color w:val="2E86AB"/>
          <w:sz w:val="20"/>
          <w:szCs w:val="20"/>
        </w:rPr>
        <w:t xml:space="preserve">▸  </w:t>
      </w:r>
      <w:r>
        <w:rPr>
          <w:rFonts w:ascii="Arial" w:cs="Arial" w:eastAsia="Arial" w:hAnsi="Arial"/>
          <w:b w:val="false"/>
          <w:bCs w:val="false"/>
          <w:color w:val="2D3748"/>
          <w:sz w:val="20"/>
          <w:szCs w:val="20"/>
        </w:rPr>
        <w:t xml:space="preserve">Auteur : Haroun Elias — Bachelor Big Data / IA, Hétic Paris</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Analyse du Taux de Désabonnement Client — Databel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2026-04-16T09:40:55.351Z</dcterms:created>
  <dcterms:modified xsi:type="dcterms:W3CDTF">2026-04-16T09:40:55.352Z</dcterms:modified>
</cp:coreProperties>
</file>

<file path=docProps/custom.xml><?xml version="1.0" encoding="utf-8"?>
<Properties xmlns="http://schemas.openxmlformats.org/officeDocument/2006/custom-properties" xmlns:vt="http://schemas.openxmlformats.org/officeDocument/2006/docPropsVTypes"/>
</file>