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pStyle w:val="Heading1"/>
        <w:jc w:val="center"/>
      </w:pPr>
      <w:r>
        <w:rPr>
          <w:color w:val="1A3A6B"/>
          <w:sz w:val="40"/>
        </w:rPr>
        <w:t>DWFA — Drinking Water For All</w:t>
      </w:r>
    </w:p>
    <w:p>
      <w:pPr>
        <w:pStyle w:val="Heading2"/>
        <w:jc w:val="center"/>
      </w:pPr>
      <w:r>
        <w:rPr>
          <w:color w:val="2368A0"/>
        </w:rPr>
        <w:t>Modèle Print — Tableau de bord accès à l'eau</w:t>
      </w:r>
    </w:p>
    <w:p>
      <w:pPr>
        <w:jc w:val="center"/>
      </w:pPr>
      <w:r>
        <w:rPr>
          <w:i/>
          <w:color w:val="555555"/>
          <w:sz w:val="20"/>
        </w:rPr>
        <w:t>Document de synthèse des indicateurs retenus · Version 1.0 · Avril 2026</w:t>
      </w:r>
    </w:p>
    <w:p/>
    <w:p>
      <w:r>
        <w:rPr>
          <w:sz w:val="20"/>
        </w:rPr>
        <w:t>Ce document synthétise les choix d'indicateurs, de visualisations et de filtres pour les 3 vues du tableau de bord DWFA. Il constitue le livrable préalable à la construction du dashboard dans Tableau Public.</w:t>
      </w:r>
    </w:p>
    <w:p>
      <w:r>
        <w:br w:type="page"/>
      </w:r>
    </w:p>
    <w:p>
      <w:pPr>
        <w:pStyle w:val="Heading2"/>
      </w:pPr>
      <w:r>
        <w:rPr>
          <w:color w:val="2368A0"/>
        </w:rPr>
        <w:t>1. Indicateurs et visualisations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551"/>
            <w:shd w:val="clear" w:color="auto" w:fill="1A3A6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Besoin utilisateur</w:t>
            </w:r>
          </w:p>
        </w:tc>
        <w:tc>
          <w:tcPr>
            <w:tcW w:type="dxa" w:w="2381"/>
            <w:shd w:val="clear" w:color="auto" w:fill="1A3A6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Mesures</w:t>
            </w:r>
          </w:p>
        </w:tc>
        <w:tc>
          <w:tcPr>
            <w:tcW w:type="dxa" w:w="1587"/>
            <w:shd w:val="clear" w:color="auto" w:fill="1A3A6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Visualisation</w:t>
            </w:r>
          </w:p>
        </w:tc>
        <w:tc>
          <w:tcPr>
            <w:tcW w:type="dxa" w:w="1134"/>
            <w:shd w:val="clear" w:color="auto" w:fill="1A3A6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Vue</w:t>
            </w:r>
          </w:p>
        </w:tc>
        <w:tc>
          <w:tcPr>
            <w:tcW w:type="dxa" w:w="1814"/>
            <w:shd w:val="clear" w:color="auto" w:fill="1A3A6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 (fichier)</w:t>
            </w:r>
          </w:p>
        </w:tc>
        <w:tc>
          <w:tcPr>
            <w:tcW w:type="dxa" w:w="2381"/>
            <w:shd w:val="clear" w:color="auto" w:fill="1A3A6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Disponibilité / Limites</w:t>
            </w:r>
          </w:p>
        </w:tc>
      </w:tr>
      <w:tr>
        <w:tc>
          <w:tcPr>
            <w:tcW w:type="dxa" w:w="2551"/>
            <w:shd w:val="clear" w:color="auto" w:fill="E8F1FB"/>
            <w:vAlign w:val="center"/>
          </w:tcPr>
          <w:p>
            <w:r>
              <w:rPr>
                <w:sz w:val="17"/>
              </w:rPr>
              <w:t>Vue d'ensemble mondiale — accès eau potable</w:t>
            </w:r>
          </w:p>
        </w:tc>
        <w:tc>
          <w:tcPr>
            <w:tcW w:type="dxa" w:w="2381"/>
            <w:shd w:val="clear" w:color="auto" w:fill="E8F1FB"/>
            <w:vAlign w:val="center"/>
          </w:tcPr>
          <w:p>
            <w:r>
              <w:rPr>
                <w:sz w:val="17"/>
              </w:rPr>
              <w:t>% accès safely managed (agrégation mondiale — MOYENNE pondérée)</w:t>
            </w:r>
          </w:p>
        </w:tc>
        <w:tc>
          <w:tcPr>
            <w:tcW w:type="dxa" w:w="1587"/>
            <w:shd w:val="clear" w:color="auto" w:fill="E8F1FB"/>
            <w:vAlign w:val="center"/>
          </w:tcPr>
          <w:p>
            <w:r>
              <w:rPr>
                <w:sz w:val="17"/>
              </w:rPr>
              <w:t>KPI + Bar + Line</w:t>
            </w:r>
          </w:p>
        </w:tc>
        <w:tc>
          <w:tcPr>
            <w:tcW w:type="dxa" w:w="1134"/>
            <w:shd w:val="clear" w:color="auto" w:fill="E8F1FB"/>
            <w:vAlign w:val="center"/>
          </w:tcPr>
          <w:p>
            <w:r>
              <w:rPr>
                <w:sz w:val="17"/>
              </w:rPr>
              <w:t>Mondiale</w:t>
            </w:r>
          </w:p>
        </w:tc>
        <w:tc>
          <w:tcPr>
            <w:tcW w:type="dxa" w:w="1814"/>
            <w:shd w:val="clear" w:color="auto" w:fill="E8F1FB"/>
            <w:vAlign w:val="center"/>
          </w:tcPr>
          <w:p>
            <w:r>
              <w:rPr>
                <w:sz w:val="17"/>
              </w:rPr>
              <w:t>BasicAndSafely…csv</w:t>
            </w:r>
          </w:p>
        </w:tc>
        <w:tc>
          <w:tcPr>
            <w:tcW w:type="dxa" w:w="2381"/>
            <w:shd w:val="clear" w:color="auto" w:fill="E8F1FB"/>
            <w:vAlign w:val="center"/>
          </w:tcPr>
          <w:p>
            <w:r>
              <w:rPr>
                <w:sz w:val="17"/>
              </w:rPr>
              <w:t>✅ 2000–2017 / ⚠ safely managed : nombreuses valeurs manquantes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Évolution population mondiale (rurale vs totale)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sz w:val="17"/>
              </w:rPr>
              <w:t>Population totale, population rurale (milliers × 1 000)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sz w:val="17"/>
              </w:rPr>
              <w:t>Line plot (2 séries)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Mondiale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sz w:val="17"/>
              </w:rPr>
              <w:t>Population.csv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sz w:val="17"/>
              </w:rPr>
              <w:t>✅ 2000–2018</w:t>
            </w:r>
          </w:p>
        </w:tc>
      </w:tr>
      <w:tr>
        <w:tc>
          <w:tcPr>
            <w:tcW w:type="dxa" w:w="2551"/>
            <w:shd w:val="clear" w:color="auto" w:fill="E8F1FB"/>
            <w:vAlign w:val="center"/>
          </w:tcPr>
          <w:p>
            <w:r>
              <w:rPr>
                <w:sz w:val="17"/>
              </w:rPr>
              <w:t>Répartition urbain / rural dans le temps</w:t>
            </w:r>
          </w:p>
        </w:tc>
        <w:tc>
          <w:tcPr>
            <w:tcW w:type="dxa" w:w="2381"/>
            <w:shd w:val="clear" w:color="auto" w:fill="E8F1FB"/>
            <w:vAlign w:val="center"/>
          </w:tcPr>
          <w:p>
            <w:r>
              <w:rPr>
                <w:sz w:val="17"/>
              </w:rPr>
              <w:t>% pop. urbaine = pop_urban / pop_total × 100 (champ calculé)</w:t>
            </w:r>
          </w:p>
        </w:tc>
        <w:tc>
          <w:tcPr>
            <w:tcW w:type="dxa" w:w="1587"/>
            <w:shd w:val="clear" w:color="auto" w:fill="E8F1FB"/>
            <w:vAlign w:val="center"/>
          </w:tcPr>
          <w:p>
            <w:r>
              <w:rPr>
                <w:sz w:val="17"/>
              </w:rPr>
              <w:t>Area chart / Stacked bar</w:t>
            </w:r>
          </w:p>
        </w:tc>
        <w:tc>
          <w:tcPr>
            <w:tcW w:type="dxa" w:w="1134"/>
            <w:shd w:val="clear" w:color="auto" w:fill="E8F1FB"/>
            <w:vAlign w:val="center"/>
          </w:tcPr>
          <w:p>
            <w:r>
              <w:rPr>
                <w:sz w:val="17"/>
              </w:rPr>
              <w:t>Mondiale &amp; Continentale</w:t>
            </w:r>
          </w:p>
        </w:tc>
        <w:tc>
          <w:tcPr>
            <w:tcW w:type="dxa" w:w="1814"/>
            <w:shd w:val="clear" w:color="auto" w:fill="E8F1FB"/>
            <w:vAlign w:val="center"/>
          </w:tcPr>
          <w:p>
            <w:r>
              <w:rPr>
                <w:sz w:val="17"/>
              </w:rPr>
              <w:t>Population.csv</w:t>
            </w:r>
          </w:p>
        </w:tc>
        <w:tc>
          <w:tcPr>
            <w:tcW w:type="dxa" w:w="2381"/>
            <w:shd w:val="clear" w:color="auto" w:fill="E8F1FB"/>
            <w:vAlign w:val="center"/>
          </w:tcPr>
          <w:p>
            <w:r>
              <w:rPr>
                <w:sz w:val="17"/>
              </w:rPr>
              <w:t>✅ 2000–2018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Stabilité politique — identifier zones instables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sz w:val="17"/>
              </w:rPr>
              <w:t>Moyenne indice stabilité politique par continent (MOYENNE)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sz w:val="17"/>
              </w:rPr>
              <w:t>Carte choroplèthe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Mondiale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sz w:val="17"/>
              </w:rPr>
              <w:t>PoliticalStability.csv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sz w:val="17"/>
              </w:rPr>
              <w:t>⚠ pas annuel — pas irréguliers (2000, 2002…)</w:t>
            </w:r>
          </w:p>
        </w:tc>
      </w:tr>
      <w:tr>
        <w:tc>
          <w:tcPr>
            <w:tcW w:type="dxa" w:w="2551"/>
            <w:shd w:val="clear" w:color="auto" w:fill="E8F1FB"/>
            <w:vAlign w:val="center"/>
          </w:tcPr>
          <w:p>
            <w:r>
              <w:rPr>
                <w:sz w:val="17"/>
              </w:rPr>
              <w:t>Comparaison accès eau entre pays d'un continent</w:t>
            </w:r>
          </w:p>
        </w:tc>
        <w:tc>
          <w:tcPr>
            <w:tcW w:type="dxa" w:w="2381"/>
            <w:shd w:val="clear" w:color="auto" w:fill="E8F1FB"/>
            <w:vAlign w:val="center"/>
          </w:tcPr>
          <w:p>
            <w:r>
              <w:rPr>
                <w:sz w:val="17"/>
              </w:rPr>
              <w:t>% accès basique, % accès safely managed</w:t>
            </w:r>
          </w:p>
        </w:tc>
        <w:tc>
          <w:tcPr>
            <w:tcW w:type="dxa" w:w="1587"/>
            <w:shd w:val="clear" w:color="auto" w:fill="E8F1FB"/>
            <w:vAlign w:val="center"/>
          </w:tcPr>
          <w:p>
            <w:r>
              <w:rPr>
                <w:sz w:val="17"/>
              </w:rPr>
              <w:t>Grouped bar plot</w:t>
            </w:r>
          </w:p>
        </w:tc>
        <w:tc>
          <w:tcPr>
            <w:tcW w:type="dxa" w:w="1134"/>
            <w:shd w:val="clear" w:color="auto" w:fill="E8F1FB"/>
            <w:vAlign w:val="center"/>
          </w:tcPr>
          <w:p>
            <w:r>
              <w:rPr>
                <w:sz w:val="17"/>
              </w:rPr>
              <w:t>Continentale</w:t>
            </w:r>
          </w:p>
        </w:tc>
        <w:tc>
          <w:tcPr>
            <w:tcW w:type="dxa" w:w="1814"/>
            <w:shd w:val="clear" w:color="auto" w:fill="E8F1FB"/>
            <w:vAlign w:val="center"/>
          </w:tcPr>
          <w:p>
            <w:r>
              <w:rPr>
                <w:sz w:val="17"/>
              </w:rPr>
              <w:t>BasicAndSafely…csv</w:t>
            </w:r>
          </w:p>
        </w:tc>
        <w:tc>
          <w:tcPr>
            <w:tcW w:type="dxa" w:w="2381"/>
            <w:shd w:val="clear" w:color="auto" w:fill="E8F1FB"/>
            <w:vAlign w:val="center"/>
          </w:tcPr>
          <w:p>
            <w:r>
              <w:rPr>
                <w:sz w:val="17"/>
              </w:rPr>
              <w:t>✅ 2000–2017 / ⚠ safely managed lacunaire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Répartition urbain / rural par pays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sz w:val="17"/>
              </w:rPr>
              <w:t>% pop. urbaine (champ calculé)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sz w:val="17"/>
              </w:rPr>
              <w:t>Percent stacked bar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Continentale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sz w:val="17"/>
              </w:rPr>
              <w:t>Population.csv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sz w:val="17"/>
              </w:rPr>
              <w:t>✅ 2000–2018</w:t>
            </w:r>
          </w:p>
        </w:tc>
      </w:tr>
      <w:tr>
        <w:tc>
          <w:tcPr>
            <w:tcW w:type="dxa" w:w="2551"/>
            <w:shd w:val="clear" w:color="auto" w:fill="E8F1FB"/>
            <w:vAlign w:val="center"/>
          </w:tcPr>
          <w:p>
            <w:r>
              <w:rPr>
                <w:sz w:val="17"/>
              </w:rPr>
              <w:t>Domaine 1 — Création : cibler selon densité urbaine/rurale</w:t>
            </w:r>
          </w:p>
        </w:tc>
        <w:tc>
          <w:tcPr>
            <w:tcW w:type="dxa" w:w="2381"/>
            <w:shd w:val="clear" w:color="auto" w:fill="E8F1FB"/>
            <w:vAlign w:val="center"/>
          </w:tcPr>
          <w:p>
            <w:r>
              <w:rPr>
                <w:sz w:val="17"/>
              </w:rPr>
              <w:t>% accès eau potable × % pop. urbaine (2 axes scatter)</w:t>
            </w:r>
          </w:p>
        </w:tc>
        <w:tc>
          <w:tcPr>
            <w:tcW w:type="dxa" w:w="1587"/>
            <w:shd w:val="clear" w:color="auto" w:fill="E8F1FB"/>
            <w:vAlign w:val="center"/>
          </w:tcPr>
          <w:p>
            <w:r>
              <w:rPr>
                <w:sz w:val="17"/>
              </w:rPr>
              <w:t>Scatter plot</w:t>
            </w:r>
          </w:p>
        </w:tc>
        <w:tc>
          <w:tcPr>
            <w:tcW w:type="dxa" w:w="1134"/>
            <w:shd w:val="clear" w:color="auto" w:fill="E8F1FB"/>
            <w:vAlign w:val="center"/>
          </w:tcPr>
          <w:p>
            <w:r>
              <w:rPr>
                <w:sz w:val="17"/>
              </w:rPr>
              <w:t>Nationale</w:t>
            </w:r>
          </w:p>
        </w:tc>
        <w:tc>
          <w:tcPr>
            <w:tcW w:type="dxa" w:w="1814"/>
            <w:shd w:val="clear" w:color="auto" w:fill="E8F1FB"/>
            <w:vAlign w:val="center"/>
          </w:tcPr>
          <w:p>
            <w:r>
              <w:rPr>
                <w:sz w:val="17"/>
              </w:rPr>
              <w:t>BasicAndSafely…csv + Population.csv</w:t>
            </w:r>
          </w:p>
        </w:tc>
        <w:tc>
          <w:tcPr>
            <w:tcW w:type="dxa" w:w="2381"/>
            <w:shd w:val="clear" w:color="auto" w:fill="E8F1FB"/>
            <w:vAlign w:val="center"/>
          </w:tcPr>
          <w:p>
            <w:r>
              <w:rPr>
                <w:sz w:val="17"/>
              </w:rPr>
              <w:t>✅ jointure sur Country + Year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Domaine 2 — Modernisation : services à améliorer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sz w:val="17"/>
              </w:rPr>
              <w:t>% accès basique × % accès safely managed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sz w:val="17"/>
              </w:rPr>
              <w:t>Scatter plot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Nationale &amp; Continentale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sz w:val="17"/>
              </w:rPr>
              <w:t>BasicAndSafely…csv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sz w:val="17"/>
              </w:rPr>
              <w:t>⚠ safely managed souvent vide</w:t>
            </w:r>
          </w:p>
        </w:tc>
      </w:tr>
      <w:tr>
        <w:tc>
          <w:tcPr>
            <w:tcW w:type="dxa" w:w="2551"/>
            <w:shd w:val="clear" w:color="auto" w:fill="E8F1FB"/>
            <w:vAlign w:val="center"/>
          </w:tcPr>
          <w:p>
            <w:r>
              <w:rPr>
                <w:sz w:val="17"/>
              </w:rPr>
              <w:t>Domaine 3 — Consulting : politique efficace + contexte stable</w:t>
            </w:r>
          </w:p>
        </w:tc>
        <w:tc>
          <w:tcPr>
            <w:tcW w:type="dxa" w:w="2381"/>
            <w:shd w:val="clear" w:color="auto" w:fill="E8F1FB"/>
            <w:vAlign w:val="center"/>
          </w:tcPr>
          <w:p>
            <w:r>
              <w:rPr>
                <w:sz w:val="17"/>
              </w:rPr>
              <w:t>Stabilité politique × Efficacité pol. eau (mortalité + accès)</w:t>
            </w:r>
          </w:p>
        </w:tc>
        <w:tc>
          <w:tcPr>
            <w:tcW w:type="dxa" w:w="1587"/>
            <w:shd w:val="clear" w:color="auto" w:fill="E8F1FB"/>
            <w:vAlign w:val="center"/>
          </w:tcPr>
          <w:p>
            <w:r>
              <w:rPr>
                <w:sz w:val="17"/>
              </w:rPr>
              <w:t>Scatter plot</w:t>
            </w:r>
          </w:p>
        </w:tc>
        <w:tc>
          <w:tcPr>
            <w:tcW w:type="dxa" w:w="1134"/>
            <w:shd w:val="clear" w:color="auto" w:fill="E8F1FB"/>
            <w:vAlign w:val="center"/>
          </w:tcPr>
          <w:p>
            <w:r>
              <w:rPr>
                <w:sz w:val="17"/>
              </w:rPr>
              <w:t>Continentale</w:t>
            </w:r>
          </w:p>
        </w:tc>
        <w:tc>
          <w:tcPr>
            <w:tcW w:type="dxa" w:w="1814"/>
            <w:shd w:val="clear" w:color="auto" w:fill="E8F1FB"/>
            <w:vAlign w:val="center"/>
          </w:tcPr>
          <w:p>
            <w:r>
              <w:rPr>
                <w:sz w:val="17"/>
              </w:rPr>
              <w:t>PoliticalStability.csv + Mortality…csv + BasicAndSafely…csv</w:t>
            </w:r>
          </w:p>
        </w:tc>
        <w:tc>
          <w:tcPr>
            <w:tcW w:type="dxa" w:w="2381"/>
            <w:shd w:val="clear" w:color="auto" w:fill="E8F1FB"/>
            <w:vAlign w:val="center"/>
          </w:tcPr>
          <w:p>
            <w:r>
              <w:rPr>
                <w:sz w:val="17"/>
              </w:rPr>
              <w:t>⚠ mortalité 2016 uniquement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Nb décès WASH par pays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sz w:val="17"/>
              </w:rPr>
              <w:t>Nb décès = taux_mortalité × pop_total / 100 000 (champ calculé — colonne WASH deaths vide)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sz w:val="17"/>
              </w:rPr>
              <w:t>KPI + Bar chart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Toutes vues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r>
              <w:rPr>
                <w:sz w:val="17"/>
              </w:rPr>
              <w:t>Mortality…csv + Population.csv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sz w:val="17"/>
              </w:rPr>
              <w:t>⚠ 2016 uniquement</w:t>
            </w:r>
          </w:p>
        </w:tc>
      </w:tr>
      <w:tr>
        <w:tc>
          <w:tcPr>
            <w:tcW w:type="dxa" w:w="2551"/>
            <w:shd w:val="clear" w:color="auto" w:fill="E8F1FB"/>
            <w:vAlign w:val="center"/>
          </w:tcPr>
          <w:p>
            <w:r>
              <w:rPr>
                <w:sz w:val="17"/>
              </w:rPr>
              <w:t>Évolution accès eau dans le temps pour un pays</w:t>
            </w:r>
          </w:p>
        </w:tc>
        <w:tc>
          <w:tcPr>
            <w:tcW w:type="dxa" w:w="2381"/>
            <w:shd w:val="clear" w:color="auto" w:fill="E8F1FB"/>
            <w:vAlign w:val="center"/>
          </w:tcPr>
          <w:p>
            <w:r>
              <w:rPr>
                <w:sz w:val="17"/>
              </w:rPr>
              <w:t>% accès basique, % accès safely managed (2000–2017)</w:t>
            </w:r>
          </w:p>
        </w:tc>
        <w:tc>
          <w:tcPr>
            <w:tcW w:type="dxa" w:w="1587"/>
            <w:shd w:val="clear" w:color="auto" w:fill="E8F1FB"/>
            <w:vAlign w:val="center"/>
          </w:tcPr>
          <w:p>
            <w:r>
              <w:rPr>
                <w:sz w:val="17"/>
              </w:rPr>
              <w:t>Line plot (2 séries)</w:t>
            </w:r>
          </w:p>
        </w:tc>
        <w:tc>
          <w:tcPr>
            <w:tcW w:type="dxa" w:w="1134"/>
            <w:shd w:val="clear" w:color="auto" w:fill="E8F1FB"/>
            <w:vAlign w:val="center"/>
          </w:tcPr>
          <w:p>
            <w:r>
              <w:rPr>
                <w:sz w:val="17"/>
              </w:rPr>
              <w:t>Nationale</w:t>
            </w:r>
          </w:p>
        </w:tc>
        <w:tc>
          <w:tcPr>
            <w:tcW w:type="dxa" w:w="1814"/>
            <w:shd w:val="clear" w:color="auto" w:fill="E8F1FB"/>
            <w:vAlign w:val="center"/>
          </w:tcPr>
          <w:p>
            <w:r>
              <w:rPr>
                <w:sz w:val="17"/>
              </w:rPr>
              <w:t>BasicAndSafely…csv</w:t>
            </w:r>
          </w:p>
        </w:tc>
        <w:tc>
          <w:tcPr>
            <w:tcW w:type="dxa" w:w="2381"/>
            <w:shd w:val="clear" w:color="auto" w:fill="E8F1FB"/>
            <w:vAlign w:val="center"/>
          </w:tcPr>
          <w:p>
            <w:r>
              <w:rPr>
                <w:sz w:val="17"/>
              </w:rPr>
              <w:t>✅ 2000–2017</w:t>
            </w:r>
          </w:p>
        </w:tc>
      </w:tr>
    </w:tbl>
    <w:p/>
    <w:p>
      <w:pPr>
        <w:pStyle w:val="Heading2"/>
      </w:pPr>
      <w:r>
        <w:rPr>
          <w:color w:val="2368A0"/>
        </w:rPr>
        <w:t>2. Filtres interactifs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6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Variable filtrée</w:t>
            </w:r>
          </w:p>
        </w:tc>
        <w:tc>
          <w:tcPr>
            <w:tcW w:type="dxa" w:w="2493"/>
            <w:shd w:val="clear" w:color="auto" w:fill="1A3A6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93"/>
            <w:shd w:val="clear" w:color="auto" w:fill="1A3A6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Implémentation</w:t>
            </w:r>
          </w:p>
        </w:tc>
        <w:tc>
          <w:tcPr>
            <w:tcW w:type="dxa" w:w="2493"/>
            <w:shd w:val="clear" w:color="auto" w:fill="1A3A6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Vue(s)</w:t>
            </w:r>
          </w:p>
        </w:tc>
      </w:tr>
      <w:tr>
        <w:tc>
          <w:tcPr>
            <w:tcW w:type="dxa" w:w="2493"/>
            <w:shd w:val="clear" w:color="auto" w:fill="E8F1FB"/>
            <w:vAlign w:val="center"/>
          </w:tcPr>
          <w:p>
            <w:r>
              <w:rPr>
                <w:sz w:val="17"/>
              </w:rPr>
              <w:t>Année</w:t>
            </w:r>
          </w:p>
        </w:tc>
        <w:tc>
          <w:tcPr>
            <w:tcW w:type="dxa" w:w="2493"/>
            <w:shd w:val="clear" w:color="auto" w:fill="E8F1FB"/>
            <w:vAlign w:val="center"/>
          </w:tcPr>
          <w:p>
            <w:r>
              <w:rPr>
                <w:sz w:val="17"/>
              </w:rPr>
              <w:t>Temporel</w:t>
            </w:r>
          </w:p>
        </w:tc>
        <w:tc>
          <w:tcPr>
            <w:tcW w:type="dxa" w:w="2493"/>
            <w:shd w:val="clear" w:color="auto" w:fill="E8F1FB"/>
            <w:vAlign w:val="center"/>
          </w:tcPr>
          <w:p>
            <w:r>
              <w:rPr>
                <w:sz w:val="17"/>
              </w:rPr>
              <w:t>Slider ou liste déroulante</w:t>
            </w:r>
          </w:p>
        </w:tc>
        <w:tc>
          <w:tcPr>
            <w:tcW w:type="dxa" w:w="2493"/>
            <w:shd w:val="clear" w:color="auto" w:fill="E8F1FB"/>
            <w:vAlign w:val="center"/>
          </w:tcPr>
          <w:p>
            <w:r>
              <w:rPr>
                <w:sz w:val="17"/>
              </w:rPr>
              <w:t>Toutes vues</w:t>
            </w:r>
          </w:p>
        </w:tc>
      </w:tr>
      <w:tr>
        <w:tc>
          <w:tcPr>
            <w:tcW w:type="dxa" w:w="2493"/>
            <w:shd w:val="clear" w:color="auto" w:fill="FFFFFF"/>
            <w:vAlign w:val="center"/>
          </w:tcPr>
          <w:p>
            <w:r>
              <w:rPr>
                <w:sz w:val="17"/>
              </w:rPr>
              <w:t>Région OMS / Continent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r>
              <w:rPr>
                <w:sz w:val="17"/>
              </w:rPr>
              <w:t>Géographique — qualitatif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r>
              <w:rPr>
                <w:sz w:val="17"/>
              </w:rPr>
              <w:t>Liste déroulante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r>
              <w:rPr>
                <w:sz w:val="17"/>
              </w:rPr>
              <w:t>Mondiale &amp; Continentale</w:t>
            </w:r>
          </w:p>
        </w:tc>
      </w:tr>
      <w:tr>
        <w:tc>
          <w:tcPr>
            <w:tcW w:type="dxa" w:w="2493"/>
            <w:shd w:val="clear" w:color="auto" w:fill="E8F1FB"/>
            <w:vAlign w:val="center"/>
          </w:tcPr>
          <w:p>
            <w:r>
              <w:rPr>
                <w:sz w:val="17"/>
              </w:rPr>
              <w:t>Pays</w:t>
            </w:r>
          </w:p>
        </w:tc>
        <w:tc>
          <w:tcPr>
            <w:tcW w:type="dxa" w:w="2493"/>
            <w:shd w:val="clear" w:color="auto" w:fill="E8F1FB"/>
            <w:vAlign w:val="center"/>
          </w:tcPr>
          <w:p>
            <w:r>
              <w:rPr>
                <w:sz w:val="17"/>
              </w:rPr>
              <w:t>Géographique — qualitatif</w:t>
            </w:r>
          </w:p>
        </w:tc>
        <w:tc>
          <w:tcPr>
            <w:tcW w:type="dxa" w:w="2493"/>
            <w:shd w:val="clear" w:color="auto" w:fill="E8F1FB"/>
            <w:vAlign w:val="center"/>
          </w:tcPr>
          <w:p>
            <w:r>
              <w:rPr>
                <w:sz w:val="17"/>
              </w:rPr>
              <w:t>Liste déroulante</w:t>
            </w:r>
          </w:p>
        </w:tc>
        <w:tc>
          <w:tcPr>
            <w:tcW w:type="dxa" w:w="2493"/>
            <w:shd w:val="clear" w:color="auto" w:fill="E8F1FB"/>
            <w:vAlign w:val="center"/>
          </w:tcPr>
          <w:p>
            <w:r>
              <w:rPr>
                <w:sz w:val="17"/>
              </w:rPr>
              <w:t>Nationale</w:t>
            </w:r>
          </w:p>
        </w:tc>
      </w:tr>
      <w:tr>
        <w:tc>
          <w:tcPr>
            <w:tcW w:type="dxa" w:w="2493"/>
            <w:shd w:val="clear" w:color="auto" w:fill="FFFFFF"/>
            <w:vAlign w:val="center"/>
          </w:tcPr>
          <w:p>
            <w:r>
              <w:rPr>
                <w:sz w:val="17"/>
              </w:rPr>
              <w:t>Seuil stabilité pol.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r>
              <w:rPr>
                <w:sz w:val="17"/>
              </w:rPr>
              <w:t>Quantitatif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r>
              <w:rPr>
                <w:sz w:val="17"/>
              </w:rPr>
              <w:t>Curseur paramétrable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r>
              <w:rPr>
                <w:sz w:val="17"/>
              </w:rPr>
              <w:t>Continentale</w:t>
            </w:r>
          </w:p>
        </w:tc>
      </w:tr>
    </w:tbl>
    <w:p/>
    <w:p>
      <w:pPr>
        <w:pStyle w:val="Heading2"/>
      </w:pPr>
      <w:r>
        <w:rPr>
          <w:color w:val="2368A0"/>
        </w:rPr>
        <w:t>3. Champs calculés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A6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Indicateur</w:t>
            </w:r>
          </w:p>
        </w:tc>
        <w:tc>
          <w:tcPr>
            <w:tcW w:type="dxa" w:w="3324"/>
            <w:shd w:val="clear" w:color="auto" w:fill="1A3A6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Formule</w:t>
            </w:r>
          </w:p>
        </w:tc>
        <w:tc>
          <w:tcPr>
            <w:tcW w:type="dxa" w:w="3324"/>
            <w:shd w:val="clear" w:color="auto" w:fill="1A3A6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Utilité</w:t>
            </w:r>
          </w:p>
        </w:tc>
      </w:tr>
      <w:tr>
        <w:tc>
          <w:tcPr>
            <w:tcW w:type="dxa" w:w="3324"/>
            <w:shd w:val="clear" w:color="auto" w:fill="E8F1FB"/>
            <w:vAlign w:val="center"/>
          </w:tcPr>
          <w:p>
            <w:r>
              <w:rPr>
                <w:sz w:val="17"/>
              </w:rPr>
              <w:t>% Population urbaine</w:t>
            </w:r>
          </w:p>
        </w:tc>
        <w:tc>
          <w:tcPr>
            <w:tcW w:type="dxa" w:w="3324"/>
            <w:shd w:val="clear" w:color="auto" w:fill="E8F1FB"/>
            <w:vAlign w:val="center"/>
          </w:tcPr>
          <w:p>
            <w:r>
              <w:rPr>
                <w:sz w:val="17"/>
              </w:rPr>
              <w:t>pop_urban / pop_total × 100</w:t>
            </w:r>
          </w:p>
        </w:tc>
        <w:tc>
          <w:tcPr>
            <w:tcW w:type="dxa" w:w="3324"/>
            <w:shd w:val="clear" w:color="auto" w:fill="E8F1FB"/>
            <w:vAlign w:val="center"/>
          </w:tcPr>
          <w:p>
            <w:r>
              <w:rPr>
                <w:sz w:val="17"/>
              </w:rPr>
              <w:t>Domaine 1 — scatter</w:t>
            </w:r>
          </w:p>
        </w:tc>
      </w:tr>
      <w:tr>
        <w:tc>
          <w:tcPr>
            <w:tcW w:type="dxa" w:w="3324"/>
            <w:shd w:val="clear" w:color="auto" w:fill="FFFFFF"/>
            <w:vAlign w:val="center"/>
          </w:tcPr>
          <w:p>
            <w:r>
              <w:rPr>
                <w:sz w:val="17"/>
              </w:rPr>
              <w:t>Nb décès WASH estimés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r>
              <w:rPr>
                <w:sz w:val="17"/>
              </w:rPr>
              <w:t>taux_mortalité × pop_total / 100 000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r>
              <w:rPr>
                <w:sz w:val="17"/>
              </w:rPr>
              <w:t>KPI toutes vues</w:t>
            </w:r>
          </w:p>
        </w:tc>
      </w:tr>
      <w:tr>
        <w:tc>
          <w:tcPr>
            <w:tcW w:type="dxa" w:w="3324"/>
            <w:shd w:val="clear" w:color="auto" w:fill="E8F1FB"/>
            <w:vAlign w:val="center"/>
          </w:tcPr>
          <w:p>
            <w:r>
              <w:rPr>
                <w:sz w:val="17"/>
              </w:rPr>
              <w:t>Stabilité moy. continentale</w:t>
            </w:r>
          </w:p>
        </w:tc>
        <w:tc>
          <w:tcPr>
            <w:tcW w:type="dxa" w:w="3324"/>
            <w:shd w:val="clear" w:color="auto" w:fill="E8F1FB"/>
            <w:vAlign w:val="center"/>
          </w:tcPr>
          <w:p>
            <w:r>
              <w:rPr>
                <w:sz w:val="17"/>
              </w:rPr>
              <w:t>AVG(political_stability) GROUP BY région</w:t>
            </w:r>
          </w:p>
        </w:tc>
        <w:tc>
          <w:tcPr>
            <w:tcW w:type="dxa" w:w="3324"/>
            <w:shd w:val="clear" w:color="auto" w:fill="E8F1FB"/>
            <w:vAlign w:val="center"/>
          </w:tcPr>
          <w:p>
            <w:r>
              <w:rPr>
                <w:sz w:val="17"/>
              </w:rPr>
              <w:t>Carte monde</w:t>
            </w:r>
          </w:p>
        </w:tc>
      </w:tr>
      <w:tr>
        <w:tc>
          <w:tcPr>
            <w:tcW w:type="dxa" w:w="3324"/>
            <w:shd w:val="clear" w:color="auto" w:fill="FFFFFF"/>
            <w:vAlign w:val="center"/>
          </w:tcPr>
          <w:p>
            <w:r>
              <w:rPr>
                <w:sz w:val="17"/>
              </w:rPr>
              <w:t>Efficacité politique eau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r>
              <w:rPr>
                <w:sz w:val="17"/>
              </w:rPr>
              <w:t>Norm(1 – taux_mortalité) + Norm(% safely managed)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r>
              <w:rPr>
                <w:sz w:val="17"/>
              </w:rPr>
              <w:t>Domaine 3 — scatter</w:t>
            </w:r>
          </w:p>
        </w:tc>
      </w:tr>
      <w:tr>
        <w:tc>
          <w:tcPr>
            <w:tcW w:type="dxa" w:w="3324"/>
            <w:shd w:val="clear" w:color="auto" w:fill="E8F1FB"/>
            <w:vAlign w:val="center"/>
          </w:tcPr>
          <w:p>
            <w:r>
              <w:rPr>
                <w:sz w:val="17"/>
              </w:rPr>
              <w:t>Population (en personnes)</w:t>
            </w:r>
          </w:p>
        </w:tc>
        <w:tc>
          <w:tcPr>
            <w:tcW w:type="dxa" w:w="3324"/>
            <w:shd w:val="clear" w:color="auto" w:fill="E8F1FB"/>
            <w:vAlign w:val="center"/>
          </w:tcPr>
          <w:p>
            <w:r>
              <w:rPr>
                <w:sz w:val="17"/>
              </w:rPr>
              <w:t>Population_csv × 1 000</w:t>
            </w:r>
          </w:p>
        </w:tc>
        <w:tc>
          <w:tcPr>
            <w:tcW w:type="dxa" w:w="3324"/>
            <w:shd w:val="clear" w:color="auto" w:fill="E8F1FB"/>
            <w:vAlign w:val="center"/>
          </w:tcPr>
          <w:p>
            <w:r>
              <w:rPr>
                <w:sz w:val="17"/>
              </w:rPr>
              <w:t>Conversion unité</w:t>
            </w:r>
          </w:p>
        </w:tc>
      </w:tr>
    </w:tbl>
    <w:p/>
    <w:p>
      <w:pPr>
        <w:pStyle w:val="Heading2"/>
      </w:pPr>
      <w:r>
        <w:rPr>
          <w:color w:val="2368A0"/>
        </w:rPr>
        <w:t>4. État des données disponibles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A6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Indicateur</w:t>
            </w:r>
          </w:p>
        </w:tc>
        <w:tc>
          <w:tcPr>
            <w:tcW w:type="dxa" w:w="3324"/>
            <w:shd w:val="clear" w:color="auto" w:fill="1A3A6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Fichier source</w:t>
            </w:r>
          </w:p>
        </w:tc>
        <w:tc>
          <w:tcPr>
            <w:tcW w:type="dxa" w:w="3324"/>
            <w:shd w:val="clear" w:color="auto" w:fill="1A3A6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Disponibilité</w:t>
            </w:r>
          </w:p>
        </w:tc>
      </w:tr>
      <w:tr>
        <w:tc>
          <w:tcPr>
            <w:tcW w:type="dxa" w:w="3324"/>
            <w:shd w:val="clear" w:color="auto" w:fill="E8F1FB"/>
            <w:vAlign w:val="center"/>
          </w:tcPr>
          <w:p>
            <w:r>
              <w:rPr>
                <w:sz w:val="17"/>
              </w:rPr>
              <w:t>% accès eau basique</w:t>
            </w:r>
          </w:p>
        </w:tc>
        <w:tc>
          <w:tcPr>
            <w:tcW w:type="dxa" w:w="3324"/>
            <w:shd w:val="clear" w:color="auto" w:fill="E8F1FB"/>
            <w:vAlign w:val="center"/>
          </w:tcPr>
          <w:p>
            <w:r>
              <w:rPr>
                <w:sz w:val="17"/>
              </w:rPr>
              <w:t>BasicAndSafely…csv</w:t>
            </w:r>
          </w:p>
        </w:tc>
        <w:tc>
          <w:tcPr>
            <w:tcW w:type="dxa" w:w="3324"/>
            <w:shd w:val="clear" w:color="auto" w:fill="E8F1FB"/>
            <w:vAlign w:val="center"/>
          </w:tcPr>
          <w:p>
            <w:r>
              <w:rPr>
                <w:sz w:val="17"/>
              </w:rPr>
              <w:t>✅ 2000–2017, Total/Urban/Rural</w:t>
            </w:r>
          </w:p>
        </w:tc>
      </w:tr>
      <w:tr>
        <w:tc>
          <w:tcPr>
            <w:tcW w:type="dxa" w:w="3324"/>
            <w:shd w:val="clear" w:color="auto" w:fill="FFFFFF"/>
            <w:vAlign w:val="center"/>
          </w:tcPr>
          <w:p>
            <w:r>
              <w:rPr>
                <w:sz w:val="17"/>
              </w:rPr>
              <w:t>% accès safely managed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r>
              <w:rPr>
                <w:sz w:val="17"/>
              </w:rPr>
              <w:t>BasicAndSafely…csv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r>
              <w:rPr>
                <w:sz w:val="17"/>
              </w:rPr>
              <w:t>⚠ nombreuses valeurs manquantes</w:t>
            </w:r>
          </w:p>
        </w:tc>
      </w:tr>
      <w:tr>
        <w:tc>
          <w:tcPr>
            <w:tcW w:type="dxa" w:w="3324"/>
            <w:shd w:val="clear" w:color="auto" w:fill="E8F1FB"/>
            <w:vAlign w:val="center"/>
          </w:tcPr>
          <w:p>
            <w:r>
              <w:rPr>
                <w:sz w:val="17"/>
              </w:rPr>
              <w:t>Taux mortalité WASH</w:t>
            </w:r>
          </w:p>
        </w:tc>
        <w:tc>
          <w:tcPr>
            <w:tcW w:type="dxa" w:w="3324"/>
            <w:shd w:val="clear" w:color="auto" w:fill="E8F1FB"/>
            <w:vAlign w:val="center"/>
          </w:tcPr>
          <w:p>
            <w:r>
              <w:rPr>
                <w:sz w:val="17"/>
              </w:rPr>
              <w:t>Mortality…csv</w:t>
            </w:r>
          </w:p>
        </w:tc>
        <w:tc>
          <w:tcPr>
            <w:tcW w:type="dxa" w:w="3324"/>
            <w:shd w:val="clear" w:color="auto" w:fill="E8F1FB"/>
            <w:vAlign w:val="center"/>
          </w:tcPr>
          <w:p>
            <w:r>
              <w:rPr>
                <w:sz w:val="17"/>
              </w:rPr>
              <w:t>⚠ 2016 uniquement</w:t>
            </w:r>
          </w:p>
        </w:tc>
      </w:tr>
      <w:tr>
        <w:tc>
          <w:tcPr>
            <w:tcW w:type="dxa" w:w="3324"/>
            <w:shd w:val="clear" w:color="auto" w:fill="FFFFFF"/>
            <w:vAlign w:val="center"/>
          </w:tcPr>
          <w:p>
            <w:r>
              <w:rPr>
                <w:sz w:val="17"/>
              </w:rPr>
              <w:t>Nb décès WASH bruts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r>
              <w:rPr>
                <w:sz w:val="17"/>
              </w:rPr>
              <w:t>Mortality…csv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r>
              <w:rPr>
                <w:sz w:val="17"/>
              </w:rPr>
              <w:t>❌ colonne vide → à calculer</w:t>
            </w:r>
          </w:p>
        </w:tc>
      </w:tr>
      <w:tr>
        <w:tc>
          <w:tcPr>
            <w:tcW w:type="dxa" w:w="3324"/>
            <w:shd w:val="clear" w:color="auto" w:fill="E8F1FB"/>
            <w:vAlign w:val="center"/>
          </w:tcPr>
          <w:p>
            <w:r>
              <w:rPr>
                <w:sz w:val="17"/>
              </w:rPr>
              <w:t>Population</w:t>
            </w:r>
          </w:p>
        </w:tc>
        <w:tc>
          <w:tcPr>
            <w:tcW w:type="dxa" w:w="3324"/>
            <w:shd w:val="clear" w:color="auto" w:fill="E8F1FB"/>
            <w:vAlign w:val="center"/>
          </w:tcPr>
          <w:p>
            <w:r>
              <w:rPr>
                <w:sz w:val="17"/>
              </w:rPr>
              <w:t>Population.csv</w:t>
            </w:r>
          </w:p>
        </w:tc>
        <w:tc>
          <w:tcPr>
            <w:tcW w:type="dxa" w:w="3324"/>
            <w:shd w:val="clear" w:color="auto" w:fill="E8F1FB"/>
            <w:vAlign w:val="center"/>
          </w:tcPr>
          <w:p>
            <w:r>
              <w:rPr>
                <w:sz w:val="17"/>
              </w:rPr>
              <w:t>✅ 2000–2018, Total/Urban/Rural/M/F</w:t>
            </w:r>
          </w:p>
        </w:tc>
      </w:tr>
      <w:tr>
        <w:tc>
          <w:tcPr>
            <w:tcW w:type="dxa" w:w="3324"/>
            <w:shd w:val="clear" w:color="auto" w:fill="FFFFFF"/>
            <w:vAlign w:val="center"/>
          </w:tcPr>
          <w:p>
            <w:r>
              <w:rPr>
                <w:sz w:val="17"/>
              </w:rPr>
              <w:t>% pop. urbaine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r>
              <w:rPr>
                <w:sz w:val="17"/>
              </w:rPr>
              <w:t>Population.csv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r>
              <w:rPr>
                <w:sz w:val="17"/>
              </w:rPr>
              <w:t>✅ à calculer</w:t>
            </w:r>
          </w:p>
        </w:tc>
      </w:tr>
      <w:tr>
        <w:tc>
          <w:tcPr>
            <w:tcW w:type="dxa" w:w="3324"/>
            <w:shd w:val="clear" w:color="auto" w:fill="E8F1FB"/>
            <w:vAlign w:val="center"/>
          </w:tcPr>
          <w:p>
            <w:r>
              <w:rPr>
                <w:sz w:val="17"/>
              </w:rPr>
              <w:t>Stabilité politique</w:t>
            </w:r>
          </w:p>
        </w:tc>
        <w:tc>
          <w:tcPr>
            <w:tcW w:type="dxa" w:w="3324"/>
            <w:shd w:val="clear" w:color="auto" w:fill="E8F1FB"/>
            <w:vAlign w:val="center"/>
          </w:tcPr>
          <w:p>
            <w:r>
              <w:rPr>
                <w:sz w:val="17"/>
              </w:rPr>
              <w:t>PoliticalStability.csv</w:t>
            </w:r>
          </w:p>
        </w:tc>
        <w:tc>
          <w:tcPr>
            <w:tcW w:type="dxa" w:w="3324"/>
            <w:shd w:val="clear" w:color="auto" w:fill="E8F1FB"/>
            <w:vAlign w:val="center"/>
          </w:tcPr>
          <w:p>
            <w:r>
              <w:rPr>
                <w:sz w:val="17"/>
              </w:rPr>
              <w:t>⚠ pas irréguliers, pas tous les ans</w:t>
            </w:r>
          </w:p>
        </w:tc>
      </w:tr>
      <w:tr>
        <w:tc>
          <w:tcPr>
            <w:tcW w:type="dxa" w:w="3324"/>
            <w:shd w:val="clear" w:color="auto" w:fill="FFFFFF"/>
            <w:vAlign w:val="center"/>
          </w:tcPr>
          <w:p>
            <w:r>
              <w:rPr>
                <w:sz w:val="17"/>
              </w:rPr>
              <w:t>Région / Continent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r>
              <w:rPr>
                <w:sz w:val="17"/>
              </w:rPr>
              <w:t>RegionCountry.csv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r>
              <w:rPr>
                <w:sz w:val="17"/>
              </w:rPr>
              <w:t>✅ 194 pays, 6 régions OMS</w:t>
            </w:r>
          </w:p>
        </w:tc>
      </w:tr>
    </w:tbl>
    <w:p/>
    <w:p>
      <w:pPr>
        <w:pStyle w:val="Heading2"/>
      </w:pPr>
      <w:r>
        <w:rPr>
          <w:color w:val="2368A0"/>
        </w:rPr>
        <w:t>5. Points d'attention</w:t>
      </w:r>
    </w:p>
    <w:p>
      <w:pPr>
        <w:pStyle w:val="ListBullet"/>
      </w:pPr>
      <w:r>
        <w:rPr>
          <w:sz w:val="18"/>
        </w:rPr>
        <w:t>Mortalité WASH disponible pour 2016 uniquement — les comparaisons temporelles sur cet indicateur sont impossibles.</w:t>
      </w:r>
    </w:p>
    <w:p>
      <w:pPr>
        <w:pStyle w:val="ListBullet"/>
      </w:pPr>
      <w:r>
        <w:rPr>
          <w:sz w:val="18"/>
        </w:rPr>
        <w:t>La colonne 'WASH deaths' dans le fichier Mortality est vide — le nombre de décès doit être calculé via : taux × population / 100 000.</w:t>
      </w:r>
    </w:p>
    <w:p>
      <w:pPr>
        <w:pStyle w:val="ListBullet"/>
      </w:pPr>
      <w:r>
        <w:rPr>
          <w:sz w:val="18"/>
        </w:rPr>
        <w:t>L'indicateur 'safely managed' présente de nombreuses valeurs manquantes, notamment pour les pays les moins avancés — à mentionner dans la présentation.</w:t>
      </w:r>
    </w:p>
    <w:p>
      <w:pPr>
        <w:pStyle w:val="ListBullet"/>
      </w:pPr>
      <w:r>
        <w:rPr>
          <w:sz w:val="18"/>
        </w:rPr>
        <w:t>La stabilité politique n'est pas disponible pour toutes les années (pas irréguliers) — interpolation ou dernière valeur connue à envisager.</w:t>
      </w:r>
    </w:p>
    <w:p>
      <w:pPr>
        <w:pStyle w:val="ListBullet"/>
      </w:pPr>
      <w:r>
        <w:rPr>
          <w:sz w:val="18"/>
        </w:rPr>
        <w:t>La population est exprimée en milliers dans Population.csv → multiplier par 1 000 dans tous les champs calculés.</w:t>
      </w:r>
    </w:p>
    <w:p>
      <w:pPr>
        <w:pStyle w:val="ListBullet"/>
      </w:pPr>
      <w:r>
        <w:rPr>
          <w:sz w:val="18"/>
        </w:rPr>
        <w:t>Filtre stabilité politique : l'indice peut être négatif (instabilité forte) → le seuil doit être paramétrable par l'utilisateur.</w:t>
      </w:r>
    </w:p>
    <w:p>
      <w:pPr>
        <w:pStyle w:val="ListBullet"/>
      </w:pPr>
      <w:r>
        <w:rPr>
          <w:sz w:val="18"/>
        </w:rPr>
        <w:t>Palette bleue obligatoire sur l'ensemble du dashboard. Accessibilité : contrastes suffisants, pas de rouge/vert seuls (daltonisme).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