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94905505"/>
        <w:docPartObj>
          <w:docPartGallery w:val="Cover Pages"/>
          <w:docPartUnique/>
        </w:docPartObj>
      </w:sdtPr>
      <w:sdtContent>
        <w:p w14:paraId="33153662" w14:textId="6597953F" w:rsidR="00A675DE" w:rsidRDefault="00A675DE"/>
        <w:p w14:paraId="2FF28FDD" w14:textId="5911A963" w:rsidR="00A675DE" w:rsidRDefault="00A675DE">
          <w:pPr>
            <w:rPr>
              <w:color w:val="3C5A72"/>
            </w:rPr>
          </w:pPr>
        </w:p>
        <w:p w14:paraId="7B1F00E9" w14:textId="6F72ED77" w:rsidR="001C61A4" w:rsidRDefault="001C61A4">
          <w:pPr>
            <w:rPr>
              <w:color w:val="3C5A72"/>
            </w:rPr>
          </w:pPr>
        </w:p>
        <w:p w14:paraId="270CF421" w14:textId="36FE603E" w:rsidR="001C61A4" w:rsidRDefault="001C61A4">
          <w:pPr>
            <w:rPr>
              <w:color w:val="3C5A72"/>
            </w:rPr>
          </w:pPr>
        </w:p>
        <w:p w14:paraId="52D67DA4" w14:textId="3165F847" w:rsidR="00A675DE" w:rsidRDefault="00000000"/>
      </w:sdtContent>
    </w:sdt>
    <w:tbl>
      <w:tblPr>
        <w:tblpPr w:leftFromText="187" w:rightFromText="187" w:vertAnchor="page" w:horzAnchor="margin" w:tblpXSpec="center" w:tblpY="5682"/>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21"/>
      </w:tblGrid>
      <w:tr w:rsidR="001C61A4" w:rsidRPr="00A675DE" w14:paraId="1EBFB319" w14:textId="77777777" w:rsidTr="001C61A4">
        <w:tc>
          <w:tcPr>
            <w:tcW w:w="7217" w:type="dxa"/>
            <w:tcBorders>
              <w:left w:val="nil"/>
            </w:tcBorders>
          </w:tcPr>
          <w:sdt>
            <w:sdtPr>
              <w:rPr>
                <w:rFonts w:ascii="Times New Roman" w:eastAsiaTheme="majorEastAsia" w:hAnsi="Times New Roman" w:cs="Times New Roman"/>
                <w:color w:val="3C5A72"/>
                <w:sz w:val="88"/>
                <w:szCs w:val="88"/>
              </w:rPr>
              <w:alias w:val="Title"/>
              <w:id w:val="13406919"/>
              <w:placeholder>
                <w:docPart w:val="F0C9523323B342C0BE57AE345A16D0F1"/>
              </w:placeholder>
              <w:dataBinding w:prefixMappings="xmlns:ns0='http://schemas.openxmlformats.org/package/2006/metadata/core-properties' xmlns:ns1='http://purl.org/dc/elements/1.1/'" w:xpath="/ns0:coreProperties[1]/ns1:title[1]" w:storeItemID="{6C3C8BC8-F283-45AE-878A-BAB7291924A1}"/>
              <w:text/>
            </w:sdtPr>
            <w:sdtContent>
              <w:p w14:paraId="124FE98E" w14:textId="77777777" w:rsidR="001C61A4" w:rsidRPr="00A675DE" w:rsidRDefault="001C61A4" w:rsidP="008B1C58">
                <w:pPr>
                  <w:pStyle w:val="NoSpacing"/>
                  <w:spacing w:line="216" w:lineRule="auto"/>
                  <w:jc w:val="center"/>
                  <w:rPr>
                    <w:rFonts w:ascii="Times New Roman" w:eastAsiaTheme="majorEastAsia" w:hAnsi="Times New Roman" w:cs="Times New Roman"/>
                    <w:color w:val="3C5A72"/>
                    <w:sz w:val="88"/>
                    <w:szCs w:val="88"/>
                  </w:rPr>
                </w:pPr>
                <w:r w:rsidRPr="00A675DE">
                  <w:rPr>
                    <w:rFonts w:ascii="Times New Roman" w:eastAsiaTheme="majorEastAsia" w:hAnsi="Times New Roman" w:cs="Times New Roman"/>
                    <w:color w:val="3C5A72"/>
                    <w:sz w:val="88"/>
                    <w:szCs w:val="88"/>
                  </w:rPr>
                  <w:t>Assignment Title</w:t>
                </w:r>
              </w:p>
            </w:sdtContent>
          </w:sdt>
        </w:tc>
      </w:tr>
    </w:tbl>
    <w:p w14:paraId="4DB4FB30" w14:textId="36ECCA33" w:rsidR="00A675DE" w:rsidRDefault="00A675DE"/>
    <w:p w14:paraId="3515DDD2" w14:textId="22EB8C38" w:rsidR="001C61A4" w:rsidRDefault="001C61A4"/>
    <w:p w14:paraId="416F0C65" w14:textId="5C3B668A" w:rsidR="001C61A4" w:rsidRDefault="001C61A4"/>
    <w:p w14:paraId="6DD9B2E4" w14:textId="53B0D135" w:rsidR="001C61A4" w:rsidRDefault="001C61A4"/>
    <w:p w14:paraId="4156CC2D" w14:textId="39E39FBB" w:rsidR="001C61A4" w:rsidRDefault="001C61A4"/>
    <w:p w14:paraId="6C73AA6A" w14:textId="2C5D8A69" w:rsidR="001C61A4" w:rsidRDefault="001C61A4"/>
    <w:p w14:paraId="1B93B92F" w14:textId="0D340E27" w:rsidR="001C61A4" w:rsidRDefault="001C61A4"/>
    <w:p w14:paraId="210FABFC" w14:textId="0C412973" w:rsidR="001C61A4" w:rsidRDefault="001C61A4"/>
    <w:p w14:paraId="3ADFD48E" w14:textId="77777777" w:rsidR="001C61A4" w:rsidRDefault="001C61A4"/>
    <w:p w14:paraId="1A815D57" w14:textId="6FE687E0" w:rsidR="001C61A4" w:rsidRDefault="001C61A4"/>
    <w:p w14:paraId="79F7A232" w14:textId="4F18056D" w:rsidR="001C61A4" w:rsidRDefault="001C61A4" w:rsidP="001C61A4"/>
    <w:p w14:paraId="67951856" w14:textId="5DD3911A" w:rsidR="008B1C58" w:rsidRDefault="008B1C58" w:rsidP="001C61A4"/>
    <w:p w14:paraId="187287F0" w14:textId="7CD5AE77" w:rsidR="008B1C58" w:rsidRDefault="008B1C58" w:rsidP="001C61A4"/>
    <w:p w14:paraId="2C9318D9" w14:textId="222CFC00" w:rsidR="008B1C58" w:rsidRDefault="008B1C58" w:rsidP="001C61A4"/>
    <w:p w14:paraId="32CC4433" w14:textId="616114D8" w:rsidR="008B1C58" w:rsidRDefault="008B1C58" w:rsidP="001C61A4"/>
    <w:p w14:paraId="646984C6" w14:textId="3F1785C2" w:rsidR="008B1C58" w:rsidRDefault="008B1C58" w:rsidP="001C61A4"/>
    <w:p w14:paraId="0473378D" w14:textId="5326C80E" w:rsidR="008B1C58" w:rsidRDefault="008B1C58" w:rsidP="001C61A4"/>
    <w:p w14:paraId="449212C1" w14:textId="77777777" w:rsidR="00BF2053" w:rsidRDefault="00BF2053" w:rsidP="001C61A4"/>
    <w:p w14:paraId="6ABA3F30" w14:textId="77777777" w:rsidR="00BF2053" w:rsidRDefault="00BF2053" w:rsidP="001C61A4"/>
    <w:tbl>
      <w:tblPr>
        <w:tblStyle w:val="TableGrid"/>
        <w:tblpPr w:leftFromText="180" w:rightFromText="180" w:vertAnchor="text" w:horzAnchor="margin" w:tblpY="-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536"/>
      </w:tblGrid>
      <w:tr w:rsidR="008B1C58" w:rsidRPr="00A675DE" w14:paraId="7CA64584" w14:textId="77777777" w:rsidTr="008B1C58">
        <w:trPr>
          <w:trHeight w:val="567"/>
        </w:trPr>
        <w:tc>
          <w:tcPr>
            <w:tcW w:w="2263" w:type="dxa"/>
            <w:vAlign w:val="center"/>
          </w:tcPr>
          <w:p w14:paraId="14A897D6" w14:textId="77777777" w:rsidR="008B1C58" w:rsidRPr="00A675DE" w:rsidRDefault="008B1C58" w:rsidP="00F666D5">
            <w:pPr>
              <w:rPr>
                <w:rFonts w:ascii="Times New Roman" w:hAnsi="Times New Roman" w:cs="Times New Roman"/>
                <w:color w:val="3C5A72"/>
                <w:sz w:val="28"/>
                <w:szCs w:val="28"/>
              </w:rPr>
            </w:pPr>
            <w:r>
              <w:rPr>
                <w:rFonts w:ascii="Times New Roman" w:hAnsi="Times New Roman" w:cs="Times New Roman"/>
                <w:color w:val="3C5A72"/>
                <w:sz w:val="28"/>
                <w:szCs w:val="28"/>
              </w:rPr>
              <w:t>Student Name:</w:t>
            </w:r>
          </w:p>
        </w:tc>
        <w:tc>
          <w:tcPr>
            <w:tcW w:w="4536" w:type="dxa"/>
            <w:vAlign w:val="center"/>
          </w:tcPr>
          <w:p w14:paraId="22D5BC51" w14:textId="77777777" w:rsidR="008B1C58" w:rsidRPr="00A675DE" w:rsidRDefault="008B1C58" w:rsidP="008B1C58">
            <w:pPr>
              <w:ind w:left="37"/>
              <w:rPr>
                <w:rFonts w:ascii="Times New Roman" w:hAnsi="Times New Roman" w:cs="Times New Roman"/>
                <w:color w:val="3C5A72"/>
                <w:sz w:val="28"/>
                <w:szCs w:val="28"/>
              </w:rPr>
            </w:pPr>
          </w:p>
        </w:tc>
      </w:tr>
      <w:tr w:rsidR="008B1C58" w:rsidRPr="00A675DE" w14:paraId="1CCE1FCB" w14:textId="77777777" w:rsidTr="008B1C58">
        <w:trPr>
          <w:trHeight w:val="567"/>
        </w:trPr>
        <w:tc>
          <w:tcPr>
            <w:tcW w:w="2263" w:type="dxa"/>
            <w:vAlign w:val="center"/>
          </w:tcPr>
          <w:p w14:paraId="11C5CDD8" w14:textId="77777777" w:rsidR="008B1C58" w:rsidRPr="00A675DE" w:rsidRDefault="008B1C58" w:rsidP="008B1C58">
            <w:pPr>
              <w:rPr>
                <w:rFonts w:ascii="Times New Roman" w:hAnsi="Times New Roman" w:cs="Times New Roman"/>
                <w:color w:val="3C5A72"/>
                <w:sz w:val="28"/>
                <w:szCs w:val="28"/>
              </w:rPr>
            </w:pPr>
            <w:r>
              <w:rPr>
                <w:rFonts w:ascii="Times New Roman" w:hAnsi="Times New Roman" w:cs="Times New Roman"/>
                <w:color w:val="3C5A72"/>
                <w:sz w:val="28"/>
                <w:szCs w:val="28"/>
              </w:rPr>
              <w:t>ID Card Number:</w:t>
            </w:r>
          </w:p>
        </w:tc>
        <w:tc>
          <w:tcPr>
            <w:tcW w:w="4536" w:type="dxa"/>
            <w:vAlign w:val="center"/>
          </w:tcPr>
          <w:p w14:paraId="6C7698BB" w14:textId="77777777" w:rsidR="008B1C58" w:rsidRPr="00A675DE" w:rsidRDefault="008B1C58" w:rsidP="008B1C58">
            <w:pPr>
              <w:rPr>
                <w:rFonts w:ascii="Times New Roman" w:hAnsi="Times New Roman" w:cs="Times New Roman"/>
                <w:color w:val="3C5A72"/>
                <w:sz w:val="28"/>
                <w:szCs w:val="28"/>
              </w:rPr>
            </w:pPr>
          </w:p>
        </w:tc>
      </w:tr>
      <w:tr w:rsidR="009F06E5" w:rsidRPr="00A675DE" w14:paraId="414B6DF2" w14:textId="77777777" w:rsidTr="008B1C58">
        <w:trPr>
          <w:trHeight w:val="567"/>
        </w:trPr>
        <w:tc>
          <w:tcPr>
            <w:tcW w:w="2263" w:type="dxa"/>
            <w:vAlign w:val="center"/>
          </w:tcPr>
          <w:p w14:paraId="25F211BD" w14:textId="782A1D45" w:rsidR="009F06E5" w:rsidRDefault="009F06E5" w:rsidP="009F06E5">
            <w:pPr>
              <w:rPr>
                <w:rFonts w:ascii="Times New Roman" w:hAnsi="Times New Roman" w:cs="Times New Roman"/>
                <w:color w:val="3C5A72"/>
                <w:sz w:val="28"/>
                <w:szCs w:val="28"/>
              </w:rPr>
            </w:pPr>
            <w:r w:rsidRPr="00A675DE">
              <w:rPr>
                <w:rFonts w:ascii="Times New Roman" w:hAnsi="Times New Roman" w:cs="Times New Roman"/>
                <w:color w:val="3C5A72"/>
                <w:sz w:val="28"/>
                <w:szCs w:val="28"/>
              </w:rPr>
              <w:t>Course Nam</w:t>
            </w:r>
            <w:r>
              <w:rPr>
                <w:rFonts w:ascii="Times New Roman" w:hAnsi="Times New Roman" w:cs="Times New Roman"/>
                <w:color w:val="3C5A72"/>
                <w:sz w:val="28"/>
                <w:szCs w:val="28"/>
              </w:rPr>
              <w:t>e/</w:t>
            </w:r>
            <w:r w:rsidRPr="00A675DE">
              <w:rPr>
                <w:rFonts w:ascii="Times New Roman" w:hAnsi="Times New Roman" w:cs="Times New Roman"/>
                <w:color w:val="3C5A72"/>
                <w:sz w:val="28"/>
                <w:szCs w:val="28"/>
              </w:rPr>
              <w:t xml:space="preserve"> Module Title</w:t>
            </w:r>
            <w:r>
              <w:rPr>
                <w:rFonts w:ascii="Times New Roman" w:hAnsi="Times New Roman" w:cs="Times New Roman"/>
                <w:color w:val="3C5A72"/>
                <w:sz w:val="28"/>
                <w:szCs w:val="28"/>
              </w:rPr>
              <w:t>:</w:t>
            </w:r>
          </w:p>
        </w:tc>
        <w:tc>
          <w:tcPr>
            <w:tcW w:w="4536" w:type="dxa"/>
            <w:vAlign w:val="center"/>
          </w:tcPr>
          <w:p w14:paraId="529F389B" w14:textId="77777777" w:rsidR="009F06E5" w:rsidRPr="00A675DE" w:rsidRDefault="009F06E5" w:rsidP="009F06E5">
            <w:pPr>
              <w:rPr>
                <w:rFonts w:ascii="Times New Roman" w:hAnsi="Times New Roman" w:cs="Times New Roman"/>
                <w:color w:val="3C5A72"/>
                <w:sz w:val="28"/>
                <w:szCs w:val="28"/>
              </w:rPr>
            </w:pPr>
          </w:p>
        </w:tc>
      </w:tr>
      <w:tr w:rsidR="009F06E5" w:rsidRPr="00A675DE" w14:paraId="066ABBF3" w14:textId="77777777" w:rsidTr="008B1C58">
        <w:trPr>
          <w:trHeight w:val="567"/>
        </w:trPr>
        <w:tc>
          <w:tcPr>
            <w:tcW w:w="2263" w:type="dxa"/>
            <w:vAlign w:val="center"/>
          </w:tcPr>
          <w:p w14:paraId="2AA66AEA" w14:textId="77777777" w:rsidR="009F06E5" w:rsidRPr="00A675DE" w:rsidRDefault="009F06E5" w:rsidP="009F06E5">
            <w:pPr>
              <w:rPr>
                <w:rFonts w:ascii="Times New Roman" w:hAnsi="Times New Roman" w:cs="Times New Roman"/>
                <w:color w:val="3C5A72"/>
                <w:sz w:val="28"/>
                <w:szCs w:val="28"/>
              </w:rPr>
            </w:pPr>
            <w:r>
              <w:rPr>
                <w:rFonts w:ascii="Times New Roman" w:hAnsi="Times New Roman" w:cs="Times New Roman"/>
                <w:color w:val="3C5A72"/>
                <w:sz w:val="28"/>
                <w:szCs w:val="28"/>
              </w:rPr>
              <w:t>Submission Date:</w:t>
            </w:r>
          </w:p>
        </w:tc>
        <w:tc>
          <w:tcPr>
            <w:tcW w:w="4536" w:type="dxa"/>
            <w:vAlign w:val="center"/>
          </w:tcPr>
          <w:p w14:paraId="4D606760" w14:textId="77777777" w:rsidR="009F06E5" w:rsidRPr="00A675DE" w:rsidRDefault="009F06E5" w:rsidP="009F06E5">
            <w:pPr>
              <w:rPr>
                <w:rFonts w:ascii="Times New Roman" w:hAnsi="Times New Roman" w:cs="Times New Roman"/>
                <w:color w:val="3C5A72"/>
                <w:sz w:val="28"/>
                <w:szCs w:val="28"/>
              </w:rPr>
            </w:pPr>
          </w:p>
        </w:tc>
      </w:tr>
    </w:tbl>
    <w:p w14:paraId="11D5A4E5" w14:textId="4C239692" w:rsidR="008B1C58" w:rsidRDefault="008B1C58" w:rsidP="001C61A4"/>
    <w:p w14:paraId="0C542D6B" w14:textId="145F1533" w:rsidR="008B1C58" w:rsidRDefault="008B1C58" w:rsidP="001C61A4"/>
    <w:p w14:paraId="1EBD0944" w14:textId="551930F8" w:rsidR="008B1C58" w:rsidRDefault="008B1C58" w:rsidP="001C61A4"/>
    <w:p w14:paraId="42788DEF" w14:textId="25E9DC9F" w:rsidR="008B1C58" w:rsidRDefault="008B1C58" w:rsidP="001C61A4"/>
    <w:tbl>
      <w:tblPr>
        <w:tblStyle w:val="TableGrid"/>
        <w:tblpPr w:leftFromText="180" w:rightFromText="180"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819"/>
      </w:tblGrid>
      <w:tr w:rsidR="008B1C58" w:rsidRPr="00A675DE" w14:paraId="7867FA32" w14:textId="77777777" w:rsidTr="008B1C58">
        <w:trPr>
          <w:trHeight w:val="567"/>
        </w:trPr>
        <w:tc>
          <w:tcPr>
            <w:tcW w:w="1980" w:type="dxa"/>
            <w:vAlign w:val="center"/>
          </w:tcPr>
          <w:p w14:paraId="0BC8495C" w14:textId="0E3F1495" w:rsidR="008B1C58" w:rsidRPr="00A675DE" w:rsidRDefault="008B1C58" w:rsidP="00F666D5">
            <w:pPr>
              <w:rPr>
                <w:rFonts w:ascii="Times New Roman" w:hAnsi="Times New Roman" w:cs="Times New Roman"/>
                <w:color w:val="3C5A72"/>
                <w:sz w:val="28"/>
                <w:szCs w:val="28"/>
              </w:rPr>
            </w:pPr>
          </w:p>
        </w:tc>
        <w:tc>
          <w:tcPr>
            <w:tcW w:w="4819" w:type="dxa"/>
            <w:vAlign w:val="center"/>
          </w:tcPr>
          <w:p w14:paraId="1DB308DE" w14:textId="77777777" w:rsidR="008B1C58" w:rsidRPr="00A675DE" w:rsidRDefault="008B1C58" w:rsidP="008B1C58">
            <w:pPr>
              <w:ind w:left="37"/>
              <w:rPr>
                <w:rFonts w:ascii="Times New Roman" w:hAnsi="Times New Roman" w:cs="Times New Roman"/>
                <w:color w:val="3C5A72"/>
                <w:sz w:val="28"/>
                <w:szCs w:val="28"/>
              </w:rPr>
            </w:pPr>
          </w:p>
        </w:tc>
      </w:tr>
      <w:tr w:rsidR="008B1C58" w:rsidRPr="00A675DE" w14:paraId="2228CFDD" w14:textId="77777777" w:rsidTr="008B1C58">
        <w:trPr>
          <w:trHeight w:val="567"/>
        </w:trPr>
        <w:tc>
          <w:tcPr>
            <w:tcW w:w="1980" w:type="dxa"/>
            <w:vAlign w:val="center"/>
          </w:tcPr>
          <w:p w14:paraId="2B80C104" w14:textId="1966DED1" w:rsidR="008B1C58" w:rsidRPr="00A675DE" w:rsidRDefault="008B1C58" w:rsidP="00F666D5">
            <w:pPr>
              <w:rPr>
                <w:rFonts w:ascii="Times New Roman" w:hAnsi="Times New Roman" w:cs="Times New Roman"/>
                <w:color w:val="3C5A72"/>
                <w:sz w:val="28"/>
                <w:szCs w:val="28"/>
              </w:rPr>
            </w:pPr>
          </w:p>
        </w:tc>
        <w:tc>
          <w:tcPr>
            <w:tcW w:w="4819" w:type="dxa"/>
            <w:vAlign w:val="center"/>
          </w:tcPr>
          <w:p w14:paraId="0579867B" w14:textId="77777777" w:rsidR="008B1C58" w:rsidRPr="00A675DE" w:rsidRDefault="008B1C58" w:rsidP="008B1C58">
            <w:pPr>
              <w:rPr>
                <w:rFonts w:ascii="Times New Roman" w:hAnsi="Times New Roman" w:cs="Times New Roman"/>
                <w:color w:val="3C5A72"/>
                <w:sz w:val="28"/>
                <w:szCs w:val="28"/>
              </w:rPr>
            </w:pPr>
          </w:p>
        </w:tc>
      </w:tr>
    </w:tbl>
    <w:p w14:paraId="17C18E97" w14:textId="7787EDA0" w:rsidR="008B1C58" w:rsidRDefault="008B1C58" w:rsidP="001C61A4"/>
    <w:p w14:paraId="7EE49D64" w14:textId="77777777" w:rsidR="008B1C58" w:rsidRDefault="008B1C58" w:rsidP="001C61A4"/>
    <w:p w14:paraId="3E0BB347" w14:textId="77777777" w:rsidR="009B3ED3" w:rsidRDefault="009B3ED3" w:rsidP="001C61A4"/>
    <w:p w14:paraId="1529201B" w14:textId="77777777" w:rsidR="00895640" w:rsidRPr="00895640" w:rsidRDefault="00895640" w:rsidP="00895640">
      <w:r w:rsidRPr="00895640">
        <w:lastRenderedPageBreak/>
        <w:t>Rediscovering the Catechumenate: Reflections on the Apostolic Tradition and Its Relevance Today</w:t>
      </w:r>
    </w:p>
    <w:p w14:paraId="65C168B9" w14:textId="77777777" w:rsidR="00895640" w:rsidRPr="00895640" w:rsidRDefault="00895640" w:rsidP="00895640"/>
    <w:p w14:paraId="47DB74E5" w14:textId="77777777" w:rsidR="00895640" w:rsidRPr="00895640" w:rsidRDefault="00895640" w:rsidP="00895640">
      <w:r w:rsidRPr="00895640">
        <w:t>The sacraments of initiation—Baptism, Confirmation (or Chrismation), and the Eucharist—are more than ceremonial rites; they mark the beginning of a lifelong journey of faith. While many Catholics today receive these sacraments in childhood or adolescence, the early Church approached initiation quite differently, especially for adult converts. Among the earliest and most detailed sources we have on this subject is the Apostolic Tradition, attributed to Hippolytus of Rome, likely written in the early third century. This ancient text not only outlines how newcomers were prepared for these sacraments but also offers valuable insights for understanding the modern catechumenate, particularly as restored after the Second Vatican Council through the Rite of Christian Initiation of Adults (RCIA).</w:t>
      </w:r>
    </w:p>
    <w:p w14:paraId="4920606A" w14:textId="77777777" w:rsidR="00895640" w:rsidRPr="00895640" w:rsidRDefault="00895640" w:rsidP="00895640"/>
    <w:p w14:paraId="7A1F9992" w14:textId="77777777" w:rsidR="00895640" w:rsidRPr="00895640" w:rsidRDefault="00895640" w:rsidP="00895640">
      <w:r w:rsidRPr="00895640">
        <w:t>1. The Apostolic Tradition: A Window into the Early Church</w:t>
      </w:r>
    </w:p>
    <w:p w14:paraId="295378CA" w14:textId="77777777" w:rsidR="00895640" w:rsidRPr="00895640" w:rsidRDefault="00895640" w:rsidP="00895640">
      <w:r w:rsidRPr="00895640">
        <w:t>Hippolytus’s Apostolic Tradition paints a vivid picture of how serious the early Christian communities were about initiation. People didn’t simply sign up and get baptized a week later. Instead, they underwent a process of discernment, instruction, and gradual conversion. The Church made sure that those seeking to join were truly ready to commit to the faith.</w:t>
      </w:r>
    </w:p>
    <w:p w14:paraId="024DB5E1" w14:textId="77777777" w:rsidR="00895640" w:rsidRPr="00895640" w:rsidRDefault="00895640" w:rsidP="00895640"/>
    <w:p w14:paraId="7A4719B4" w14:textId="77777777" w:rsidR="00895640" w:rsidRPr="00895640" w:rsidRDefault="00895640" w:rsidP="00895640">
      <w:r w:rsidRPr="00895640">
        <w:t>Initial Admission and Scrutiny</w:t>
      </w:r>
    </w:p>
    <w:p w14:paraId="14B20B9A" w14:textId="77777777" w:rsidR="00895640" w:rsidRPr="00895640" w:rsidRDefault="00895640" w:rsidP="00895640">
      <w:r w:rsidRPr="00895640">
        <w:t xml:space="preserve">Before someone could even begin formal preparation, their background and </w:t>
      </w:r>
      <w:proofErr w:type="spellStart"/>
      <w:r w:rsidRPr="00895640">
        <w:t>behavior</w:t>
      </w:r>
      <w:proofErr w:type="spellEnd"/>
      <w:r w:rsidRPr="00895640">
        <w:t xml:space="preserve"> were examined. Hippolytus describes how those who approached the Church were first questioned about their way of life. Those engaged in certain professions—like idol makers or gladiators—were often turned away unless they were willing to abandon those roles. This wasn’t about elitism; it reflected the Church’s concern that faith must be lived, not just professed.</w:t>
      </w:r>
    </w:p>
    <w:p w14:paraId="0D73CB12" w14:textId="77777777" w:rsidR="00895640" w:rsidRPr="00895640" w:rsidRDefault="00895640" w:rsidP="00895640"/>
    <w:p w14:paraId="2E4226E4" w14:textId="77777777" w:rsidR="00895640" w:rsidRPr="00895640" w:rsidRDefault="00895640" w:rsidP="00895640">
      <w:r w:rsidRPr="00895640">
        <w:t>A Long Path of Formation</w:t>
      </w:r>
    </w:p>
    <w:p w14:paraId="3ADAB8E4" w14:textId="77777777" w:rsidR="00895640" w:rsidRPr="00895640" w:rsidRDefault="00895640" w:rsidP="00895640">
      <w:r w:rsidRPr="00895640">
        <w:t>Once accepted, catechumens would begin a lengthy formation process, sometimes lasting several years. This period involved regular teaching on Scripture and the moral life, guided by catechists and supported by sponsors from the community. Importantly, not all the teachings were delivered at once; some deeper mysteries of the faith were held back until the catechumens had reached a certain level of maturity. The point was not simply to convey knowledge but to shape character.</w:t>
      </w:r>
    </w:p>
    <w:p w14:paraId="73F3E847" w14:textId="77777777" w:rsidR="00895640" w:rsidRPr="00895640" w:rsidRDefault="00895640" w:rsidP="00895640"/>
    <w:p w14:paraId="6F22E9BF" w14:textId="77777777" w:rsidR="00895640" w:rsidRPr="00895640" w:rsidRDefault="00895640" w:rsidP="00895640">
      <w:r w:rsidRPr="00895640">
        <w:t>Final Preparation and Initiation</w:t>
      </w:r>
    </w:p>
    <w:p w14:paraId="296E2B44" w14:textId="77777777" w:rsidR="00895640" w:rsidRPr="00895640" w:rsidRDefault="00895640" w:rsidP="00895640">
      <w:r w:rsidRPr="00895640">
        <w:t>As Easter approached—the traditional time for Baptism—the intensity of the preparation increased. Candidates entered a period known as purification and enlightenment, which included fasting, prayer, exorcisms, and the recitation of the Creed. The Easter Vigil itself was the moment when all three sacraments of initiation were conferred: they were baptized, anointed with oil, and received Holy Communion for the first time.</w:t>
      </w:r>
    </w:p>
    <w:p w14:paraId="027E9252" w14:textId="77777777" w:rsidR="00895640" w:rsidRPr="00895640" w:rsidRDefault="00895640" w:rsidP="00895640"/>
    <w:p w14:paraId="4CBFF342" w14:textId="77777777" w:rsidR="00895640" w:rsidRPr="00895640" w:rsidRDefault="00895640" w:rsidP="00895640">
      <w:r w:rsidRPr="00895640">
        <w:t>2. What Can We Learn from the Apostolic Tradition?</w:t>
      </w:r>
    </w:p>
    <w:p w14:paraId="7AE40FE7" w14:textId="77777777" w:rsidR="00895640" w:rsidRPr="00895640" w:rsidRDefault="00895640" w:rsidP="00895640">
      <w:r w:rsidRPr="00895640">
        <w:lastRenderedPageBreak/>
        <w:t>Though nearly two millennia old, the Apostolic Tradition offers enduring insights into the Christian understanding of conversion, community, and sacramental life.</w:t>
      </w:r>
    </w:p>
    <w:p w14:paraId="1A431B77" w14:textId="77777777" w:rsidR="00895640" w:rsidRPr="00895640" w:rsidRDefault="00895640" w:rsidP="00895640"/>
    <w:p w14:paraId="1B81522A" w14:textId="77777777" w:rsidR="00895640" w:rsidRPr="00895640" w:rsidRDefault="00895640" w:rsidP="00895640">
      <w:r w:rsidRPr="00895640">
        <w:t xml:space="preserve">Initiation as Transformation, </w:t>
      </w:r>
      <w:proofErr w:type="gramStart"/>
      <w:r w:rsidRPr="00895640">
        <w:t>Not</w:t>
      </w:r>
      <w:proofErr w:type="gramEnd"/>
      <w:r w:rsidRPr="00895640">
        <w:t xml:space="preserve"> a Form</w:t>
      </w:r>
    </w:p>
    <w:p w14:paraId="4B39D5FF" w14:textId="77777777" w:rsidR="00895640" w:rsidRPr="00895640" w:rsidRDefault="00895640" w:rsidP="00895640">
      <w:r w:rsidRPr="00895640">
        <w:t>One clear message from Hippolytus is that the journey toward becoming Christian was transformative, not merely ceremonial. The early Church didn’t rush people into the font. They understood conversion as a process of inner change, often gradual and uneven, shaped by community and spiritual practice.</w:t>
      </w:r>
    </w:p>
    <w:p w14:paraId="04D36F15" w14:textId="77777777" w:rsidR="00895640" w:rsidRPr="00895640" w:rsidRDefault="00895640" w:rsidP="00895640"/>
    <w:p w14:paraId="3E592B22" w14:textId="77777777" w:rsidR="00895640" w:rsidRPr="00895640" w:rsidRDefault="00895640" w:rsidP="00895640">
      <w:r w:rsidRPr="00895640">
        <w:t>The Role of the Christian Community</w:t>
      </w:r>
    </w:p>
    <w:p w14:paraId="7DD87B29" w14:textId="77777777" w:rsidR="00895640" w:rsidRPr="00895640" w:rsidRDefault="00895640" w:rsidP="00895640">
      <w:r w:rsidRPr="00895640">
        <w:t>The process described by Hippolytus was not something the catechumen undertook alone. Sponsors were responsible for guiding and vouching for the candidates, and the whole Church had a role in praying for and encouraging them. This communal aspect is something we often overlook today but is vital to understanding how the early Church functioned—not just as an institution, but as a family of faith.</w:t>
      </w:r>
    </w:p>
    <w:p w14:paraId="74F9BC7E" w14:textId="77777777" w:rsidR="00895640" w:rsidRPr="00895640" w:rsidRDefault="00895640" w:rsidP="00895640"/>
    <w:p w14:paraId="2BC11D7E" w14:textId="77777777" w:rsidR="00895640" w:rsidRPr="00895640" w:rsidRDefault="00895640" w:rsidP="00895640">
      <w:r w:rsidRPr="00895640">
        <w:t>Respect for the Sacred</w:t>
      </w:r>
    </w:p>
    <w:p w14:paraId="2A953E05" w14:textId="77777777" w:rsidR="00895640" w:rsidRPr="00895640" w:rsidRDefault="00895640" w:rsidP="00895640">
      <w:r w:rsidRPr="00895640">
        <w:t>Another striking feature is the reverence with which the sacraments were treated. Catechumens were not immediately taught everything; instead, knowledge of certain mysteries came only after they had demonstrated a genuine commitment. This practice of gradually unveiling the faith helped new believers approach the sacraments with proper awe and understanding.</w:t>
      </w:r>
    </w:p>
    <w:p w14:paraId="3A791817" w14:textId="77777777" w:rsidR="00895640" w:rsidRPr="00895640" w:rsidRDefault="00895640" w:rsidP="00895640"/>
    <w:p w14:paraId="529DEEC4" w14:textId="77777777" w:rsidR="00895640" w:rsidRPr="00895640" w:rsidRDefault="00895640" w:rsidP="00895640">
      <w:r w:rsidRPr="00895640">
        <w:t>3. The Second Vatican Council and the Renewal of the Catechumenate</w:t>
      </w:r>
    </w:p>
    <w:p w14:paraId="0FDDA8D4" w14:textId="77777777" w:rsidR="00895640" w:rsidRPr="00895640" w:rsidRDefault="00895640" w:rsidP="00895640">
      <w:r w:rsidRPr="00895640">
        <w:t>Fast forward to the 20th century: by the time of the Second Vatican Council, the Church recognized the need to return to the roots of how adult converts were initiated. In Sacrosanctum Concilium, the Council called for the catechumenate to be restored—not invented, but re-discovered and re-contextualized.</w:t>
      </w:r>
    </w:p>
    <w:p w14:paraId="45A27567" w14:textId="77777777" w:rsidR="00895640" w:rsidRPr="00895640" w:rsidRDefault="00895640" w:rsidP="00895640"/>
    <w:p w14:paraId="047EC697" w14:textId="77777777" w:rsidR="00895640" w:rsidRPr="00895640" w:rsidRDefault="00895640" w:rsidP="00895640">
      <w:r w:rsidRPr="00895640">
        <w:t>This led to the development of the Rite of Christian Initiation of Adults (RCIA), which mirrors many of the principles and stages described by Hippolytus.</w:t>
      </w:r>
    </w:p>
    <w:p w14:paraId="0E953DFD" w14:textId="77777777" w:rsidR="00895640" w:rsidRPr="00895640" w:rsidRDefault="00895640" w:rsidP="00895640"/>
    <w:p w14:paraId="0E77D00E" w14:textId="77777777" w:rsidR="00895640" w:rsidRPr="00895640" w:rsidRDefault="00895640" w:rsidP="00895640">
      <w:r w:rsidRPr="00895640">
        <w:t>A Step-by-Step Process</w:t>
      </w:r>
    </w:p>
    <w:p w14:paraId="257564F5" w14:textId="77777777" w:rsidR="00895640" w:rsidRPr="00895640" w:rsidRDefault="00895640" w:rsidP="00895640">
      <w:r w:rsidRPr="00895640">
        <w:t xml:space="preserve">The RCIA outlines a journey with distinct phases, including the pre-catechumenate (a time of inquiry), the catechumenate (a longer period of formation), a period of purification and enlightenment during Lent, and finally, the reception of the sacraments at Easter. It even includes post-baptismal formation, known as </w:t>
      </w:r>
      <w:proofErr w:type="spellStart"/>
      <w:r w:rsidRPr="00895640">
        <w:t>mystagogy</w:t>
      </w:r>
      <w:proofErr w:type="spellEnd"/>
      <w:r w:rsidRPr="00895640">
        <w:t>, in which the newly initiated reflect on their experience of the sacraments.</w:t>
      </w:r>
    </w:p>
    <w:p w14:paraId="23AEC380" w14:textId="77777777" w:rsidR="00895640" w:rsidRPr="00895640" w:rsidRDefault="00895640" w:rsidP="00895640"/>
    <w:p w14:paraId="028EDDB2" w14:textId="77777777" w:rsidR="00895640" w:rsidRPr="00895640" w:rsidRDefault="00895640" w:rsidP="00895640">
      <w:r w:rsidRPr="00895640">
        <w:lastRenderedPageBreak/>
        <w:t>This framework, though adapted for modern life, is clearly rooted in the structure described in the Apostolic Tradition.</w:t>
      </w:r>
    </w:p>
    <w:p w14:paraId="3DDBA11F" w14:textId="77777777" w:rsidR="00895640" w:rsidRPr="00895640" w:rsidRDefault="00895640" w:rsidP="00895640"/>
    <w:p w14:paraId="2DC10997" w14:textId="77777777" w:rsidR="00895640" w:rsidRPr="00895640" w:rsidRDefault="00895640" w:rsidP="00895640">
      <w:r w:rsidRPr="00895640">
        <w:t>Formation Beyond the Classroom</w:t>
      </w:r>
    </w:p>
    <w:p w14:paraId="6199C2D7" w14:textId="77777777" w:rsidR="00895640" w:rsidRPr="00895640" w:rsidRDefault="00895640" w:rsidP="00895640">
      <w:r w:rsidRPr="00895640">
        <w:t>The RCIA encourages a form of catechesis that is more than just intellectual. It involves prayer, liturgy, community involvement, and moral conversion. This reflects the early Church’s understanding that to become Christian is to adopt a new way of living, not merely to accept a list of doctrines.</w:t>
      </w:r>
    </w:p>
    <w:p w14:paraId="62D49BE7" w14:textId="77777777" w:rsidR="00895640" w:rsidRPr="00895640" w:rsidRDefault="00895640" w:rsidP="00895640"/>
    <w:p w14:paraId="116DD90B" w14:textId="77777777" w:rsidR="00895640" w:rsidRPr="00895640" w:rsidRDefault="00895640" w:rsidP="00895640">
      <w:r w:rsidRPr="00895640">
        <w:t>4. Why This Still Matters Today</w:t>
      </w:r>
    </w:p>
    <w:p w14:paraId="3E2C3298" w14:textId="77777777" w:rsidR="00895640" w:rsidRPr="00895640" w:rsidRDefault="00895640" w:rsidP="00895640">
      <w:r w:rsidRPr="00895640">
        <w:t>In today’s fast-paced world, where faith is often reduced to private belief or sporadic ritual, the catechumenate model reminds us that Christian initiation is both a personal and communal transformation.</w:t>
      </w:r>
    </w:p>
    <w:p w14:paraId="409DC284" w14:textId="77777777" w:rsidR="00895640" w:rsidRPr="00895640" w:rsidRDefault="00895640" w:rsidP="00895640"/>
    <w:p w14:paraId="7F3C1EDC" w14:textId="77777777" w:rsidR="00895640" w:rsidRPr="00895640" w:rsidRDefault="00895640" w:rsidP="00895640">
      <w:r w:rsidRPr="00895640">
        <w:t>Discipleship Takes Time</w:t>
      </w:r>
    </w:p>
    <w:p w14:paraId="4078E71E" w14:textId="77777777" w:rsidR="00895640" w:rsidRPr="00895640" w:rsidRDefault="00895640" w:rsidP="00895640">
      <w:r w:rsidRPr="00895640">
        <w:t>One of the lessons from both Hippolytus and the RCIA is that true discipleship isn’t instant. It requires time, commitment, and support. In an era when many people approach religion as a consumer product, this patient, formative approach can be countercultural—but also deeply healing.</w:t>
      </w:r>
    </w:p>
    <w:p w14:paraId="794733D9" w14:textId="77777777" w:rsidR="00895640" w:rsidRPr="00895640" w:rsidRDefault="00895640" w:rsidP="00895640"/>
    <w:p w14:paraId="3B9D16C0" w14:textId="77777777" w:rsidR="00895640" w:rsidRPr="00895640" w:rsidRDefault="00895640" w:rsidP="00895640">
      <w:r w:rsidRPr="00895640">
        <w:t>The Church as Accompanier</w:t>
      </w:r>
    </w:p>
    <w:p w14:paraId="147E949A" w14:textId="77777777" w:rsidR="00895640" w:rsidRPr="00895640" w:rsidRDefault="00895640" w:rsidP="00895640">
      <w:r w:rsidRPr="00895640">
        <w:t>Both the ancient and modern forms of the catechumenate present the Church not just as a gatekeeper, but as a guide and companion. The presence of sponsors, mentors, catechists, and the broader parish community signals that faith grows best in relationship, not in isolation.</w:t>
      </w:r>
    </w:p>
    <w:p w14:paraId="57178B0C" w14:textId="77777777" w:rsidR="00895640" w:rsidRPr="00895640" w:rsidRDefault="00895640" w:rsidP="00895640"/>
    <w:p w14:paraId="3D3E208E" w14:textId="77777777" w:rsidR="00895640" w:rsidRPr="00895640" w:rsidRDefault="00895640" w:rsidP="00895640">
      <w:r w:rsidRPr="00895640">
        <w:t>A Renewed Sense of the Sacred</w:t>
      </w:r>
    </w:p>
    <w:p w14:paraId="1373AF38" w14:textId="77777777" w:rsidR="00895640" w:rsidRPr="00895640" w:rsidRDefault="00895640" w:rsidP="00895640">
      <w:r w:rsidRPr="00895640">
        <w:t>Lastly, revisiting these early models can help restore a sense of reverence for the sacraments. In some places today, Baptism and Confirmation are treated as routine or even optional. But the early Church saw them as life-altering encounters with God. Recovering that vision could breathe new life into how we approach these sacraments today.</w:t>
      </w:r>
    </w:p>
    <w:p w14:paraId="5815C3B2" w14:textId="77777777" w:rsidR="00895640" w:rsidRPr="00895640" w:rsidRDefault="00895640" w:rsidP="00895640"/>
    <w:p w14:paraId="56016106" w14:textId="77777777" w:rsidR="00895640" w:rsidRPr="00895640" w:rsidRDefault="00895640" w:rsidP="00895640">
      <w:r w:rsidRPr="00895640">
        <w:t>Conclusion</w:t>
      </w:r>
    </w:p>
    <w:p w14:paraId="0DF40976" w14:textId="77777777" w:rsidR="00895640" w:rsidRPr="00895640" w:rsidRDefault="00895640" w:rsidP="00895640">
      <w:r w:rsidRPr="00895640">
        <w:t>The Apostolic Tradition of Hippolytus isn’t just a historical curiosity; it’s a spiritual blueprint. Its rich description of how the early Church prepared people for Baptism, Confirmation, and the Eucharist has much to offer us today. The Second Vatican Council’s decision to revive the catechumenate through the RCIA was a profound return to the wisdom of the early Church. In both settings, we find a vision of initiation that is slow, serious, and deeply communal.</w:t>
      </w:r>
    </w:p>
    <w:p w14:paraId="661BA505" w14:textId="77777777" w:rsidR="00895640" w:rsidRPr="00895640" w:rsidRDefault="00895640" w:rsidP="00895640"/>
    <w:p w14:paraId="55B4B67B" w14:textId="4D9690A6" w:rsidR="009B3ED3" w:rsidRPr="00895640" w:rsidRDefault="00895640" w:rsidP="00895640">
      <w:r w:rsidRPr="00895640">
        <w:lastRenderedPageBreak/>
        <w:t>At a time when faith is often marginalized or rushed, these ancient practices invite us to slow down, accompany others with care, and rediscover the sacraments not as cultural rites of passage but as transformative encounters with Christ and His Church.</w:t>
      </w:r>
    </w:p>
    <w:sectPr w:rsidR="009B3ED3" w:rsidRPr="00895640" w:rsidSect="001C61A4">
      <w:headerReference w:type="first" r:id="rId8"/>
      <w:pgSz w:w="11906" w:h="16838" w:code="9"/>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B549F" w14:textId="77777777" w:rsidR="00E9507F" w:rsidRDefault="00E9507F" w:rsidP="00A675DE">
      <w:pPr>
        <w:spacing w:after="0" w:line="240" w:lineRule="auto"/>
      </w:pPr>
      <w:r>
        <w:separator/>
      </w:r>
    </w:p>
  </w:endnote>
  <w:endnote w:type="continuationSeparator" w:id="0">
    <w:p w14:paraId="62FAE973" w14:textId="77777777" w:rsidR="00E9507F" w:rsidRDefault="00E9507F" w:rsidP="00A675DE">
      <w:pPr>
        <w:spacing w:after="0" w:line="240" w:lineRule="auto"/>
      </w:pPr>
      <w:r>
        <w:continuationSeparator/>
      </w:r>
    </w:p>
  </w:endnote>
  <w:endnote w:type="continuationNotice" w:id="1">
    <w:p w14:paraId="3B49ADA3" w14:textId="77777777" w:rsidR="00E9507F" w:rsidRDefault="00E950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66AFA" w14:textId="77777777" w:rsidR="00E9507F" w:rsidRDefault="00E9507F" w:rsidP="00A675DE">
      <w:pPr>
        <w:spacing w:after="0" w:line="240" w:lineRule="auto"/>
      </w:pPr>
      <w:r>
        <w:separator/>
      </w:r>
    </w:p>
  </w:footnote>
  <w:footnote w:type="continuationSeparator" w:id="0">
    <w:p w14:paraId="0163361C" w14:textId="77777777" w:rsidR="00E9507F" w:rsidRDefault="00E9507F" w:rsidP="00A675DE">
      <w:pPr>
        <w:spacing w:after="0" w:line="240" w:lineRule="auto"/>
      </w:pPr>
      <w:r>
        <w:continuationSeparator/>
      </w:r>
    </w:p>
  </w:footnote>
  <w:footnote w:type="continuationNotice" w:id="1">
    <w:p w14:paraId="1382D80A" w14:textId="77777777" w:rsidR="00E9507F" w:rsidRDefault="00E950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340CC" w14:textId="1272FCB2" w:rsidR="00A675DE" w:rsidRDefault="00A675DE">
    <w:pPr>
      <w:pStyle w:val="Header"/>
    </w:pPr>
    <w:r w:rsidRPr="005A4446">
      <w:rPr>
        <w:rFonts w:ascii="Times New Roman" w:hAnsi="Times New Roman" w:cs="Times New Roman"/>
        <w:noProof/>
        <w:sz w:val="24"/>
        <w:szCs w:val="24"/>
        <w:lang w:eastAsia="en-GB"/>
      </w:rPr>
      <w:drawing>
        <wp:inline distT="0" distB="0" distL="0" distR="0" wp14:anchorId="60550025" wp14:editId="37F37039">
          <wp:extent cx="2282890" cy="674295"/>
          <wp:effectExtent l="0" t="0" r="3175" b="0"/>
          <wp:docPr id="10" name="Picture 1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5109" cy="6897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05667"/>
    <w:multiLevelType w:val="multilevel"/>
    <w:tmpl w:val="D0A8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523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DE"/>
    <w:rsid w:val="00052253"/>
    <w:rsid w:val="00125771"/>
    <w:rsid w:val="001C61A4"/>
    <w:rsid w:val="003540F5"/>
    <w:rsid w:val="005145E3"/>
    <w:rsid w:val="006F1533"/>
    <w:rsid w:val="00706F37"/>
    <w:rsid w:val="0075020F"/>
    <w:rsid w:val="00895640"/>
    <w:rsid w:val="00897AA2"/>
    <w:rsid w:val="008B1C58"/>
    <w:rsid w:val="009807EA"/>
    <w:rsid w:val="00995032"/>
    <w:rsid w:val="009B3ED3"/>
    <w:rsid w:val="009F06E5"/>
    <w:rsid w:val="00A675DE"/>
    <w:rsid w:val="00BF2053"/>
    <w:rsid w:val="00C2754D"/>
    <w:rsid w:val="00CC7BFC"/>
    <w:rsid w:val="00D535BF"/>
    <w:rsid w:val="00DC5A51"/>
    <w:rsid w:val="00E66976"/>
    <w:rsid w:val="00E9507F"/>
    <w:rsid w:val="00F666D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6AF6B"/>
  <w15:chartTrackingRefBased/>
  <w15:docId w15:val="{F3A02C3E-D20A-4B3C-BF54-BAEAD1A7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75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75DE"/>
    <w:rPr>
      <w:rFonts w:eastAsiaTheme="minorEastAsia"/>
      <w:lang w:val="en-US"/>
    </w:rPr>
  </w:style>
  <w:style w:type="paragraph" w:styleId="Header">
    <w:name w:val="header"/>
    <w:basedOn w:val="Normal"/>
    <w:link w:val="HeaderChar"/>
    <w:uiPriority w:val="99"/>
    <w:unhideWhenUsed/>
    <w:rsid w:val="00A675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5DE"/>
  </w:style>
  <w:style w:type="paragraph" w:styleId="Footer">
    <w:name w:val="footer"/>
    <w:basedOn w:val="Normal"/>
    <w:link w:val="FooterChar"/>
    <w:uiPriority w:val="99"/>
    <w:unhideWhenUsed/>
    <w:rsid w:val="00A675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5DE"/>
  </w:style>
  <w:style w:type="table" w:styleId="TableGrid">
    <w:name w:val="Table Grid"/>
    <w:basedOn w:val="TableNormal"/>
    <w:uiPriority w:val="39"/>
    <w:rsid w:val="00A67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940974">
      <w:bodyDiv w:val="1"/>
      <w:marLeft w:val="0"/>
      <w:marRight w:val="0"/>
      <w:marTop w:val="0"/>
      <w:marBottom w:val="0"/>
      <w:divBdr>
        <w:top w:val="none" w:sz="0" w:space="0" w:color="auto"/>
        <w:left w:val="none" w:sz="0" w:space="0" w:color="auto"/>
        <w:bottom w:val="none" w:sz="0" w:space="0" w:color="auto"/>
        <w:right w:val="none" w:sz="0" w:space="0" w:color="auto"/>
      </w:divBdr>
    </w:div>
    <w:div w:id="1588028493">
      <w:bodyDiv w:val="1"/>
      <w:marLeft w:val="0"/>
      <w:marRight w:val="0"/>
      <w:marTop w:val="0"/>
      <w:marBottom w:val="0"/>
      <w:divBdr>
        <w:top w:val="none" w:sz="0" w:space="0" w:color="auto"/>
        <w:left w:val="none" w:sz="0" w:space="0" w:color="auto"/>
        <w:bottom w:val="none" w:sz="0" w:space="0" w:color="auto"/>
        <w:right w:val="none" w:sz="0" w:space="0" w:color="auto"/>
      </w:divBdr>
    </w:div>
    <w:div w:id="1830362993">
      <w:bodyDiv w:val="1"/>
      <w:marLeft w:val="0"/>
      <w:marRight w:val="0"/>
      <w:marTop w:val="0"/>
      <w:marBottom w:val="0"/>
      <w:divBdr>
        <w:top w:val="none" w:sz="0" w:space="0" w:color="auto"/>
        <w:left w:val="none" w:sz="0" w:space="0" w:color="auto"/>
        <w:bottom w:val="none" w:sz="0" w:space="0" w:color="auto"/>
        <w:right w:val="none" w:sz="0" w:space="0" w:color="auto"/>
      </w:divBdr>
    </w:div>
    <w:div w:id="198272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C9523323B342C0BE57AE345A16D0F1"/>
        <w:category>
          <w:name w:val="General"/>
          <w:gallery w:val="placeholder"/>
        </w:category>
        <w:types>
          <w:type w:val="bbPlcHdr"/>
        </w:types>
        <w:behaviors>
          <w:behavior w:val="content"/>
        </w:behaviors>
        <w:guid w:val="{43BEDE79-15A9-43AC-9931-A451C1B2AB08}"/>
      </w:docPartPr>
      <w:docPartBody>
        <w:p w:rsidR="00E54CD1" w:rsidRDefault="0099011F" w:rsidP="0099011F">
          <w:pPr>
            <w:pStyle w:val="F0C9523323B342C0BE57AE345A16D0F1"/>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1F"/>
    <w:rsid w:val="00260CE2"/>
    <w:rsid w:val="003540F5"/>
    <w:rsid w:val="0099011F"/>
    <w:rsid w:val="00C737C6"/>
    <w:rsid w:val="00DC5A51"/>
    <w:rsid w:val="00E54CD1"/>
    <w:rsid w:val="00ED18F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C9523323B342C0BE57AE345A16D0F1">
    <w:name w:val="F0C9523323B342C0BE57AE345A16D0F1"/>
    <w:rsid w:val="009901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Date of Submission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1160</Words>
  <Characters>6496</Characters>
  <Application>Microsoft Office Word</Application>
  <DocSecurity>0</DocSecurity>
  <Lines>138</Lines>
  <Paragraphs>47</Paragraphs>
  <ScaleCrop>false</ScaleCrop>
  <HeadingPairs>
    <vt:vector size="2" baseType="variant">
      <vt:variant>
        <vt:lpstr>Title</vt:lpstr>
      </vt:variant>
      <vt:variant>
        <vt:i4>1</vt:i4>
      </vt:variant>
    </vt:vector>
  </HeadingPairs>
  <TitlesOfParts>
    <vt:vector size="1" baseType="lpstr">
      <vt:lpstr/>
    </vt:vector>
  </TitlesOfParts>
  <Company>Archdiocese Of Malta</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Title</dc:title>
  <dc:subject/>
  <dc:creator>Student Name</dc:creator>
  <cp:keywords/>
  <dc:description/>
  <cp:lastModifiedBy>Dongcheng WANG</cp:lastModifiedBy>
  <cp:revision>15</cp:revision>
  <cp:lastPrinted>2023-03-23T04:26:00Z</cp:lastPrinted>
  <dcterms:created xsi:type="dcterms:W3CDTF">2023-03-23T03:53:00Z</dcterms:created>
  <dcterms:modified xsi:type="dcterms:W3CDTF">2025-04-18T20:49:00Z</dcterms:modified>
</cp:coreProperties>
</file>