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The Elidoras Codex — TGCR Agent Stack</w:t>
      </w:r>
    </w:p>
    <w:p/>
    <w:p>
      <w:r>
        <w:t>&gt; TEC weaves myth, machine, and meaning into a living open-source cosmology.</w:t>
      </w:r>
    </w:p>
    <w:p/>
    <w:p>
      <w:pPr>
        <w:pStyle w:val="Heading2"/>
      </w:pPr>
      <w:r>
        <w:t>Overview</w:t>
      </w:r>
    </w:p>
    <w:p>
      <w:r>
        <w:t>The TGCR agent stack packages the first operational sentinel, **Airth Research Guard**, alongside the scaffolding required to expand into a full suite of resonance-aware helpers. The repository delivers a Typer-based CLI, knowledge-map loaders, memory buffers, and specialized tools for knowledge search, scheduling, SharePoint publishing, and Spotify resonance analysis.</w:t>
      </w:r>
    </w:p>
    <w:p/>
    <w:p>
      <w:pPr>
        <w:pStyle w:val="Heading2"/>
      </w:pPr>
      <w:r>
        <w:t>Quick start</w:t>
      </w:r>
    </w:p>
    <w:p/>
    <w:p>
      <w:pPr>
        <w:pStyle w:val="IntenseQuote"/>
      </w:pPr>
      <w:r>
        <w:t>python -m venv .venv</w:t>
        <w:br/>
        <w:t>.venv\Scripts\Activate.ps1</w:t>
        <w:br/>
        <w:t>pip install -e .[dev]</w:t>
        <w:br/>
        <w:t>python -m tec_tgcr.cli chat "Help me plan a TEC build sprint"</w:t>
      </w:r>
    </w:p>
    <w:p/>
    <w:p>
      <w:pPr>
        <w:pStyle w:val="Heading2"/>
      </w:pPr>
      <w:r>
        <w:t>CLI commands</w:t>
      </w:r>
    </w:p>
    <w:p>
      <w:pPr>
        <w:pStyle w:val="ListBullet"/>
      </w:pPr>
      <w:r>
        <w:t>`tec-agent chat` — open the interactive console experience.</w:t>
      </w:r>
    </w:p>
    <w:p>
      <w:pPr>
        <w:pStyle w:val="ListBullet"/>
      </w:pPr>
      <w:r>
        <w:t>`tec-agent manifest` — emit the Airth Research Guard manifest JSON.</w:t>
      </w:r>
    </w:p>
    <w:p>
      <w:pPr>
        <w:pStyle w:val="ListBullet"/>
      </w:pPr>
      <w:r>
        <w:t>`pytest` — execute regression coverage.</w:t>
      </w:r>
    </w:p>
    <w:p/>
    <w:p>
      <w:pPr>
        <w:pStyle w:val="Heading2"/>
      </w:pPr>
      <w:r>
        <w:t>Repository map</w:t>
      </w:r>
    </w:p>
    <w:p>
      <w:pPr>
        <w:pStyle w:val="ListBullet"/>
      </w:pPr>
      <w:r>
        <w:t>`config/agent.yml` — persona, objectives, and memory tuning for Airth.</w:t>
      </w:r>
    </w:p>
    <w:p>
      <w:pPr>
        <w:pStyle w:val="ListBullet"/>
      </w:pPr>
      <w:r>
        <w:t>`data/knowledge_map.yml` — structured knowledge pillars, branding cues, and cadence data.</w:t>
      </w:r>
    </w:p>
    <w:p>
      <w:pPr>
        <w:pStyle w:val="ListBullet"/>
      </w:pPr>
      <w:r>
        <w:t>`agents/manifests/airth_research_guard.json` — exportable manifest for orchestration layers.</w:t>
      </w:r>
    </w:p>
    <w:p>
      <w:pPr>
        <w:pStyle w:val="ListBullet"/>
      </w:pPr>
      <w:r>
        <w:t>`docs/AGENT_OVERVIEW.md` — runtime architecture notes.</w:t>
      </w:r>
    </w:p>
    <w:p>
      <w:pPr>
        <w:pStyle w:val="ListBullet"/>
      </w:pPr>
      <w:r>
        <w:t>`docs/archive/planning_scratchpad.md` — legacy planning canvas preserved for context.</w:t>
      </w:r>
    </w:p>
    <w:p>
      <w:pPr>
        <w:pStyle w:val="ListBullet"/>
      </w:pPr>
      <w:r>
        <w:t>`src/tec_tgcr/` — Python package (agents, tools, memory, CLI, configuration helpers).</w:t>
      </w:r>
    </w:p>
    <w:p>
      <w:pPr>
        <w:pStyle w:val="ListBullet"/>
      </w:pPr>
      <w:r>
        <w:t>`tests/` — conversational regression scenarios.</w:t>
      </w:r>
    </w:p>
    <w:p/>
    <w:p>
      <w:pPr>
        <w:pStyle w:val="Heading2"/>
      </w:pPr>
      <w:r>
        <w:t>Agent snapshot</w:t>
      </w:r>
    </w:p>
    <w:p>
      <w:pPr>
        <w:pStyle w:val="ListBullet"/>
      </w:pPr>
      <w:r>
        <w:t>**Name:** Airth Research Guard</w:t>
      </w:r>
    </w:p>
    <w:p>
      <w:pPr>
        <w:pStyle w:val="ListBullet"/>
      </w:pPr>
      <w:r>
        <w:t>**Purpose:** Safeguard TGCR research threads, synthesize cross-domain insight, and uphold the TEC brand system.</w:t>
      </w:r>
    </w:p>
    <w:p>
      <w:pPr>
        <w:pStyle w:val="ListBullet"/>
      </w:pPr>
      <w:r>
        <w:t>**Tools:**</w:t>
      </w:r>
    </w:p>
    <w:p>
      <w:r>
        <w:t xml:space="preserve">  - `knowledge_lookup` — keyword search across the TEC knowledge map.</w:t>
      </w:r>
    </w:p>
    <w:p>
      <w:r>
        <w:t xml:space="preserve">  - `schedule_planner` — formatted summaries of TEC build sessions and confirmed shifts.</w:t>
      </w:r>
    </w:p>
    <w:p>
      <w:r>
        <w:t xml:space="preserve">  - `sharepoint_publish` — preview or deploy SharePoint Site Assets via the Microsoft 365 CLI.</w:t>
      </w:r>
    </w:p>
    <w:p>
      <w:r>
        <w:t xml:space="preserve">  - `spotify_resonance` — translate Spotify audio features into OXY/DOP/ADR resonance metrics.</w:t>
      </w:r>
    </w:p>
    <w:p>
      <w:r>
        <w:t xml:space="preserve">  - `llm_responder` — optional deep-synthesis bridge when model credentials are available.</w:t>
      </w:r>
    </w:p>
    <w:p>
      <w:pPr>
        <w:pStyle w:val="ListBullet"/>
      </w:pPr>
      <w:r>
        <w:t>**Knowledge pillars:** Research &amp; Theory · Development &amp; Pipelines · Branding &amp; Media · Community &amp; Outreach · Professional Growth.</w:t>
      </w:r>
    </w:p>
    <w:p/>
    <w:p>
      <w:pPr>
        <w:pStyle w:val="Heading2"/>
      </w:pPr>
      <w:r>
        <w:t>Schedules at a glance</w:t>
      </w:r>
    </w:p>
    <w:p>
      <w:pPr>
        <w:pStyle w:val="ListBullet"/>
      </w:pPr>
      <w:r>
        <w:t>**TEC build sessions:** Monday–Friday, 10:00–12:00 Eastern.</w:t>
      </w:r>
    </w:p>
    <w:p>
      <w:pPr>
        <w:pStyle w:val="ListBullet"/>
      </w:pPr>
      <w:r>
        <w:t>**7-Eleven shifts:** Sun Oct 5 (22:00–06:00), Mon Oct 6 (22:00–06:00), Tue Oct 7 (12:00–19:00), Wed Oct 8 (11:00–19:00).</w:t>
      </w:r>
    </w:p>
    <w:p>
      <w:pPr>
        <w:pStyle w:val="ListBullet"/>
      </w:pPr>
      <w:r>
        <w:t>Prompt the agent with "schedule", "planner", or "711" for rapid summaries. Ask for "calendar" to receive an `.ics` export or "planner csv" for Microsoft Planner scaffolding.</w:t>
      </w:r>
    </w:p>
    <w:p/>
    <w:p>
      <w:pPr>
        <w:pStyle w:val="Heading2"/>
      </w:pPr>
      <w:r>
        <w:t>Roadmap</w:t>
      </w:r>
    </w:p>
    <w:p>
      <w:pPr>
        <w:pStyle w:val="ListBullet"/>
      </w:pPr>
      <w:r>
        <w:t>Automate SharePoint deployments via GitHub Actions once credentials can be stored securely.</w:t>
      </w:r>
    </w:p>
    <w:p>
      <w:pPr>
        <w:pStyle w:val="ListBullet"/>
      </w:pPr>
      <w:r>
        <w:t>Persist Spotify-derived resonance scores into the knowledge map for analytics review.</w:t>
      </w:r>
    </w:p>
    <w:p>
      <w:pPr>
        <w:pStyle w:val="ListBullet"/>
      </w:pPr>
      <w:r>
        <w:t>Expand regression coverage with stubs for the LLM endpoint and Spotify API.</w:t>
      </w:r>
    </w:p>
    <w:p/>
    <w:p>
      <w:r>
        <w:t>---</w:t>
      </w:r>
    </w:p>
    <w:p>
      <w:r>
        <w:t>Looking for the original planning mural? Check `docs/archive/planning_scratchpad.md` for the full preserved canvas, SharePoint publishing flow, and Spotify pipeline sketches.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