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---team15"/>
      <w:r>
        <w:t xml:space="preserve">KOPI-TWIN - Team15</w:t>
      </w:r>
      <w:bookmarkEnd w:id="20"/>
    </w:p>
    <w:p>
      <w:pPr>
        <w:pStyle w:val="Heading2"/>
      </w:pPr>
      <w:bookmarkStart w:id="21" w:name="kopi-twin---team15-student-proposal"/>
      <w:r>
        <w:t xml:space="preserve">KOPI-TWIN - Team15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and with</w:t>
      </w:r>
      <w:r>
        <w:t xml:space="preserve"> </w:t>
      </w:r>
      <w:r>
        <w:rPr>
          <w:b/>
        </w:rPr>
        <w:t xml:space="preserve">no artist</w:t>
      </w:r>
      <w:r>
        <w:t xml:space="preserve"> </w:t>
      </w:r>
      <w:r>
        <w:t xml:space="preserve">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instructional/UX design load is genuinely large for one designer, and the AR kopitiam objects + instruction/HUD/dashboard are a real art surface,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(to carry the instructional/UX load) and/or an artist within the D+A ≤ 3 cap; if the team stays 6 CS + 1 Design + 0 Art, scope the lessons/AR-object set hard and lean on a reusable style under D11 (a solo designer + 0 artists is the case the design pool flags).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learning-product visual direction: the virtual kopitiam AR objects (cups/ingredients/equipment) style plus the instruction/HUD and competency-dashboard visuals; 2 mockups. *(The artist's absence + the drop to one designer squeeze out the M1D3/D6/D9 instructional-design goals.)*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kopitiam AR objects, the instruction/HUD and the competency dashboard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virtual kopitiam AR objects — cups/ingredients/equipment — plus the instruction/HUD and competency-dashboard visuals) is covered by the D11 conditionals, taken as Design goals by the single designer (see Design M1/M2). The AR-object + dashboard art is a real surface, so 0 artists is a serious risk — scope the AR-object set hard and lean on a reusable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2026-09-22T13:21:13Z</dcterms:created>
  <dcterms:modified xsi:type="dcterms:W3CDTF">2026-09-22T13:21:13Z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