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this is a two-role service platform (customer + vendor) with heavy service-flow and dashboard/ops UX and minimal illustrated art (menu photos are vendor-supplied; the rest is UI/branding), so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  <w:r>
        <w:t xml:space="preserve"> </w:t>
      </w:r>
      <w:r>
        <w:rPr>
          <w:i/>
        </w:rPr>
        <w:t xml:space="preserve">Note: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</w:rPr>
        <w:t xml:space="preserve">solo-designer + 0-artist</w:t>
      </w:r>
      <w:r>
        <w:t xml:space="preserve"> </w:t>
      </w:r>
      <w:r>
        <w:t xml:space="preserve">case the design pool flags — one designer now carries the full 4-goals-per-milestone Design + UI/UX load (a genuinely heavy two-role service-design surface)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the D11 art surface; a 2nd designer would relieve it if the team can, and the instructor should confirm which conditional bends if the load is too tight.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by the single designer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2026-09-22T12:01:42Z</dcterms:created>
  <dcterms:modified xsi:type="dcterms:W3CDTF">2026-09-22T12:01:42Z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