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---team06"/>
      <w:r>
        <w:t xml:space="preserve">Graveyard Shift - Team06</w:t>
      </w:r>
      <w:bookmarkEnd w:id="20"/>
    </w:p>
    <w:p>
      <w:pPr>
        <w:pStyle w:val="Heading2"/>
      </w:pPr>
      <w:bookmarkStart w:id="21" w:name="X2c4c77d6a1f790b7c75bc64ccbd7a238c175f90"/>
      <w:r>
        <w:t xml:space="preserve">Graveyard Shift - Team06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+ 2 Design + 0 Art (8)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 with a large design surface (the seating/mood/agitation/riot rules, the ingredient economy, the day-cycle riot-risk curve, personality tuning, and the reworked monetization), which the two designers own; with</w:t>
      </w:r>
      <w:r>
        <w:t xml:space="preserve"> </w:t>
      </w:r>
      <w:r>
        <w:rPr>
          <w:b/>
        </w:rPr>
        <w:t xml:space="preserve">no artist</w:t>
      </w:r>
      <w:r>
        <w:t xml:space="preserve">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a spooky-comedy game is art-forward (the ghost/zombie/ghoul roster + personality tells, the restaurant, dishes, projectiles/remains and riot VFX), so 0 artists is a real risk here — scope the roster small and lean on a strong stylised/reusable direction under D11, or reconsider adding an artist within the D+A ≤ 3 cap by trading a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spooky-comedy visual direction: the ghost/zombie/ghoul faction identities + personality tells, and the restaurant, dishes/projectiles and riot-VFX look;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roster + personality tells, restaurant, dishes/projectiles and riot VFX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ghost/zombie/ghoul roster + personality tells, the restaurant, dishes/projectiles and riot VFX) is covered by the D11 conditionals, taken as Design goals by the two designers (see Design M1/M2). Given how art-forward the concept is, scope the roster small and lean on a reusable stylised direction.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2026-09-22T11:21:47Z</dcterms:created>
  <dcterms:modified xsi:type="dcterms:W3CDTF">2026-09-22T11:21:47Z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